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426"/>
        </w:tabs>
        <w:spacing w:lineRule="auto" w:line="240"/>
        <w:ind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spacing w:lineRule="auto" w:line="240"/>
        <w:jc w:val="center"/>
        <w:rPr>
          <w:b/>
          <w:sz w:val="28"/>
        </w:rPr>
      </w:pPr>
      <w:r>
        <w:rPr>
          <w:b/>
          <w:sz w:val="28"/>
        </w:rPr>
        <w:t xml:space="preserve">Технические требования на оказание услуг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ОКПД2 71.12.11.921 Оказание услуг по проведению мониторинга гидротехнических сооружений Загорской ГАЭС-2 в рамках инвестиционной программы «Загорская ГАЭС-2 на р. Кунья (достройка)»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widowControl/>
        <w:spacing w:lineRule="auto" w:line="240"/>
        <w:jc w:val="center"/>
        <w:rPr>
          <w:b/>
          <w:sz w:val="26"/>
        </w:rPr>
      </w:pPr>
      <w:r>
        <w:rPr>
          <w:b/>
          <w:sz w:val="26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840"/>
              <w:tab w:val="right" w:pos="9637" w:leader="dot"/>
              <w:tab w:val="right" w:pos="9911" w:leader="dot"/>
            </w:tabs>
            <w:ind w:hanging="0"/>
            <w:rPr/>
          </w:pPr>
          <w:r>
            <w:fldChar w:fldCharType="begin"/>
          </w:r>
          <w:r>
            <w:rPr>
              <w:webHidden/>
              <w:rStyle w:val="Style16"/>
              <w:vanish w:val="false"/>
            </w:rPr>
            <w:instrText xml:space="preserve"> TOC \z \o "1-4" \u \h</w:instrText>
          </w:r>
          <w:r>
            <w:rPr>
              <w:webHidden/>
              <w:rStyle w:val="Style16"/>
              <w:vanish w:val="false"/>
            </w:rPr>
            <w:fldChar w:fldCharType="separate"/>
          </w:r>
          <w:hyperlink w:anchor="__RefHeading___1">
            <w:r>
              <w:rPr>
                <w:webHidden/>
                <w:rStyle w:val="Style16"/>
                <w:vanish w:val="false"/>
              </w:rPr>
              <w:t>1.    Общие сведения</w:t>
              <w:tab/>
              <w:t>3</w:t>
            </w:r>
          </w:hyperlink>
        </w:p>
        <w:p>
          <w:pPr>
            <w:pStyle w:val="TOC3"/>
            <w:tabs>
              <w:tab w:val="clear" w:pos="426"/>
              <w:tab w:val="clear" w:pos="1400"/>
              <w:tab w:val="clear" w:pos="9911"/>
              <w:tab w:val="right" w:pos="9637" w:leader="dot"/>
            </w:tabs>
            <w:ind w:left="0" w:hanging="0"/>
            <w:rPr/>
          </w:pPr>
          <w:hyperlink w:anchor="__RefHeading___2">
            <w:r>
              <w:rPr>
                <w:webHidden/>
                <w:rStyle w:val="Style16"/>
                <w:vanish w:val="false"/>
              </w:rPr>
              <w:t>1.1.    Обозначения и сокращения</w:t>
              <w:tab/>
            </w:r>
            <w:r>
              <w:rPr>
                <w:rStyle w:val="Style16"/>
                <w:sz w:val="24"/>
              </w:rPr>
              <w:t>3</w:t>
            </w:r>
          </w:hyperlink>
        </w:p>
        <w:p>
          <w:pPr>
            <w:pStyle w:val="TOC3"/>
            <w:tabs>
              <w:tab w:val="clear" w:pos="426"/>
              <w:tab w:val="clear" w:pos="1400"/>
              <w:tab w:val="clear" w:pos="9911"/>
              <w:tab w:val="right" w:pos="9637" w:leader="dot"/>
            </w:tabs>
            <w:ind w:left="0" w:hanging="0"/>
            <w:rPr/>
          </w:pPr>
          <w:hyperlink w:anchor="__RefHeading___3">
            <w:r>
              <w:rPr>
                <w:webHidden/>
                <w:rStyle w:val="Style16"/>
                <w:vanish w:val="false"/>
              </w:rPr>
              <w:t>1.2.    Наименование Услуг</w:t>
              <w:tab/>
            </w:r>
            <w:r>
              <w:rPr>
                <w:rStyle w:val="Style16"/>
                <w:sz w:val="24"/>
              </w:rPr>
              <w:t>3</w:t>
            </w:r>
          </w:hyperlink>
        </w:p>
        <w:p>
          <w:pPr>
            <w:pStyle w:val="TOC3"/>
            <w:tabs>
              <w:tab w:val="clear" w:pos="426"/>
              <w:tab w:val="clear" w:pos="1400"/>
              <w:tab w:val="clear" w:pos="9911"/>
              <w:tab w:val="right" w:pos="9637" w:leader="dot"/>
            </w:tabs>
            <w:ind w:left="0" w:hanging="0"/>
            <w:rPr/>
          </w:pPr>
          <w:hyperlink w:anchor="__RefHeading___4">
            <w:r>
              <w:rPr>
                <w:webHidden/>
                <w:rStyle w:val="Style16"/>
                <w:vanish w:val="false"/>
              </w:rPr>
              <w:t>1.3.    Цель оказания Услуг</w:t>
              <w:tab/>
            </w:r>
            <w:r>
              <w:rPr>
                <w:rStyle w:val="Style16"/>
                <w:sz w:val="24"/>
              </w:rPr>
              <w:t>3</w:t>
            </w:r>
          </w:hyperlink>
        </w:p>
        <w:p>
          <w:pPr>
            <w:pStyle w:val="TOC3"/>
            <w:tabs>
              <w:tab w:val="clear" w:pos="426"/>
              <w:tab w:val="clear" w:pos="1400"/>
              <w:tab w:val="clear" w:pos="9911"/>
              <w:tab w:val="right" w:pos="9637" w:leader="dot"/>
            </w:tabs>
            <w:ind w:left="0" w:hanging="0"/>
            <w:rPr/>
          </w:pPr>
          <w:hyperlink w:anchor="__RefHeading___5">
            <w:r>
              <w:rPr>
                <w:webHidden/>
                <w:rStyle w:val="Style16"/>
                <w:vanish w:val="false"/>
              </w:rPr>
              <w:t>Таблица 1. Перечень объектов заказчика</w:t>
              <w:tab/>
            </w:r>
            <w:r>
              <w:rPr>
                <w:rStyle w:val="Style16"/>
                <w:sz w:val="24"/>
              </w:rPr>
              <w:t>3</w:t>
            </w:r>
          </w:hyperlink>
        </w:p>
        <w:p>
          <w:pPr>
            <w:pStyle w:val="TOC1"/>
            <w:tabs>
              <w:tab w:val="clear" w:pos="840"/>
              <w:tab w:val="right" w:pos="9637" w:leader="dot"/>
              <w:tab w:val="right" w:pos="9911" w:leader="dot"/>
            </w:tabs>
            <w:ind w:hanging="0"/>
            <w:rPr/>
          </w:pPr>
          <w:hyperlink w:anchor="__RefHeading___6">
            <w:r>
              <w:rPr>
                <w:webHidden/>
                <w:rStyle w:val="Style16"/>
                <w:vanish w:val="false"/>
              </w:rPr>
              <w:t>2.    Требования к Услугам</w:t>
              <w:tab/>
              <w:t>4</w:t>
            </w:r>
          </w:hyperlink>
        </w:p>
        <w:p>
          <w:pPr>
            <w:pStyle w:val="TOC3"/>
            <w:tabs>
              <w:tab w:val="clear" w:pos="426"/>
              <w:tab w:val="clear" w:pos="1400"/>
              <w:tab w:val="clear" w:pos="9911"/>
              <w:tab w:val="right" w:pos="9637" w:leader="dot"/>
            </w:tabs>
            <w:ind w:left="0" w:hanging="0"/>
            <w:rPr/>
          </w:pPr>
          <w:hyperlink w:anchor="__RefHeading___7">
            <w:r>
              <w:rPr>
                <w:webHidden/>
                <w:rStyle w:val="Style16"/>
                <w:b/>
                <w:vanish w:val="false"/>
              </w:rPr>
              <w:t>2.1.    Требования к объемам Услуг</w:t>
            </w:r>
            <w:r>
              <w:rPr>
                <w:rStyle w:val="Style16"/>
              </w:rPr>
              <w:tab/>
            </w:r>
            <w:r>
              <w:rPr>
                <w:rStyle w:val="Style16"/>
                <w:sz w:val="24"/>
              </w:rPr>
              <w:t>4</w:t>
            </w:r>
          </w:hyperlink>
        </w:p>
        <w:p>
          <w:pPr>
            <w:pStyle w:val="TOC4"/>
            <w:tabs>
              <w:tab w:val="clear" w:pos="426"/>
              <w:tab w:val="right" w:pos="9637" w:leader="dot"/>
            </w:tabs>
            <w:ind w:left="0" w:hanging="0"/>
            <w:rPr/>
          </w:pPr>
          <w:hyperlink w:anchor="__RefHeading___8">
            <w:r>
              <w:rPr>
                <w:webHidden/>
                <w:rStyle w:val="Style16"/>
                <w:b/>
                <w:vanish w:val="false"/>
              </w:rPr>
              <w:t>2.2.    Требования к качеству Услуг</w:t>
            </w:r>
            <w:r>
              <w:rPr>
                <w:rStyle w:val="Style16"/>
              </w:rPr>
              <w:tab/>
            </w:r>
            <w:r>
              <w:rPr>
                <w:rStyle w:val="Style16"/>
                <w:sz w:val="24"/>
              </w:rPr>
              <w:t>4</w:t>
            </w:r>
          </w:hyperlink>
        </w:p>
        <w:p>
          <w:pPr>
            <w:pStyle w:val="TOC1"/>
            <w:tabs>
              <w:tab w:val="clear" w:pos="840"/>
              <w:tab w:val="right" w:pos="9637" w:leader="dot"/>
              <w:tab w:val="right" w:pos="9911" w:leader="dot"/>
            </w:tabs>
            <w:ind w:hanging="0"/>
            <w:rPr/>
          </w:pPr>
          <w:hyperlink w:anchor="__RefHeading___9">
            <w:r>
              <w:rPr>
                <w:webHidden/>
                <w:rStyle w:val="Style16"/>
                <w:vanish w:val="false"/>
              </w:rPr>
              <w:t>3.    Требования к документации по ценообразованию на этапе заключения (исполнения) договора</w:t>
              <w:tab/>
              <w:t>10</w:t>
            </w:r>
          </w:hyperlink>
        </w:p>
        <w:p>
          <w:pPr>
            <w:pStyle w:val="TOC1"/>
            <w:tabs>
              <w:tab w:val="clear" w:pos="840"/>
              <w:tab w:val="right" w:pos="9637" w:leader="dot"/>
              <w:tab w:val="right" w:pos="9911" w:leader="dot"/>
            </w:tabs>
            <w:ind w:hanging="0"/>
            <w:rPr/>
          </w:pPr>
          <w:hyperlink w:anchor="__RefHeading___10">
            <w:r>
              <w:rPr>
                <w:webHidden/>
                <w:rStyle w:val="Style16"/>
                <w:vanish w:val="false"/>
              </w:rPr>
              <w:t>4.    Приложения</w:t>
              <w:tab/>
              <w:t>12</w:t>
            </w:r>
          </w:hyperlink>
          <w:r>
            <w:rPr>
              <w:rStyle w:val="Style16"/>
              <w:vanish w:val="false"/>
            </w:rPr>
            <w:fldChar w:fldCharType="end"/>
          </w:r>
        </w:p>
      </w:sdtContent>
    </w:sdt>
    <w:p>
      <w:pPr>
        <w:pStyle w:val="Heading1"/>
        <w:numPr>
          <w:ilvl w:val="0"/>
          <w:numId w:val="0"/>
        </w:numPr>
        <w:ind w:left="426" w:hanging="0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4"/>
        </w:numPr>
        <w:ind w:left="360" w:firstLine="66"/>
        <w:jc w:val="left"/>
        <w:rPr/>
      </w:pPr>
      <w:r>
        <w:rPr/>
        <w:t>Общие сведения</w:t>
      </w:r>
    </w:p>
    <w:p>
      <w:pPr>
        <w:pStyle w:val="Heading3"/>
        <w:numPr>
          <w:ilvl w:val="1"/>
          <w:numId w:val="4"/>
        </w:numPr>
        <w:spacing w:before="120" w:after="120"/>
        <w:contextualSpacing/>
        <w:textAlignment w:val="auto"/>
        <w:rPr>
          <w:sz w:val="26"/>
          <w:szCs w:val="26"/>
        </w:rPr>
      </w:pPr>
      <w:bookmarkStart w:id="0" w:name="_Toc132120353"/>
      <w:bookmarkStart w:id="1" w:name="_Toc127794072"/>
      <w:bookmarkStart w:id="2" w:name="_Toc127794215"/>
      <w:bookmarkStart w:id="3" w:name="_Toc54643122"/>
      <w:bookmarkStart w:id="4" w:name="_Toc128384888"/>
      <w:r>
        <w:rPr>
          <w:sz w:val="26"/>
          <w:szCs w:val="26"/>
        </w:rPr>
        <w:t>Обозначения и сокращения</w:t>
      </w:r>
      <w:bookmarkEnd w:id="0"/>
      <w:bookmarkEnd w:id="1"/>
      <w:bookmarkEnd w:id="2"/>
      <w:bookmarkEnd w:id="3"/>
      <w:bookmarkEnd w:id="4"/>
    </w:p>
    <w:tbl>
      <w:tblPr>
        <w:tblW w:w="9750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1750"/>
        <w:gridCol w:w="7999"/>
      </w:tblGrid>
      <w:tr>
        <w:trPr>
          <w:cantSplit w:val="true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6"/>
                <w:szCs w:val="26"/>
              </w:rPr>
              <w:t>ГТС</w:t>
            </w: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Гидротехнические сооружения</w:t>
            </w:r>
          </w:p>
        </w:tc>
      </w:tr>
      <w:tr>
        <w:trPr>
          <w:cantSplit w:val="true"/>
        </w:trPr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6"/>
                <w:szCs w:val="26"/>
              </w:rPr>
              <w:t>ГАЭС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Гидроаккумулирующая электростанция</w:t>
            </w:r>
          </w:p>
        </w:tc>
      </w:tr>
      <w:tr>
        <w:trPr>
          <w:cantSplit w:val="true"/>
        </w:trPr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6"/>
                <w:szCs w:val="26"/>
              </w:rPr>
              <w:t>ППТУ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 пускогого тиристого устройства</w:t>
            </w:r>
          </w:p>
        </w:tc>
      </w:tr>
      <w:tr>
        <w:trPr>
          <w:cantSplit w:val="true"/>
        </w:trPr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6"/>
                <w:szCs w:val="26"/>
              </w:rPr>
              <w:t>АСДК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Автоматизированная система диагностического контроля</w:t>
            </w:r>
          </w:p>
        </w:tc>
      </w:tr>
      <w:tr>
        <w:trPr>
          <w:cantSplit w:val="true"/>
        </w:trPr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6"/>
                <w:szCs w:val="26"/>
              </w:rPr>
              <w:t>ИДС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Информационно-диагностическая система</w:t>
            </w:r>
          </w:p>
        </w:tc>
      </w:tr>
      <w:tr>
        <w:trPr>
          <w:cantSplit w:val="true"/>
        </w:trPr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6"/>
                <w:szCs w:val="26"/>
              </w:rPr>
              <w:t>КИА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Контрольно-измерительная аппаратура</w:t>
            </w:r>
          </w:p>
        </w:tc>
      </w:tr>
      <w:tr>
        <w:trPr>
          <w:cantSplit w:val="true"/>
        </w:trPr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167" w:leader="none"/>
              </w:tabs>
              <w:ind w:hanging="0"/>
              <w:jc w:val="center"/>
              <w:rPr/>
            </w:pPr>
            <w:r>
              <w:rPr>
                <w:sz w:val="26"/>
                <w:szCs w:val="26"/>
              </w:rPr>
              <w:t>АСО КИА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13" w:righ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Автоматизированная система опроса контрольно-измерительной аппаратуры</w:t>
            </w:r>
          </w:p>
        </w:tc>
      </w:tr>
      <w:tr>
        <w:trPr>
          <w:cantSplit w:val="true"/>
        </w:trPr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6"/>
                <w:szCs w:val="26"/>
              </w:rPr>
              <w:t>ЦП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Центральный пункт</w:t>
            </w:r>
          </w:p>
        </w:tc>
      </w:tr>
      <w:tr>
        <w:trPr>
          <w:cantSplit w:val="true"/>
        </w:trPr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6"/>
                <w:szCs w:val="26"/>
              </w:rPr>
              <w:t>МПТ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Многоканальный программируемый терминал</w:t>
            </w:r>
          </w:p>
        </w:tc>
      </w:tr>
      <w:tr>
        <w:trPr>
          <w:cantSplit w:val="true"/>
        </w:trPr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6"/>
                <w:szCs w:val="26"/>
              </w:rPr>
              <w:t>КШ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Коммутационный шкаф</w:t>
            </w:r>
          </w:p>
        </w:tc>
      </w:tr>
      <w:tr>
        <w:trPr>
          <w:cantSplit w:val="true"/>
        </w:trPr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6"/>
                <w:szCs w:val="26"/>
              </w:rPr>
              <w:t>ПО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Программное обеспечение</w:t>
            </w:r>
          </w:p>
        </w:tc>
      </w:tr>
      <w:tr>
        <w:trPr>
          <w:cantSplit w:val="true"/>
        </w:trPr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6"/>
              </w:rPr>
              <w:t>СПК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 w:hanging="0"/>
              <w:rPr>
                <w:sz w:val="26"/>
              </w:rPr>
            </w:pPr>
            <w:r>
              <w:rPr>
                <w:sz w:val="26"/>
              </w:rPr>
              <w:t>Служебно-производственный корпус</w:t>
            </w:r>
          </w:p>
        </w:tc>
      </w:tr>
      <w:tr>
        <w:trPr>
          <w:cantSplit w:val="true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6"/>
                <w:szCs w:val="26"/>
              </w:rPr>
              <w:t>СТО</w:t>
            </w: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Стандарт организации</w:t>
            </w:r>
          </w:p>
        </w:tc>
      </w:tr>
    </w:tbl>
    <w:p>
      <w:pPr>
        <w:pStyle w:val="Heading3"/>
        <w:spacing w:before="120" w:after="120"/>
        <w:ind w:left="0" w:hanging="0"/>
        <w:contextualSpacing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1"/>
          <w:numId w:val="4"/>
        </w:numPr>
        <w:spacing w:before="120" w:after="120"/>
        <w:contextualSpacing/>
        <w:textAlignment w:val="auto"/>
        <w:rPr>
          <w:sz w:val="26"/>
          <w:szCs w:val="26"/>
        </w:rPr>
      </w:pPr>
      <w:r>
        <w:rPr>
          <w:sz w:val="26"/>
          <w:szCs w:val="26"/>
        </w:rPr>
        <w:t>Наименование закупаемых услуг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ОКПД2 — 71.12.11.921. Оказание услуг по проведению мониторинга гидротехнических сооружений Загорской ГАЭС-2 в рамках инвестиционной программы «Строительство Загорской ГАЭС-2 на р. Кунья (достройка)».</w:t>
      </w:r>
    </w:p>
    <w:p>
      <w:pPr>
        <w:pStyle w:val="Heading3"/>
        <w:numPr>
          <w:ilvl w:val="1"/>
          <w:numId w:val="4"/>
        </w:numPr>
        <w:spacing w:before="120" w:after="120"/>
        <w:contextualSpacing/>
        <w:textAlignment w:val="auto"/>
        <w:rPr>
          <w:sz w:val="26"/>
          <w:szCs w:val="26"/>
        </w:rPr>
      </w:pPr>
      <w:bookmarkStart w:id="5" w:name="_Toc127794074"/>
      <w:bookmarkStart w:id="6" w:name="_Toc127794217"/>
      <w:bookmarkStart w:id="7" w:name="_Toc54643124"/>
      <w:bookmarkStart w:id="8" w:name="_Toc128384890"/>
      <w:bookmarkStart w:id="9" w:name="_Toc132120355"/>
      <w:r>
        <w:rPr>
          <w:sz w:val="26"/>
          <w:szCs w:val="26"/>
        </w:rPr>
        <w:t xml:space="preserve">Цель оказания </w:t>
      </w:r>
      <w:bookmarkEnd w:id="5"/>
      <w:bookmarkEnd w:id="6"/>
      <w:bookmarkEnd w:id="7"/>
      <w:bookmarkEnd w:id="8"/>
      <w:bookmarkEnd w:id="9"/>
      <w:r>
        <w:rPr>
          <w:sz w:val="26"/>
          <w:szCs w:val="26"/>
        </w:rPr>
        <w:t>услуг</w:t>
      </w:r>
    </w:p>
    <w:p>
      <w:pPr>
        <w:pStyle w:val="Normal"/>
        <w:rPr>
          <w:b/>
          <w:sz w:val="26"/>
          <w:szCs w:val="26"/>
        </w:rPr>
      </w:pPr>
      <w:r>
        <w:rPr>
          <w:sz w:val="26"/>
          <w:szCs w:val="26"/>
        </w:rPr>
        <w:t xml:space="preserve">Целью оказания Услуг является </w:t>
      </w:r>
      <w:r>
        <w:rPr>
          <w:color w:val="000000"/>
          <w:sz w:val="26"/>
          <w:szCs w:val="26"/>
        </w:rPr>
        <w:t>анализ и оценка состояния гидротехнических сооружений  Загорской ГАЭС-2.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Задачами оказываемых Услуг является проведение </w:t>
      </w:r>
      <w:r>
        <w:rPr>
          <w:sz w:val="26"/>
        </w:rPr>
        <w:t xml:space="preserve">контрольных, а также специальных натурных наблюдений за состоянием гидротехнических сооружений Загорской </w:t>
      </w:r>
      <w:r>
        <w:rPr>
          <w:sz w:val="26"/>
          <w:szCs w:val="26"/>
        </w:rPr>
        <w:t>ГАЭС-2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before="240" w:after="0"/>
        <w:rPr>
          <w:b/>
          <w:sz w:val="26"/>
          <w:szCs w:val="26"/>
        </w:rPr>
      </w:pPr>
      <w:bookmarkStart w:id="10" w:name="_Toc54643126"/>
      <w:r>
        <w:rPr>
          <w:sz w:val="26"/>
          <w:szCs w:val="26"/>
        </w:rPr>
        <w:t xml:space="preserve">Таблица 1. Перечень объектов </w:t>
      </w:r>
      <w:bookmarkEnd w:id="10"/>
      <w:r>
        <w:rPr>
          <w:sz w:val="26"/>
          <w:szCs w:val="26"/>
        </w:rPr>
        <w:t>заказчика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1446"/>
        <w:gridCol w:w="2157"/>
        <w:gridCol w:w="5497"/>
      </w:tblGrid>
      <w:tr>
        <w:trPr>
          <w:tblHeader w:val="true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объекта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Расположение объекта </w:t>
              <w:br/>
              <w:t>(место производства работ)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основного средства (в отношении которого выполняются работы)</w:t>
            </w:r>
          </w:p>
        </w:tc>
      </w:tr>
      <w:tr>
        <w:trPr>
          <w:tblHeader w:val="true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>
        <w:trPr>
          <w:trHeight w:val="85" w:hRule="atLeast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ГТС Загорской ГАЭС-2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гидроаккумулирующая электростанция (АО «Загорская ГАЭС-2»), Российская Федерация, Московская область, г. Сергиев Посад, поселок городского типа Богородское, дом 101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ДВБ с прилегающей территорией</w:t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водоприёмника с понуром и сопрягающими подпорными стенами (ПВ, ЛВ, ПС, ЛС, ПН, ЛН)</w:t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Напорные водоводы</w:t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/>
            </w:pPr>
            <w:r>
              <w:rPr>
                <w:sz w:val="26"/>
                <w:szCs w:val="26"/>
              </w:rPr>
              <w:t>Склоны, прилегающие к напорным водоводам</w:t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ГАЭС с понуром</w:t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Монтажная площадка</w:t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Служебно-производственный корпус</w:t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ППТУ №4</w:t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Откосы котлована здания ГАЭС, рисберма</w:t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Подпорные стены</w:t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Перемычка реверсивного канала</w:t>
            </w:r>
          </w:p>
        </w:tc>
      </w:tr>
      <w:tr>
        <w:trPr>
          <w:trHeight w:val="197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/>
            </w:pPr>
            <w:r>
              <w:rPr>
                <w:sz w:val="26"/>
                <w:szCs w:val="26"/>
              </w:rPr>
              <w:t>Площадка размещения КРУЭ-500 кВ</w:t>
            </w:r>
          </w:p>
        </w:tc>
      </w:tr>
    </w:tbl>
    <w:p>
      <w:pPr>
        <w:pStyle w:val="Heading1"/>
        <w:numPr>
          <w:ilvl w:val="0"/>
          <w:numId w:val="4"/>
        </w:numPr>
        <w:ind w:left="360" w:firstLine="66"/>
        <w:jc w:val="left"/>
        <w:rPr>
          <w:caps/>
          <w:sz w:val="26"/>
          <w:szCs w:val="26"/>
        </w:rPr>
      </w:pPr>
      <w:bookmarkStart w:id="11" w:name="_Toc54643129"/>
      <w:bookmarkStart w:id="12" w:name="_Toc127351534"/>
      <w:bookmarkStart w:id="13" w:name="_Toc51921656"/>
      <w:bookmarkStart w:id="14" w:name="_Toc127794076"/>
      <w:bookmarkStart w:id="15" w:name="_Toc128384892"/>
      <w:bookmarkStart w:id="16" w:name="_Toc127794219"/>
      <w:bookmarkStart w:id="17" w:name="_Toc132120357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Требования к </w:t>
      </w:r>
      <w:bookmarkEnd w:id="11"/>
      <w:bookmarkEnd w:id="12"/>
      <w:bookmarkEnd w:id="13"/>
      <w:bookmarkEnd w:id="14"/>
      <w:bookmarkEnd w:id="15"/>
      <w:bookmarkEnd w:id="16"/>
      <w:bookmarkEnd w:id="17"/>
      <w:r>
        <w:rPr>
          <w:sz w:val="26"/>
          <w:szCs w:val="26"/>
        </w:rPr>
        <w:t>Услугам</w:t>
      </w:r>
    </w:p>
    <w:p>
      <w:pPr>
        <w:pStyle w:val="Heading3"/>
        <w:numPr>
          <w:ilvl w:val="1"/>
          <w:numId w:val="4"/>
        </w:numPr>
        <w:spacing w:before="120" w:after="120"/>
        <w:contextualSpacing/>
        <w:textAlignment w:val="auto"/>
        <w:rPr>
          <w:rStyle w:val="Style8"/>
          <w:bCs/>
          <w:sz w:val="26"/>
          <w:szCs w:val="26"/>
        </w:rPr>
      </w:pPr>
      <w:bookmarkStart w:id="18" w:name="_Toc127794220"/>
      <w:bookmarkStart w:id="19" w:name="_Toc128384893"/>
      <w:bookmarkStart w:id="20" w:name="_Toc127794077"/>
      <w:bookmarkStart w:id="21" w:name="_Toc132120358"/>
      <w:bookmarkStart w:id="22" w:name="_Toc54643130"/>
      <w:r>
        <w:rPr>
          <w:sz w:val="26"/>
          <w:szCs w:val="26"/>
        </w:rPr>
        <w:t xml:space="preserve">Требования к объемам </w:t>
      </w:r>
      <w:bookmarkEnd w:id="18"/>
      <w:bookmarkEnd w:id="19"/>
      <w:bookmarkEnd w:id="20"/>
      <w:bookmarkEnd w:id="21"/>
      <w:bookmarkEnd w:id="22"/>
      <w:r>
        <w:rPr>
          <w:sz w:val="26"/>
          <w:szCs w:val="26"/>
        </w:rPr>
        <w:t>Услуг</w:t>
      </w:r>
    </w:p>
    <w:p>
      <w:pPr>
        <w:pStyle w:val="Heading4"/>
        <w:numPr>
          <w:ilvl w:val="2"/>
          <w:numId w:val="4"/>
        </w:numPr>
        <w:rPr>
          <w:rStyle w:val="Style8"/>
          <w:bCs/>
          <w:sz w:val="26"/>
          <w:szCs w:val="26"/>
        </w:rPr>
      </w:pPr>
      <w:bookmarkStart w:id="23" w:name="_Toc51921657"/>
      <w:bookmarkStart w:id="24" w:name="_Toc54643131"/>
      <w:bookmarkStart w:id="25" w:name="_Toc128384894"/>
      <w:r>
        <w:rPr>
          <w:sz w:val="26"/>
          <w:szCs w:val="26"/>
        </w:rPr>
        <w:t xml:space="preserve">Требования к перечню и объему </w:t>
      </w:r>
      <w:bookmarkEnd w:id="23"/>
      <w:bookmarkEnd w:id="24"/>
      <w:bookmarkEnd w:id="25"/>
      <w:r>
        <w:rPr>
          <w:sz w:val="26"/>
          <w:szCs w:val="26"/>
        </w:rPr>
        <w:t>Услуг</w:t>
      </w:r>
    </w:p>
    <w:p>
      <w:pPr>
        <w:pStyle w:val="Heading5"/>
        <w:numPr>
          <w:ilvl w:val="3"/>
          <w:numId w:val="4"/>
        </w:numPr>
        <w:spacing w:before="0" w:after="0"/>
        <w:ind w:left="426" w:hanging="0"/>
        <w:contextualSpacing/>
        <w:rPr>
          <w:sz w:val="26"/>
          <w:szCs w:val="26"/>
        </w:rPr>
      </w:pPr>
      <w:bookmarkStart w:id="26" w:name="_Toc51921659"/>
      <w:bookmarkStart w:id="27" w:name="_Toc128384895"/>
      <w:bookmarkStart w:id="28" w:name="_Toc54643133"/>
      <w:bookmarkEnd w:id="26"/>
      <w:bookmarkEnd w:id="27"/>
      <w:bookmarkEnd w:id="28"/>
      <w:r>
        <w:rPr>
          <w:b w:val="false"/>
          <w:sz w:val="26"/>
          <w:szCs w:val="26"/>
        </w:rPr>
        <w:t>Проведение натурных наблюдений за показателями состояния контролируемых гидротехнических сооружений в том числе:</w:t>
      </w:r>
    </w:p>
    <w:p>
      <w:pPr>
        <w:pStyle w:val="ListParagraph1"/>
        <w:widowControl w:val="false"/>
        <w:spacing w:lineRule="auto" w:line="240"/>
        <w:ind w:left="426" w:hanging="0"/>
        <w:rPr>
          <w:sz w:val="26"/>
        </w:rPr>
      </w:pPr>
      <w:r>
        <w:rPr>
          <w:sz w:val="26"/>
          <w:szCs w:val="26"/>
        </w:rPr>
        <w:t xml:space="preserve">- </w:t>
        <w:tab/>
        <w:t xml:space="preserve">визуальных наблюдений, контролируемых ГТС </w:t>
      </w:r>
      <w:r>
        <w:rPr>
          <w:sz w:val="26"/>
        </w:rPr>
        <w:t>(контрольных и специальных);</w:t>
      </w:r>
    </w:p>
    <w:p>
      <w:pPr>
        <w:pStyle w:val="ListParagraph1"/>
        <w:widowControl w:val="false"/>
        <w:spacing w:lineRule="auto" w:line="240"/>
        <w:ind w:left="426" w:hanging="0"/>
        <w:rPr>
          <w:sz w:val="26"/>
        </w:rPr>
      </w:pPr>
      <w:r>
        <w:rPr>
          <w:sz w:val="26"/>
          <w:szCs w:val="26"/>
        </w:rPr>
        <w:t xml:space="preserve">- </w:t>
        <w:tab/>
      </w:r>
      <w:r>
        <w:rPr>
          <w:sz w:val="26"/>
        </w:rPr>
        <w:t>контрольных и специальных инструментальных наблюдений по закладной «струнной» КИА;</w:t>
      </w:r>
    </w:p>
    <w:p>
      <w:pPr>
        <w:pStyle w:val="ListParagraph"/>
        <w:ind w:left="426" w:hanging="0"/>
        <w:rPr>
          <w:sz w:val="26"/>
          <w:szCs w:val="26"/>
        </w:rPr>
      </w:pPr>
      <w:r>
        <w:rPr>
          <w:sz w:val="26"/>
          <w:szCs w:val="26"/>
        </w:rPr>
        <w:t>-</w:t>
        <w:tab/>
        <w:t>контрольных наблюдений по фильтрационной КИА, контролируемых ГТС;</w:t>
      </w:r>
    </w:p>
    <w:p>
      <w:pPr>
        <w:pStyle w:val="ListParagraph"/>
        <w:ind w:left="426" w:hanging="0"/>
        <w:rPr>
          <w:sz w:val="26"/>
          <w:szCs w:val="26"/>
        </w:rPr>
      </w:pPr>
      <w:r>
        <w:rPr>
          <w:sz w:val="26"/>
          <w:szCs w:val="26"/>
        </w:rPr>
        <w:t xml:space="preserve">- </w:t>
        <w:tab/>
        <w:t>наблюдений за стабильностью плановой и высотной опорных геодезических сетей, контролируемых ГТС;</w:t>
      </w:r>
    </w:p>
    <w:p>
      <w:pPr>
        <w:pStyle w:val="ListParagraph"/>
        <w:ind w:left="426" w:hanging="0"/>
        <w:rPr>
          <w:sz w:val="26"/>
          <w:szCs w:val="26"/>
        </w:rPr>
      </w:pPr>
      <w:r>
        <w:rPr>
          <w:sz w:val="26"/>
          <w:szCs w:val="26"/>
        </w:rPr>
        <w:t xml:space="preserve">- </w:t>
        <w:tab/>
        <w:t>наблюдений за вертикальными перемещениями (нивелирование), контролируемых ГТС;</w:t>
      </w:r>
    </w:p>
    <w:p>
      <w:pPr>
        <w:pStyle w:val="ListParagraph"/>
        <w:ind w:left="426" w:hanging="0"/>
        <w:rPr>
          <w:sz w:val="26"/>
          <w:szCs w:val="26"/>
        </w:rPr>
      </w:pPr>
      <w:r>
        <w:rPr>
          <w:sz w:val="26"/>
          <w:szCs w:val="26"/>
        </w:rPr>
        <w:t xml:space="preserve">- </w:t>
        <w:tab/>
        <w:t>наблюдений по обратным отвесам, контролируемых ГТС;</w:t>
      </w:r>
    </w:p>
    <w:p>
      <w:pPr>
        <w:pStyle w:val="ListParagraph"/>
        <w:ind w:left="426" w:hanging="0"/>
        <w:rPr>
          <w:sz w:val="26"/>
          <w:szCs w:val="26"/>
        </w:rPr>
      </w:pPr>
      <w:r>
        <w:rPr>
          <w:sz w:val="26"/>
          <w:szCs w:val="26"/>
        </w:rPr>
        <w:t xml:space="preserve">- </w:t>
        <w:tab/>
        <w:t>наблюдений по щелемерам, контролируемых ГТС;</w:t>
      </w:r>
    </w:p>
    <w:p>
      <w:pPr>
        <w:pStyle w:val="ListParagraph"/>
        <w:ind w:left="426" w:hanging="0"/>
        <w:rPr>
          <w:sz w:val="26"/>
          <w:szCs w:val="26"/>
        </w:rPr>
      </w:pPr>
      <w:r>
        <w:rPr>
          <w:sz w:val="26"/>
          <w:szCs w:val="26"/>
        </w:rPr>
        <w:t xml:space="preserve">- </w:t>
        <w:tab/>
        <w:t>наблюдений за подвижками точек склона и деформаций зданий и сооружений, контролируемых ГТС;</w:t>
      </w:r>
    </w:p>
    <w:p>
      <w:pPr>
        <w:pStyle w:val="ListParagraph"/>
        <w:ind w:left="426" w:hanging="0"/>
        <w:rPr>
          <w:sz w:val="26"/>
          <w:szCs w:val="26"/>
        </w:rPr>
      </w:pPr>
      <w:r>
        <w:rPr>
          <w:sz w:val="26"/>
          <w:szCs w:val="26"/>
        </w:rPr>
        <w:t>- внесение данных натурных наблюдений в информационно-диагностическую систему «БИНГ».</w:t>
      </w:r>
    </w:p>
    <w:p>
      <w:pPr>
        <w:pStyle w:val="Heading5"/>
        <w:spacing w:before="0" w:after="0"/>
        <w:ind w:left="426" w:hanging="0"/>
        <w:contextualSpacing/>
        <w:rPr>
          <w:sz w:val="26"/>
          <w:szCs w:val="26"/>
        </w:rPr>
      </w:pPr>
      <w:r>
        <w:rPr>
          <w:bCs/>
          <w:sz w:val="26"/>
          <w:szCs w:val="26"/>
        </w:rPr>
        <w:t>2.1.1.2.</w:t>
      </w:r>
      <w:r>
        <w:rPr>
          <w:b w:val="false"/>
          <w:sz w:val="26"/>
          <w:szCs w:val="26"/>
        </w:rPr>
        <w:t xml:space="preserve"> </w:t>
        <w:tab/>
        <w:t>Анализ и оценка состояния контролируемых гидротехнических сооружений.</w:t>
      </w:r>
    </w:p>
    <w:p>
      <w:pPr>
        <w:pStyle w:val="Heading5"/>
        <w:spacing w:before="0" w:after="0"/>
        <w:ind w:left="426" w:hanging="0"/>
        <w:contextualSpacing/>
        <w:rPr/>
      </w:pPr>
      <w:r>
        <w:rPr>
          <w:bCs/>
          <w:sz w:val="26"/>
          <w:szCs w:val="26"/>
        </w:rPr>
        <w:t xml:space="preserve">2.1.1.3. </w:t>
        <w:tab/>
      </w:r>
      <w:r>
        <w:rPr>
          <w:b w:val="false"/>
          <w:sz w:val="26"/>
        </w:rPr>
        <w:t>Осуществление технической поддержки, обеспечение технического обслуживания автоматизированной системы диагностического контроля</w:t>
      </w:r>
      <w:r>
        <w:rPr>
          <w:b w:val="false"/>
          <w:sz w:val="26"/>
          <w:szCs w:val="26"/>
        </w:rPr>
        <w:t>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2"/>
          <w:numId w:val="4"/>
        </w:numPr>
        <w:rPr/>
      </w:pPr>
      <w:bookmarkStart w:id="29" w:name="_Ref37699133"/>
      <w:bookmarkStart w:id="30" w:name="_Ref40018113"/>
      <w:bookmarkStart w:id="31" w:name="_Toc54643135"/>
      <w:bookmarkStart w:id="32" w:name="_Toc128384896"/>
      <w:bookmarkStart w:id="33" w:name="_Toc128384895_Копия_1"/>
      <w:bookmarkStart w:id="34" w:name="_Toc51921659_Копия_1"/>
      <w:bookmarkStart w:id="35" w:name="_Toc54643133_Копия_1"/>
      <w:bookmarkEnd w:id="33"/>
      <w:bookmarkEnd w:id="34"/>
      <w:bookmarkEnd w:id="35"/>
      <w:r>
        <w:rPr>
          <w:sz w:val="26"/>
          <w:szCs w:val="26"/>
        </w:rPr>
        <w:t xml:space="preserve">Требования к качеству </w:t>
      </w:r>
      <w:bookmarkEnd w:id="29"/>
      <w:bookmarkEnd w:id="30"/>
      <w:bookmarkEnd w:id="31"/>
      <w:bookmarkEnd w:id="32"/>
      <w:r>
        <w:rPr>
          <w:sz w:val="26"/>
          <w:szCs w:val="26"/>
        </w:rPr>
        <w:t>услуг</w:t>
      </w:r>
    </w:p>
    <w:p>
      <w:pPr>
        <w:pStyle w:val="Normal"/>
        <w:ind w:left="426" w:hanging="1"/>
        <w:rPr>
          <w:bCs/>
          <w:sz w:val="26"/>
          <w:szCs w:val="26"/>
        </w:rPr>
      </w:pPr>
      <w:r>
        <w:rPr>
          <w:bCs/>
          <w:sz w:val="26"/>
          <w:szCs w:val="26"/>
        </w:rPr>
        <w:t>ОКПД2 71.12.11.921 Проведение мониторинга гидротехнических сооружений Загорской ГАЭС-2 в рамках инвестиционной программы «Загорская ГАЭС-2 на р. Кунья (достройка)».</w:t>
      </w:r>
    </w:p>
    <w:p>
      <w:pPr>
        <w:pStyle w:val="Normal"/>
        <w:ind w:left="426" w:hanging="1"/>
        <w:rPr>
          <w:bCs/>
          <w:sz w:val="26"/>
          <w:szCs w:val="26"/>
          <w:highlight w:val="yellow"/>
        </w:rPr>
      </w:pPr>
      <w:r>
        <w:rPr>
          <w:bCs/>
          <w:sz w:val="26"/>
          <w:szCs w:val="26"/>
          <w:highlight w:val="yellow"/>
        </w:rPr>
      </w:r>
    </w:p>
    <w:p>
      <w:pPr>
        <w:pStyle w:val="Normal"/>
        <w:rPr>
          <w:sz w:val="26"/>
          <w:szCs w:val="26"/>
          <w:highlight w:val="yellow"/>
        </w:rPr>
      </w:pPr>
      <w:bookmarkStart w:id="36" w:name="_Toc51921661"/>
      <w:bookmarkStart w:id="37" w:name="_Toc54643136"/>
      <w:r>
        <w:rPr>
          <w:sz w:val="26"/>
          <w:szCs w:val="26"/>
        </w:rPr>
        <w:t xml:space="preserve">Таблица 4. Требования к качеству </w:t>
      </w:r>
      <w:bookmarkEnd w:id="36"/>
      <w:bookmarkEnd w:id="37"/>
      <w:r>
        <w:rPr>
          <w:sz w:val="26"/>
          <w:szCs w:val="26"/>
        </w:rPr>
        <w:t>услуг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fffa"/>
        <w:tblpPr w:bottomFromText="0" w:horzAnchor="text" w:leftFromText="180" w:rightFromText="180" w:tblpX="387" w:tblpY="1" w:topFromText="0" w:vertAnchor="text"/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2664"/>
        <w:gridCol w:w="6653"/>
      </w:tblGrid>
      <w:tr>
        <w:trPr>
          <w:tblHeader w:val="true"/>
          <w:trHeight w:val="344" w:hRule="atLeast"/>
        </w:trPr>
        <w:tc>
          <w:tcPr>
            <w:tcW w:w="6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0" w:leader="none"/>
              </w:tabs>
              <w:suppressAutoHyphens w:val="true"/>
              <w:spacing w:before="0" w:after="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№ </w:t>
            </w:r>
            <w:r>
              <w:rPr>
                <w:rFonts w:cs="Times New Roman"/>
                <w:b/>
                <w:kern w:val="0"/>
                <w:sz w:val="26"/>
                <w:szCs w:val="26"/>
                <w:lang w:val="ru-RU" w:eastAsia="ru-RU" w:bidi="ar-SA"/>
              </w:rPr>
              <w:t>п/п</w:t>
            </w:r>
          </w:p>
        </w:tc>
        <w:tc>
          <w:tcPr>
            <w:tcW w:w="266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kern w:val="0"/>
                <w:sz w:val="26"/>
                <w:szCs w:val="26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kern w:val="0"/>
                <w:sz w:val="26"/>
                <w:szCs w:val="26"/>
                <w:lang w:val="ru-RU" w:eastAsia="ru-RU" w:bidi="ar-SA"/>
              </w:rPr>
              <w:t>Требование заказчика</w:t>
            </w:r>
          </w:p>
        </w:tc>
      </w:tr>
      <w:tr>
        <w:trPr>
          <w:tblHeader w:val="true"/>
          <w:trHeight w:val="344" w:hRule="atLeast"/>
        </w:trPr>
        <w:tc>
          <w:tcPr>
            <w:tcW w:w="6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0" w:leader="none"/>
              </w:tabs>
              <w:suppressAutoHyphens w:val="true"/>
              <w:spacing w:before="0" w:after="0"/>
              <w:ind w:hanging="0"/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6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66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</w:tr>
      <w:tr>
        <w:trPr>
          <w:tblHeader w:val="true"/>
          <w:trHeight w:val="234" w:hRule="atLeast"/>
        </w:trPr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0" w:leader="none"/>
              </w:tabs>
              <w:suppressAutoHyphens w:val="true"/>
              <w:spacing w:before="0" w:after="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66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kern w:val="0"/>
                <w:sz w:val="26"/>
                <w:szCs w:val="26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0" w:leader="none"/>
              </w:tabs>
              <w:suppressAutoHyphens w:val="true"/>
              <w:spacing w:before="0" w:after="0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93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0" w:leader="none"/>
              </w:tabs>
              <w:suppressAutoHyphens w:val="true"/>
              <w:spacing w:before="0" w:after="0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1.1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Требования к проведению натурных наблюдений</w:t>
            </w:r>
          </w:p>
        </w:tc>
        <w:tc>
          <w:tcPr>
            <w:tcW w:w="6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Состав, объем и методика проведения наблюдений за состоянием гидротехнических Загорской ГАЭС-2 предусматривает выполнение контрольных натурных наблюдений и геофизических наблюдений в соответствии с регламентом № 1834-40-562 «Регламент мониторинга ГТС Загорской ГАЭС-2 на р. Кунье (достройка)».</w:t>
            </w:r>
          </w:p>
          <w:p>
            <w:pPr>
              <w:pStyle w:val="ListParagraph1"/>
              <w:widowControl w:val="false"/>
              <w:spacing w:lineRule="auto" w:line="240" w:before="0" w:after="0"/>
              <w:ind w:left="0" w:hanging="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- Перед началом оказания Услуг предоставить на каждый квартал, график проведения натурных наблюдений за показателями состояния контролируемых гидротехнических сооружений (Приложение №1 к настоящему Заданию на оказание Услуг).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 Результаты выполненных натурных наблюдений должны заноситься в журналы по каждому отдельному виду наблюдений, с предоставлением сведений об обнаруженных недостатках во время проведенных осмотрах и с указанием их характера.  Журналы хранятся у Исполнителя до окончания оказания всех этапов Услуг по договору, а после передаются Заказчику.</w:t>
            </w:r>
          </w:p>
          <w:p>
            <w:pPr>
              <w:pStyle w:val="ListParagraph1"/>
              <w:widowControl w:val="false"/>
              <w:spacing w:lineRule="auto" w:line="240" w:before="0" w:after="0"/>
              <w:ind w:left="0" w:hanging="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- По результатам оказанных Услуг по проведению натурных наблюдений ежеквартально, в соответствии с календарным графиком оказания Услуг (Приложение № 2 к Договору) подписывается двусторонний акт, подтверждающий выполнение объемов работ с предъявлением Заказчику на освидетельствование соответствующих журналов наблюдений, не позднее 15 календарных дней после окончания Этапа Услуг (отчетного квартала).</w:t>
            </w:r>
          </w:p>
          <w:p>
            <w:pPr>
              <w:pStyle w:val="ListParagraph1"/>
              <w:widowControl w:val="false"/>
              <w:spacing w:lineRule="auto" w:line="240" w:before="0" w:after="0"/>
              <w:ind w:left="0" w:hanging="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- Данные выполненных натурных наблюдений (записи об обнаруженных дефектах с их привязкой и параметрами, фотографии дефектов, обновленные карты-развертки), а также информация по установке КИА должны в минимально возможные сроки заноситься Исполнителем в электронную базу данных натурных наблюдений информационно-диагностической системы «БИНГ».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В состав информации вводимой в базу данных входит: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false"/>
              <w:spacing w:lineRule="auto" w:line="240" w:before="0" w:after="0"/>
              <w:ind w:left="720" w:right="113" w:hanging="360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формирование паспорта контрольно-измерительной аппаратуры;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false"/>
              <w:spacing w:lineRule="auto" w:line="240" w:before="0" w:after="0"/>
              <w:ind w:left="720" w:right="113" w:hanging="360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схемы размещения контрольно-измерительной аппаратуры;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false"/>
              <w:spacing w:lineRule="auto" w:line="240" w:before="0" w:after="0"/>
              <w:ind w:left="720" w:right="113" w:hanging="360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данные наблюдений по установленной контрольно-измерительной аппаратуре;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false"/>
              <w:spacing w:lineRule="auto" w:line="240" w:before="0" w:after="0"/>
              <w:ind w:left="720" w:right="113" w:hanging="360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данные визуальных наблюдений;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false"/>
              <w:spacing w:lineRule="auto" w:line="240" w:before="0" w:after="0"/>
              <w:ind w:left="720" w:right="113" w:hanging="360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критерии безопасности гидротехнических сооружений (при наличии);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другая информация.</w:t>
            </w:r>
          </w:p>
        </w:tc>
      </w:tr>
      <w:tr>
        <w:trPr/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0" w:leader="none"/>
              </w:tabs>
              <w:suppressAutoHyphens w:val="true"/>
              <w:spacing w:before="0" w:after="0"/>
              <w:ind w:hanging="0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1.2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Требования к оценке состояния контролируемых гидротехнических сооружений</w:t>
            </w:r>
          </w:p>
        </w:tc>
        <w:tc>
          <w:tcPr>
            <w:tcW w:w="6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Результаты оценки состояния гидротехнических сооружений должны быть представлены Заказчику в виде ежеквартального технического отчета о состоянии гидротехнических сооружений Загорской ГАЭС-2, включающего: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- краткую информацию о выполняемых работах на территории Загорской ГАЭС-2;</w:t>
            </w:r>
          </w:p>
          <w:p>
            <w:pPr>
              <w:pStyle w:val="ListParagraph1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hanging="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анализ и оценка достаточности действующей контрольно-измерительной аппаратуры;</w:t>
            </w:r>
          </w:p>
          <w:p>
            <w:pPr>
              <w:pStyle w:val="ListParagraph1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hanging="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анализ показателей состояния гидротехнических сооружений, выявленных неблагоприятных процессов, явлений и тенденций в работе;</w:t>
            </w:r>
          </w:p>
          <w:p>
            <w:pPr>
              <w:pStyle w:val="ListParagraph1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hanging="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анализ и оценка технического состояния гидротехнических сооружений и их соответствия требованиям норм, проектным положениям и критериям безопасности;</w:t>
            </w:r>
          </w:p>
          <w:p>
            <w:pPr>
              <w:pStyle w:val="ListParagraph1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hanging="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рекомендации по обеспечению надежности и безопасности гидротехнических сооружений;</w:t>
            </w:r>
          </w:p>
          <w:p>
            <w:pPr>
              <w:pStyle w:val="ListParagraph1"/>
              <w:widowControl w:val="false"/>
              <w:spacing w:lineRule="auto" w:line="240" w:before="0" w:after="0"/>
              <w:ind w:left="0" w:hanging="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- текущий контроль, предусматривающий комплексный анализ состояния контролируемых гидротехнических сооружений по результатам выполненных в прошедшем квартале циклах наблюдений, путем оценки соответствия диагностических показателей критериям безопасности, характера (тенденции) их изменения во времени, адекватности реакции сооружения на изменения нагрузок и воздействий.</w:t>
            </w:r>
          </w:p>
          <w:p>
            <w:pPr>
              <w:pStyle w:val="ListParagraph1"/>
              <w:widowControl w:val="false"/>
              <w:spacing w:lineRule="auto" w:line="240" w:before="0" w:after="0"/>
              <w:ind w:left="0" w:hanging="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 xml:space="preserve">     </w:t>
            </w: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Проверка достоверности показаний измерительных устройств автоматизированной КИА путем сравнения их с первоначальными настройками, а также с критериальными значениями.</w:t>
            </w:r>
          </w:p>
          <w:p>
            <w:pPr>
              <w:pStyle w:val="ListParagraph1"/>
              <w:widowControl w:val="false"/>
              <w:suppressAutoHyphens w:val="false"/>
              <w:bidi w:val="0"/>
              <w:spacing w:lineRule="auto" w:line="240" w:before="0" w:after="0"/>
              <w:ind w:left="0" w:hanging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>
              <w:rPr>
                <w:sz w:val="26"/>
              </w:rPr>
              <w:t>В случае выявления превышения критериальных значений и/или прогрессирующее развитие неблагоприятных процессов, Исполнитель выполняет оперативное информирование Заказчика по средствам мобильной связи и в письменном виде.</w:t>
            </w:r>
          </w:p>
        </w:tc>
      </w:tr>
      <w:tr>
        <w:trPr/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0" w:leader="none"/>
              </w:tabs>
              <w:suppressAutoHyphens w:val="true"/>
              <w:spacing w:before="0" w:after="0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1.3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Требования к осуществлению технической поддержки, обеспечению технического обслуживания автоматизированной системы диагностического контроля</w:t>
            </w:r>
          </w:p>
        </w:tc>
        <w:tc>
          <w:tcPr>
            <w:tcW w:w="6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АСДК ГТС станционного узла Загорской ГАЭС-2 представляет собой интегрированную систему, включающую в себя АСО КИА и ИДС контроля состояния гидротехнических сооружений БИНГ-3.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АСО КИА включает в себя следующие струнные измерительные преобразователи (СИП)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ПДС — 41;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ПЛДС — 114;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ПЛПС — 66;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ПСАС — 343;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ПТС — 105;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ВСЕГО СИП: 669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Целью технической поддержки АСДК является поддержание подсистем АСО КИА и ИДС БИНГ в работоспособном состоянии.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Визуальный осмотр оборудования и средств коммутации на предмет механических повреждений, проверка исправности и отладка электронных блоков многоканальных программируемых терминалов, проверка разъемных соединений в МПТ и клеммных шкафах подсистемы автоматизации струнной КИА (ЦП -1 шт., МПТ - 4 шт., КШ — 17 шт., кабельные линии,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1 раз в полгода);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Устранение механических повреждений оборудования и средств коммутации (1 раз в полгода);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Проверка исправности и отладка электронных блоков многоканальных программируемых терминалов, проверка разъемных соединений в МПТ и клеммных шкафах подсистемы автоматизации струнной КИА (1 раз в полгода);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Проверка ПО «StringM», на предмет отсутствия зависаний и соответствия настройкам (1 раз в полгода);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Устранение неисправностей, наладка настроек ПО «String» (1 раз в полгода);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Проверка базы данных, поступающей в ИДС БИНГ-3 от АСО КИА на предмет соответствия автоматизированной КИА, соблюдения периодичности опроса, достоверности пересчета отсчетов в показания (1 раз в полгода);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rFonts w:eastAsia="Times New Roman"/>
                <w:color w:val="000000"/>
                <w:sz w:val="26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Проведение корректировки графических материалов, эпюр, показателей состояния и отчетов (1 раз в полгода);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Техническая поддержка в установке новых клиентских рабочих мест в локальной вычислительной сети Заказчика (1 раз в полгода);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Внесение дополнительных данных в базу ИДС БИНГ-3 в случае подключения дополнительной КИА (1 раз в полгода);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- Устранение повреждений и неполадок в ИДС БИНГ-3 (1 раз в полгода);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360"/>
              <w:rPr>
                <w:sz w:val="20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При остановке работы автоматической системы диагностического контроля и отсутствии доступа к информационно-диагностической системе «БИНГ», Исполнитель обеспечивает проведение наблюдений в ручном режиме и направляет 1 раз в неделю оперативную информацию о контролируемых показателях состояния, за период не менее 2-х последних месяцев, на электронную почту в соответствии с адресами рассылки, указанными Заказчиком.</w:t>
            </w:r>
          </w:p>
          <w:p>
            <w:pPr>
              <w:pStyle w:val="Normal"/>
              <w:widowControl w:val="false"/>
              <w:tabs>
                <w:tab w:val="clear" w:pos="426"/>
                <w:tab w:val="left" w:pos="283" w:leader="none"/>
              </w:tabs>
              <w:suppressAutoHyphens w:val="true"/>
              <w:spacing w:lineRule="auto" w:line="240" w:before="0" w:after="0"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По результатам выполнения этапа работ, при условии, что работы выполнены надлежащим образом, не позднее 10 календарных дней, после окончания этапа работ, подписывается двусторонний акт, подтверждающий выполнение работ.</w:t>
            </w:r>
          </w:p>
        </w:tc>
      </w:tr>
      <w:tr>
        <w:trPr/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0" w:leader="none"/>
              </w:tabs>
              <w:suppressAutoHyphens w:val="true"/>
              <w:spacing w:before="0" w:after="0"/>
              <w:ind w:hanging="0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1.4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Требование к составу и срокам передачи отчетной документации</w:t>
            </w:r>
          </w:p>
        </w:tc>
        <w:tc>
          <w:tcPr>
            <w:tcW w:w="6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 xml:space="preserve">  </w:t>
            </w: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По результатам оказанных Услуг по проведению натурных наблюдений Исполнитель ежеквартально не позднее 5 календарных дней после оказания Услуг по Этапу передает Заказчику отчёт об оказании Услуг с приложением копий журналов натурных наблюдений в электронном виде.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firstLine="360"/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По окончании оказания Услуг в 2027 году, не позднее 28.02.2028 Исполнитель передает Заказчику заполненные и оформленные соответствующим образом оригиналы журналов наблюдений за период с 01.01.2027 по 31.12.2027 в одном экземпляре, а также копии журналов наблюдений за весь год, записанные на электронный носитель.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Ежеквартальный технический отчет о состоянии гидротехнических сооружений станционного узла Загорской ГАЭС-2 представляется Заказчику не позднее 60 календарных дней после окончания отчетного периода (отчетного квартала) в оригинальном виде на бумажном носителе в 2 экз., и в электронном виде в форматах среды разработки и в формате «pdf» в 1 экз.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firstLine="360"/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После завершения этапа оказания Услуг, Исполнитель предоставляет Заказчику табель учета рабочего времени.</w:t>
            </w:r>
          </w:p>
        </w:tc>
      </w:tr>
      <w:tr>
        <w:trPr/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0" w:leader="none"/>
              </w:tabs>
              <w:suppressAutoHyphens w:val="true"/>
              <w:spacing w:before="0" w:after="0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93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Требования к безопасности работ и охране труда</w:t>
            </w:r>
          </w:p>
        </w:tc>
      </w:tr>
      <w:tr>
        <w:trPr/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0" w:leader="none"/>
              </w:tabs>
              <w:suppressAutoHyphens w:val="true"/>
              <w:spacing w:before="0" w:after="0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2.1</w:t>
            </w:r>
          </w:p>
        </w:tc>
        <w:tc>
          <w:tcPr>
            <w:tcW w:w="2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Требования к безопасности выполняемых работ</w:t>
            </w:r>
          </w:p>
        </w:tc>
        <w:tc>
          <w:tcPr>
            <w:tcW w:w="665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Исполнитель должен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промышленной и пожарной безопасности, охране труда.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Исполнитель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Услуги оказываются, в том числе в неблагоприятный период.</w:t>
            </w:r>
          </w:p>
        </w:tc>
      </w:tr>
      <w:tr>
        <w:trPr/>
        <w:tc>
          <w:tcPr>
            <w:tcW w:w="6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0" w:leader="none"/>
              </w:tabs>
              <w:suppressAutoHyphens w:val="true"/>
              <w:spacing w:before="0" w:after="0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93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Требования к услугам</w:t>
            </w:r>
          </w:p>
        </w:tc>
      </w:tr>
      <w:tr>
        <w:trPr/>
        <w:tc>
          <w:tcPr>
            <w:tcW w:w="60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26"/>
                <w:tab w:val="left" w:pos="0" w:leader="none"/>
              </w:tabs>
              <w:suppressAutoHyphens w:val="true"/>
              <w:spacing w:before="0" w:after="0"/>
              <w:ind w:hanging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6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rPr>
                <w:sz w:val="26"/>
                <w:szCs w:val="26"/>
              </w:rPr>
            </w:pPr>
            <w:r>
              <w:rPr>
                <w:rFonts w:cs="Times New Roman"/>
                <w:kern w:val="0"/>
                <w:sz w:val="26"/>
                <w:szCs w:val="26"/>
                <w:lang w:val="ru-RU" w:eastAsia="ru-RU" w:bidi="ar-SA"/>
              </w:rPr>
              <w:t>Общие требования к услугам</w:t>
            </w:r>
          </w:p>
        </w:tc>
        <w:tc>
          <w:tcPr>
            <w:tcW w:w="66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Услуги должны быть оказаны в соответствии с действующими федеральными, отраслевыми нормативно-техническими документами, СТО ПАО «РусГидро», в частности:</w:t>
            </w:r>
          </w:p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Федеральный закон РФ № 117-ФЗ от 21.07.1997 «О безопасности гидротехнических сооружений» (с изм. и доп., вступ. в силу с 01.09.2024), (ред. от 08.08.2024).</w:t>
            </w:r>
          </w:p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Постановление Правительства РФ от 30 июня 2021 года № 1080 «О федеральном государственном надзоре в области безопасности гидротехнических сооружений» об утверждении Положения о Федеральном государственном надзоре в области безопасности гидротехнических сооружений (ред. от 02.03.2026).</w:t>
            </w:r>
          </w:p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Правила технической эксплуатации электрических станций и сетей Российской Федерации. Утверждены: приказом Минэнерго России от 04.10.2022 № 1070 (ред. от 30.10.2025).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suppressAutoHyphens w:val="false"/>
              <w:spacing w:lineRule="auto" w:line="240" w:before="0" w:after="0"/>
              <w:ind w:left="403" w:hanging="360"/>
              <w:contextualSpacing/>
              <w:rPr>
                <w:rFonts w:eastAsia="Times New Roman"/>
                <w:color w:val="000000"/>
                <w:sz w:val="26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ГОСТ 22.1.02-2023. Безопасность в чрезвычайных ситуациях. Мониторинг и прогнозирование. Термины и определения. Введен в действие приказом Росстандарта России от 07.12.2023 № 1534-ст.</w:t>
            </w:r>
          </w:p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СП 58.13330.2019 «Гидротехнические сооружения. Основные положения. Актуализированная редакция СНиП 33-01-2003. Утвержден приказом Министерства строительства и жилищно-коммунального хозяйства Российской Федерации от 16 декабря 2019 г. N 811/пр и введен в действие с 17 июня 2020 г. (ред. от 09.08.2023).</w:t>
            </w:r>
          </w:p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СП 23.13330.2018 Основания гидротехнических сооружений. Актуализированная редакция СНиП 2.02.02-85*. Утвержден приказом Министерства строительства и жилищно-коммунального хозяйства Российской Федерации (Минстрой России) от 13.08 2018 № 513/пр. (ред. от 18.07.2019).</w:t>
            </w:r>
          </w:p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СП 39.13330.2012 Плотины из грунтовых материалов. Актуализированная редакция СНиП 2.06.05-84*. Утвержден приказом Министерства регионального развития Российской Федерации (Минрегион России) от 29.12.2011 № 635/18 (ред. от 26.12.2024).</w:t>
            </w:r>
          </w:p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СП 40.13330.2012 Плотины бетонные и железобетонные. Актуализированная редакция СНиП 2.06.06-85. Утвержден приказом Министерства регионального развития Российской Федерации (Минрегион России) от 29.12.2011 № 618 (ред. от 02.12.2019).</w:t>
            </w:r>
          </w:p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СП 41.13330.2012 Бетонные и железобетонные конструкции гидротехнических сооружений. Актуализированная редакция СНиП 2.06.08-87. Утвержден приказом Министерства регионального развития Российской Федерации (Минрегион России) от 29.12.2011 № 635/13 (ред. от 28.11.2018).</w:t>
            </w:r>
          </w:p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СП 38.13330.2018 Нагрузки и воздействия на гидротехнические сооружения (волновые, ледовые и от судов). Утвержден приказом Министерства строительства и жилищно-коммунального хозяйства Российской Федерации от 16 августа 2018 г. N 531/пр (ред. от 15.12.2021).</w:t>
            </w:r>
          </w:p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СТО 70238424.27.140.035-2009 Гидроэлектростанции. Мониторинг и оценка технического состояния гидротехнических сооружений в процессе эксплуатации. Нормы и требования. Утвержден приказом НП "ИНВЭЛ" от 04.12.2009 № 88.</w:t>
            </w:r>
          </w:p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СТО 70238424.27.140.026–2009 «Гидроэлектростанции. Оценка и прогнозирование рисков возникновения аварий гидротехнических сооружений. Нормы и требования». Стандарт организации НП «ИНВЭЛ» Утвержден приказом НП "ИНВЭЛ" от 04.12.2009 № 88.</w:t>
            </w:r>
          </w:p>
          <w:p>
            <w:pPr>
              <w:pStyle w:val="ListParagraph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03" w:hanging="360"/>
              <w:contextualSpacing/>
              <w:rPr>
                <w:sz w:val="26"/>
              </w:rPr>
            </w:pPr>
            <w:r>
              <w:rPr>
                <w:rFonts w:cs="Times New Roman"/>
                <w:kern w:val="0"/>
                <w:sz w:val="26"/>
                <w:lang w:val="ru-RU" w:eastAsia="ru-RU" w:bidi="ar-SA"/>
              </w:rPr>
              <w:t>СТО 02.01.80 – 2012 «Гидротехнические сооружения ГЭС и ГАЭС. Правила эксплуатации. Нормы и требования» Утвержден приказом ОАО «РусГидро» от 29.10.2012 №1017.</w:t>
            </w:r>
          </w:p>
          <w:p>
            <w:pPr>
              <w:pStyle w:val="Style39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3" w:firstLine="425"/>
              <w:contextualSpacing/>
              <w:rPr>
                <w:rFonts w:eastAsia="Times New Roman" w:cs="Times New Roman"/>
                <w:color w:val="000000"/>
                <w:sz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lang w:val="ru-RU" w:eastAsia="ru-RU" w:bidi="ar-SA"/>
              </w:rPr>
              <w:t>СТО 70238424.27.140.016-2010 «Здания ГЭС и ГАЭС. Организация эксплуатации и технического обслуживания. Нормы и требования» Утвержден: приказом НП "ИНВЭЛ" от 16.09.2010 № 63.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403" w:hanging="360"/>
              <w:contextualSpacing/>
              <w:rPr>
                <w:rFonts w:eastAsia="Times New Roman"/>
                <w:color w:val="000000"/>
                <w:sz w:val="26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ru-RU" w:eastAsia="ru-RU" w:bidi="ar-SA"/>
              </w:rPr>
              <w:t>СТО 17330282.27.140.016-2008 «Здания ГЭС и ГАЭС. Организация эксплуатации и технического обслуживания. Нормы и требования» Утвержден приказом РАО «ЕЭС России» от 30.06.2008 № 310.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widowControl/>
        <w:numPr>
          <w:ilvl w:val="0"/>
          <w:numId w:val="4"/>
        </w:numPr>
        <w:tabs>
          <w:tab w:val="clear" w:pos="426"/>
          <w:tab w:val="left" w:pos="0" w:leader="none"/>
        </w:tabs>
        <w:suppressAutoHyphens w:val="false"/>
        <w:spacing w:lineRule="auto" w:line="240" w:before="0" w:after="0"/>
        <w:ind w:left="0" w:hanging="0"/>
        <w:contextualSpacing/>
        <w:jc w:val="left"/>
        <w:rPr>
          <w:sz w:val="26"/>
        </w:rPr>
      </w:pPr>
      <w:r>
        <w:rPr>
          <w:sz w:val="26"/>
        </w:rPr>
        <w:t>Требования к документации по ценообразованию на этапе заключения (исполнения) договора</w:t>
      </w:r>
    </w:p>
    <w:p>
      <w:pPr>
        <w:pStyle w:val="Normal"/>
        <w:widowControl/>
        <w:tabs>
          <w:tab w:val="clear" w:pos="426"/>
          <w:tab w:val="left" w:pos="0" w:leader="none"/>
        </w:tabs>
        <w:suppressAutoHyphens w:val="false"/>
        <w:spacing w:lineRule="auto" w:line="240" w:before="0" w:after="0"/>
        <w:ind w:hanging="0"/>
        <w:contextualSpacing/>
        <w:jc w:val="left"/>
        <w:rPr>
          <w:sz w:val="26"/>
        </w:rPr>
      </w:pPr>
      <w:r>
        <w:rPr>
          <w:sz w:val="26"/>
        </w:rPr>
      </w:r>
    </w:p>
    <w:p>
      <w:pPr>
        <w:pStyle w:val="Normal"/>
        <w:widowControl/>
        <w:spacing w:lineRule="auto" w:line="240"/>
        <w:rPr>
          <w:sz w:val="26"/>
        </w:rPr>
      </w:pPr>
      <w:r>
        <w:rPr>
          <w:sz w:val="26"/>
          <w:lang w:eastAsia="en-US" w:bidi="en-US"/>
        </w:rPr>
        <w:t>Разработка сметной документации осуществляется на этапе заключения договора в соответствии с договорными условиями и приложением №2 к ТТ на оказание услуг «Требования к оформлению и составлению сметной документации на оказание услуг».</w:t>
      </w:r>
    </w:p>
    <w:p>
      <w:pPr>
        <w:pStyle w:val="Normal"/>
        <w:widowControl/>
        <w:spacing w:lineRule="auto" w:line="240"/>
        <w:rPr>
          <w:sz w:val="26"/>
        </w:rPr>
      </w:pPr>
      <w:r>
        <w:rPr>
          <w:sz w:val="26"/>
        </w:rPr>
      </w:r>
    </w:p>
    <w:p>
      <w:pPr>
        <w:pStyle w:val="Heading1"/>
        <w:widowControl/>
        <w:numPr>
          <w:ilvl w:val="0"/>
          <w:numId w:val="4"/>
        </w:numPr>
        <w:tabs>
          <w:tab w:val="clear" w:pos="426"/>
          <w:tab w:val="left" w:pos="0" w:leader="none"/>
        </w:tabs>
        <w:suppressAutoHyphens w:val="false"/>
        <w:spacing w:lineRule="auto" w:line="240" w:before="0" w:after="0"/>
        <w:ind w:left="0" w:hanging="0"/>
        <w:contextualSpacing/>
        <w:jc w:val="left"/>
        <w:rPr>
          <w:sz w:val="26"/>
        </w:rPr>
      </w:pPr>
      <w:bookmarkStart w:id="38" w:name="__RefHeading___10"/>
      <w:bookmarkEnd w:id="38"/>
      <w:r>
        <w:rPr>
          <w:sz w:val="26"/>
        </w:rPr>
        <w:t>Приложения</w:t>
      </w:r>
    </w:p>
    <w:p>
      <w:pPr>
        <w:pStyle w:val="Normal"/>
        <w:widowControl/>
        <w:spacing w:lineRule="auto" w:line="240"/>
        <w:rPr>
          <w:sz w:val="26"/>
        </w:rPr>
      </w:pPr>
      <w:r>
        <w:rPr>
          <w:sz w:val="26"/>
        </w:rPr>
        <w:t>Приложение №1: График натурных наблюдений за состоянием гидротехнических сооружений на квартал (Форма).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8" w:right="851" w:gutter="0" w:header="709" w:top="766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uto" w:line="240"/>
        <w:rPr/>
      </w:pPr>
      <w:r>
        <w:rPr>
          <w:rStyle w:val="Style8"/>
          <w:b w:val="false"/>
          <w:i w:val="false"/>
          <w:color w:val="000000"/>
          <w:sz w:val="26"/>
          <w:szCs w:val="26"/>
          <w:shd w:fill="auto" w:val="clear"/>
        </w:rPr>
        <w:t xml:space="preserve">Приложение №2:  </w:t>
      </w:r>
      <w:r>
        <w:rPr>
          <w:rStyle w:val="Style8"/>
          <w:b w:val="false"/>
          <w:i w:val="false"/>
          <w:color w:val="000000"/>
          <w:sz w:val="26"/>
          <w:szCs w:val="26"/>
          <w:shd w:fill="auto" w:val="clear"/>
          <w:lang w:eastAsia="en-US" w:bidi="en-US"/>
        </w:rPr>
        <w:t>Требования к оформлению и составлению сметной документации на оказание услуг.</w:t>
      </w:r>
    </w:p>
    <w:p>
      <w:pPr>
        <w:pStyle w:val="Normal"/>
        <w:widowControl/>
        <w:tabs>
          <w:tab w:val="clear" w:pos="426"/>
        </w:tabs>
        <w:spacing w:lineRule="auto" w:line="240"/>
        <w:ind w:hanging="0"/>
        <w:jc w:val="right"/>
        <w:rPr/>
      </w:pPr>
      <w:r>
        <w:rPr>
          <w:sz w:val="26"/>
        </w:rPr>
        <w:t>Приложение № 1</w:t>
      </w:r>
    </w:p>
    <w:p>
      <w:pPr>
        <w:pStyle w:val="Normal"/>
        <w:widowControl/>
        <w:tabs>
          <w:tab w:val="clear" w:pos="426"/>
        </w:tabs>
        <w:spacing w:lineRule="auto" w:line="240"/>
        <w:ind w:hanging="0"/>
        <w:jc w:val="right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 техническим требованиям на оказание Услуг</w:t>
      </w:r>
    </w:p>
    <w:p>
      <w:pPr>
        <w:pStyle w:val="Normal"/>
        <w:tabs>
          <w:tab w:val="clear" w:pos="426"/>
        </w:tabs>
        <w:suppressAutoHyphens w:val="false"/>
        <w:spacing w:lineRule="auto" w:line="240"/>
        <w:ind w:hanging="0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jc w:val="center"/>
        <w:rPr>
          <w:sz w:val="26"/>
        </w:rPr>
      </w:pPr>
      <w:r>
        <w:rPr>
          <w:rFonts w:eastAsia="Times New Roman"/>
          <w:b/>
          <w:color w:val="000000"/>
          <w:sz w:val="26"/>
          <w:szCs w:val="22"/>
        </w:rPr>
        <w:t>Г</w:t>
      </w:r>
      <w:r>
        <w:rPr>
          <w:b/>
          <w:color w:val="000000"/>
          <w:sz w:val="26"/>
        </w:rPr>
        <w:t>рафик натурных наблюдени</w:t>
      </w:r>
      <w:r>
        <w:rPr>
          <w:b/>
          <w:bCs/>
          <w:color w:val="000000"/>
          <w:sz w:val="26"/>
        </w:rPr>
        <w:t>й за состоянием гидротехнических сооружений</w:t>
      </w:r>
    </w:p>
    <w:p>
      <w:pPr>
        <w:pStyle w:val="Normal"/>
        <w:jc w:val="center"/>
        <w:rPr>
          <w:color w:val="000000"/>
          <w:sz w:val="26"/>
        </w:rPr>
      </w:pPr>
      <w:r>
        <w:rPr>
          <w:b/>
          <w:bCs/>
          <w:color w:val="000000"/>
          <w:sz w:val="26"/>
        </w:rPr>
        <w:t>на квартал</w:t>
      </w:r>
      <w:r>
        <w:rPr>
          <w:color w:val="000000"/>
          <w:sz w:val="26"/>
        </w:rPr>
        <w:t xml:space="preserve"> (Форма)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</w:rPr>
      </w:pPr>
      <w:r>
        <w:rPr>
          <w:rFonts w:eastAsia="Times New Roman"/>
        </w:rPr>
      </w:r>
    </w:p>
    <w:tbl>
      <w:tblPr>
        <w:tblW w:w="1518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16"/>
        <w:gridCol w:w="1145"/>
        <w:gridCol w:w="434"/>
        <w:gridCol w:w="460"/>
        <w:gridCol w:w="472"/>
        <w:gridCol w:w="374"/>
        <w:gridCol w:w="383"/>
        <w:gridCol w:w="400"/>
        <w:gridCol w:w="400"/>
        <w:gridCol w:w="388"/>
        <w:gridCol w:w="406"/>
        <w:gridCol w:w="413"/>
        <w:gridCol w:w="416"/>
        <w:gridCol w:w="370"/>
        <w:gridCol w:w="436"/>
        <w:gridCol w:w="466"/>
        <w:gridCol w:w="451"/>
        <w:gridCol w:w="449"/>
        <w:gridCol w:w="471"/>
        <w:gridCol w:w="450"/>
        <w:gridCol w:w="461"/>
        <w:gridCol w:w="463"/>
        <w:gridCol w:w="468"/>
        <w:gridCol w:w="446"/>
        <w:gridCol w:w="456"/>
        <w:gridCol w:w="476"/>
        <w:gridCol w:w="459"/>
        <w:gridCol w:w="448"/>
        <w:gridCol w:w="455"/>
        <w:gridCol w:w="453"/>
        <w:gridCol w:w="464"/>
        <w:gridCol w:w="451"/>
        <w:gridCol w:w="176"/>
      </w:tblGrid>
      <w:tr>
        <w:trPr>
          <w:trHeight w:val="227" w:hRule="atLeast"/>
        </w:trPr>
        <w:tc>
          <w:tcPr>
            <w:tcW w:w="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выполняемой работы</w:t>
            </w:r>
          </w:p>
        </w:tc>
        <w:tc>
          <w:tcPr>
            <w:tcW w:w="13315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Даты (1-й месяц)</w:t>
            </w:r>
          </w:p>
        </w:tc>
      </w:tr>
      <w:tr>
        <w:trPr/>
        <w:tc>
          <w:tcPr>
            <w:tcW w:w="716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8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45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4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left="-57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4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45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</w:tr>
      <w:tr>
        <w:trPr/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3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7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8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3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left="-57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4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3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7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8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3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left="-57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4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716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315" w:type="dxa"/>
            <w:gridSpan w:val="3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(2-й месяц)</w:t>
            </w:r>
          </w:p>
        </w:tc>
      </w:tr>
      <w:tr>
        <w:trPr/>
        <w:tc>
          <w:tcPr>
            <w:tcW w:w="716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8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45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4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left="-57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4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45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>
          <w:trHeight w:val="187" w:hRule="atLeast"/>
        </w:trPr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3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7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8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3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left="-57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4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716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315" w:type="dxa"/>
            <w:gridSpan w:val="3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(3-й месяц)</w:t>
            </w:r>
          </w:p>
        </w:tc>
      </w:tr>
      <w:tr>
        <w:trPr/>
        <w:tc>
          <w:tcPr>
            <w:tcW w:w="716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8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45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4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left="-57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4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45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</w:tr>
      <w:tr>
        <w:trPr/>
        <w:tc>
          <w:tcPr>
            <w:tcW w:w="71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3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7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8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1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7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3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left="-57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4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</w:tbl>
    <w:p>
      <w:pPr>
        <w:pStyle w:val="Normal"/>
        <w:ind w:firstLine="750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orient="landscape" w:w="16838" w:h="11906"/>
          <w:pgMar w:left="766" w:right="766" w:gutter="0" w:header="585" w:top="1294" w:footer="716" w:bottom="858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50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(должность): ______________________</w:t>
      </w:r>
    </w:p>
    <w:p>
      <w:pPr>
        <w:pStyle w:val="Header"/>
        <w:jc w:val="right"/>
        <w:rPr>
          <w:sz w:val="26"/>
        </w:rPr>
      </w:pPr>
      <w:r>
        <w:rPr>
          <w:sz w:val="26"/>
        </w:rPr>
        <w:t>Приложение №2</w:t>
      </w:r>
    </w:p>
    <w:p>
      <w:pPr>
        <w:pStyle w:val="Header"/>
        <w:widowControl/>
        <w:ind w:firstLine="540"/>
        <w:jc w:val="right"/>
        <w:rPr>
          <w:sz w:val="26"/>
          <w:szCs w:val="22"/>
        </w:rPr>
      </w:pPr>
      <w:r>
        <w:rPr>
          <w:sz w:val="26"/>
          <w:szCs w:val="22"/>
        </w:rPr>
        <w:t>к Техническим требованиям</w:t>
      </w:r>
    </w:p>
    <w:p>
      <w:pPr>
        <w:pStyle w:val="Normal"/>
        <w:widowControl/>
        <w:spacing w:lineRule="auto" w:line="240"/>
        <w:ind w:firstLine="540"/>
        <w:jc w:val="right"/>
        <w:rPr>
          <w:b/>
        </w:rPr>
      </w:pPr>
      <w:r>
        <w:rPr>
          <w:b/>
        </w:rPr>
      </w:r>
    </w:p>
    <w:p>
      <w:pPr>
        <w:pStyle w:val="Normal"/>
        <w:widowControl/>
        <w:spacing w:lineRule="auto" w:line="240"/>
        <w:jc w:val="center"/>
        <w:rPr/>
      </w:pPr>
      <w:r>
        <w:rPr>
          <w:b/>
          <w:sz w:val="26"/>
        </w:rPr>
        <w:t>Требования к оформлению и составлению сметной документации на оказание услуг</w:t>
      </w:r>
    </w:p>
    <w:p>
      <w:pPr>
        <w:pStyle w:val="Normal"/>
        <w:widowControl/>
        <w:spacing w:lineRule="auto" w:line="240"/>
        <w:ind w:firstLine="540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widowControl/>
        <w:tabs>
          <w:tab w:val="clear" w:pos="426"/>
          <w:tab w:val="left" w:pos="993" w:leader="none"/>
        </w:tabs>
        <w:spacing w:lineRule="auto" w:line="240"/>
        <w:ind w:firstLine="540"/>
        <w:rPr/>
      </w:pPr>
      <w:r>
        <w:rPr>
          <w:bCs/>
        </w:rPr>
        <w:t>1.</w:t>
        <w:tab/>
        <w:t>Настоящие требования разработаны для единого подхода к определению стоимости услуг.</w:t>
      </w:r>
    </w:p>
    <w:p>
      <w:pPr>
        <w:pStyle w:val="Normal"/>
        <w:widowControl/>
        <w:tabs>
          <w:tab w:val="clear" w:pos="426"/>
          <w:tab w:val="left" w:pos="993" w:leader="none"/>
        </w:tabs>
        <w:spacing w:lineRule="auto" w:line="240"/>
        <w:ind w:firstLine="540"/>
        <w:rPr/>
      </w:pPr>
      <w:r>
        <w:rPr>
          <w:bCs/>
        </w:rPr>
        <w:t>2.</w:t>
        <w:tab/>
        <w:t>Сметы составлять на основании технических требований (технического задания) заказчика, графиков производства работ.</w:t>
      </w:r>
    </w:p>
    <w:p>
      <w:pPr>
        <w:pStyle w:val="Normal"/>
        <w:widowControl/>
        <w:tabs>
          <w:tab w:val="clear" w:pos="426"/>
          <w:tab w:val="left" w:pos="993" w:leader="none"/>
        </w:tabs>
        <w:spacing w:lineRule="auto" w:line="240"/>
        <w:ind w:firstLine="540"/>
        <w:rPr/>
      </w:pPr>
      <w:r>
        <w:rPr>
          <w:bCs/>
        </w:rPr>
        <w:t>3.</w:t>
        <w:tab/>
        <w:t>Стоимость услуг определять сводным сметным расчетом (Приложение № 1 к Требованиям к оформлению и составлению сметной документации на выполнение работ и услуг).</w:t>
      </w:r>
    </w:p>
    <w:p>
      <w:pPr>
        <w:pStyle w:val="Normal"/>
        <w:widowControl/>
        <w:tabs>
          <w:tab w:val="clear" w:pos="426"/>
          <w:tab w:val="left" w:pos="993" w:leader="none"/>
        </w:tabs>
        <w:spacing w:lineRule="auto" w:line="240"/>
        <w:ind w:firstLine="540"/>
        <w:rPr/>
      </w:pPr>
      <w:r>
        <w:rPr>
          <w:bCs/>
        </w:rPr>
        <w:t>4.</w:t>
        <w:tab/>
        <w:t xml:space="preserve">Сметы предоставляются в форматах: «Excel» и «pdf» (с подписями и печатью). </w:t>
      </w:r>
    </w:p>
    <w:p>
      <w:pPr>
        <w:pStyle w:val="Normal"/>
        <w:widowControl/>
        <w:tabs>
          <w:tab w:val="clear" w:pos="426"/>
          <w:tab w:val="left" w:pos="993" w:leader="none"/>
        </w:tabs>
        <w:spacing w:lineRule="auto" w:line="240"/>
        <w:ind w:firstLine="540"/>
        <w:rPr/>
      </w:pPr>
      <w:r>
        <w:rPr>
          <w:bCs/>
        </w:rPr>
        <w:t>5.</w:t>
        <w:tab/>
        <w:t xml:space="preserve">Результаты вычислений и итоговые данные в графе «Стоимость работ» округлять до целых рублей. </w:t>
      </w:r>
    </w:p>
    <w:p>
      <w:pPr>
        <w:pStyle w:val="Normal"/>
        <w:tabs>
          <w:tab w:val="clear" w:pos="426"/>
          <w:tab w:val="left" w:pos="993" w:leader="none"/>
        </w:tabs>
        <w:ind w:firstLine="540"/>
        <w:rPr/>
      </w:pPr>
      <w:r>
        <w:rPr>
          <w:bCs/>
        </w:rPr>
        <w:t>6.</w:t>
        <w:tab/>
        <w:t>Стоимость изыскательских работ определять на основе «Методического пособия по определению стоимости инженерных изысканий для строительства», утвержденного письмом Госстроя России от 31.03.2004 № НЗ-2078/10 и внесенного в ФРСН нормативов или иного актуального документа (Приложение № 2 Требованиям к оформлению и составлению сметной документации на выполнение работ и услуг).</w:t>
      </w:r>
    </w:p>
    <w:p>
      <w:pPr>
        <w:pStyle w:val="Normal"/>
        <w:tabs>
          <w:tab w:val="clear" w:pos="426"/>
          <w:tab w:val="left" w:pos="993" w:leader="none"/>
        </w:tabs>
        <w:ind w:firstLine="540"/>
        <w:rPr/>
      </w:pPr>
      <w:r>
        <w:rPr>
          <w:bCs/>
        </w:rPr>
        <w:t>Пересчет сметной стоимости услуг следует производить согласно индексам по Письмо Минстроя России от 08.04.2026 года № 20212-ИФ/09, прил.4, 2 кв 2026 (ИЗ) – 7,07.</w:t>
      </w:r>
    </w:p>
    <w:p>
      <w:pPr>
        <w:pStyle w:val="ConsPlusNormal"/>
        <w:widowControl/>
        <w:tabs>
          <w:tab w:val="clear" w:pos="709"/>
          <w:tab w:val="left" w:pos="426" w:leader="none"/>
          <w:tab w:val="left" w:pos="993" w:leader="none"/>
        </w:tabs>
        <w:spacing w:before="40" w:after="40"/>
        <w:jc w:val="both"/>
        <w:rPr/>
      </w:pPr>
      <w:r>
        <w:rPr>
          <w:rFonts w:eastAsia="Calibri" w:cs="Times New Roman" w:ascii="Times New Roman" w:hAnsi="Times New Roman"/>
          <w:bCs/>
          <w:sz w:val="24"/>
          <w:szCs w:val="24"/>
        </w:rPr>
        <w:t>Для пересчета сметной стоимости в прогнозный уровень цен применяются текущие индексы – дефляторы в соответствии с прогнозом Министерства экономического развития РФ (прогноз «базовый», определенные в установленном порядке для Заказчика (в соответствии с планируемым периодом выполнения работ).</w:t>
      </w:r>
    </w:p>
    <w:p>
      <w:pPr>
        <w:pStyle w:val="ConsPlusNormal"/>
        <w:widowControl/>
        <w:tabs>
          <w:tab w:val="clear" w:pos="709"/>
          <w:tab w:val="left" w:pos="426" w:leader="none"/>
          <w:tab w:val="left" w:pos="993" w:leader="none"/>
        </w:tabs>
        <w:spacing w:before="40" w:after="40"/>
        <w:jc w:val="both"/>
        <w:rPr/>
      </w:pPr>
      <w:r>
        <w:rPr>
          <w:rFonts w:eastAsia="Calibri" w:cs="Times New Roman" w:ascii="Times New Roman" w:hAnsi="Times New Roman"/>
          <w:bCs/>
          <w:sz w:val="24"/>
          <w:szCs w:val="24"/>
        </w:rPr>
        <w:t>В случае, если планируемый период выполнения работ составляет до одного календарного года и сметная документация составлена в уровне цен того же года, индекс прогнозной инфляции на один месяц осуществляется извлечением квадратного корня двенадцатой степени из индекса прогнозной инфляции Минэкономразвития России (Инвестиции в основной капитал, по строке - Показатели инфляции / в среднем за год ) установленного в целом за год:</w:t>
      </w:r>
    </w:p>
    <w:p>
      <w:pPr>
        <w:pStyle w:val="Normal"/>
        <w:jc w:val="center"/>
        <w:rPr/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И</m:t>
              </m:r>
            </m:e>
            <m:sub>
              <m:r>
                <w:rPr>
                  <w:rFonts w:ascii="Cambria Math" w:hAnsi="Cambria Math"/>
                </w:rPr>
                <m:t xml:space="preserve">инфл</m:t>
              </m:r>
              <m:r>
                <w:rPr>
                  <w:rFonts w:ascii="Cambria Math" w:hAnsi="Cambria Math"/>
                </w:rPr>
                <m:t xml:space="preserve">.</m:t>
              </m:r>
              <m:r>
                <w:rPr>
                  <w:rFonts w:ascii="Cambria Math" w:hAnsi="Cambria Math"/>
                </w:rPr>
                <m:t xml:space="preserve">мес</m:t>
              </m:r>
            </m:sub>
          </m:sSub>
          <m:r>
            <w:rPr>
              <w:rFonts w:ascii="Cambria Math" w:hAnsi="Cambria Math"/>
            </w:rPr>
            <m:t xml:space="preserve">=</m:t>
          </m:r>
          <m:rad>
            <m:deg>
              <m:r>
                <w:rPr>
                  <w:rFonts w:ascii="Cambria Math" w:hAnsi="Cambria Math"/>
                </w:rPr>
                <m:t xml:space="preserve">12</m:t>
              </m:r>
            </m:deg>
            <m:e>
              <m:sSub>
                <m:e>
                  <m:r>
                    <w:rPr>
                      <w:rFonts w:ascii="Cambria Math" w:hAnsi="Cambria Math"/>
                    </w:rPr>
                    <m:t xml:space="preserve">И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инфлгод</m:t>
                  </m:r>
                </m:sub>
              </m:sSub>
            </m:e>
          </m:rad>
        </m:oMath>
      </m:oMathPara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 xml:space="preserve">где  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i/>
          <w:iCs/>
          <w:szCs w:val="24"/>
        </w:rPr>
        <w:t>И инфл мес</w:t>
      </w:r>
      <w:r>
        <w:rPr>
          <w:rFonts w:cs="Times New Roman"/>
          <w:bCs/>
          <w:szCs w:val="24"/>
        </w:rPr>
        <w:t xml:space="preserve"> – индекс прогнозной инфляции на один месяц, полученное значение округляется до 4 знаков после запятой;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i/>
          <w:iCs/>
          <w:szCs w:val="24"/>
        </w:rPr>
        <w:t>И инфл год</w:t>
      </w:r>
      <w:r>
        <w:rPr>
          <w:rFonts w:cs="Times New Roman"/>
          <w:bCs/>
          <w:szCs w:val="24"/>
        </w:rPr>
        <w:t xml:space="preserve"> – индекс-дефлятор Министерства экономического развития Российской Федерации (Инвестиции в основной капитал, по строке - Показатели инфляции / в среднем за год).</w:t>
      </w:r>
    </w:p>
    <w:p>
      <w:pPr>
        <w:pStyle w:val="Style39"/>
        <w:numPr>
          <w:ilvl w:val="0"/>
          <w:numId w:val="0"/>
        </w:numPr>
        <w:ind w:left="0" w:hanging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ab/>
        <w:t>Для определения размера индекса прогнозной инфляции периодом в несколько месяцев, величина индекса прогнозной инфляции на один месяц возводится в степень размер которой соответствует количеству месяцев от даты определения стоимости работ до даты окончания работ, принимается среднее значение индекса-дефлятора, между индексом прогнозной инфляции на месяц начала производства работ и индексом на месяц окончания производства работ: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/>
      </w:r>
    </w:p>
    <w:p>
      <w:pPr>
        <w:pStyle w:val="Style39"/>
        <w:numPr>
          <w:ilvl w:val="0"/>
          <w:numId w:val="0"/>
        </w:numPr>
        <w:ind w:left="0" w:hanging="0"/>
        <w:jc w:val="center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И</m:t>
            </m:r>
          </m:e>
          <m:sub>
            <m:r>
              <w:rPr>
                <w:rFonts w:ascii="Cambria Math" w:hAnsi="Cambria Math"/>
              </w:rPr>
              <m:t xml:space="preserve">инфл</m:t>
            </m:r>
            <m: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пер</m:t>
            </m:r>
            <m: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f>
              <m:num>
                <m:sSub>
                  <m:e>
                    <m:r>
                      <w:rPr>
                        <w:rFonts w:ascii="Cambria Math" w:hAnsi="Cambria Math"/>
                      </w:rPr>
                      <m:t xml:space="preserve">И</m:t>
                    </m:r>
                  </m:e>
                  <m:sub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инфл</m:t>
                        </m:r>
                        <m:r>
                          <w:rPr>
                            <w:rFonts w:ascii="Cambria Math" w:hAnsi="Cambria Math"/>
                          </w:rPr>
                          <m:t xml:space="preserve">.</m:t>
                        </m:r>
                        <m:r>
                          <w:rPr>
                            <w:rFonts w:ascii="Cambria Math" w:hAnsi="Cambria Math"/>
                          </w:rPr>
                          <m:t xml:space="preserve">мес</m:t>
                        </m:r>
                        <m:r>
                          <w:rPr>
                            <w:rFonts w:ascii="Cambria Math" w:hAnsi="Cambria Math"/>
                          </w:rPr>
                          <m:t xml:space="preserve">.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n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/>
          <w:bCs/>
          <w:szCs w:val="24"/>
        </w:rPr>
        <w:t xml:space="preserve">       </w:t>
      </w:r>
      <w:r>
        <w:rPr>
          <w:rFonts w:cs="Times New Roman"/>
          <w:bCs/>
          <w:szCs w:val="24"/>
        </w:rPr>
        <w:t>(1)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>где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i/>
          <w:iCs/>
          <w:szCs w:val="24"/>
        </w:rPr>
        <w:t>И инф пер</w:t>
      </w:r>
      <w:r>
        <w:rPr>
          <w:rFonts w:cs="Times New Roman"/>
          <w:bCs/>
          <w:szCs w:val="24"/>
        </w:rPr>
        <w:t xml:space="preserve"> – индекс прогнозной инфляции для периода выполнения работ, полученное значение округляется до 4 знаков после запятой.</w:t>
      </w:r>
    </w:p>
    <w:p>
      <w:pPr>
        <w:pStyle w:val="Style39"/>
        <w:numPr>
          <w:ilvl w:val="0"/>
          <w:numId w:val="0"/>
        </w:numPr>
        <w:ind w:left="0" w:hanging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ab/>
        <w:t>В случае если срок выполнения работ превышает календарный год, то индекс прогнозной инфляции для второго и последующих годов, определяется с учетом установленных договором сроков строительства по формуле:</w:t>
      </w:r>
    </w:p>
    <w:p>
      <w:pPr>
        <w:pStyle w:val="Style39"/>
        <w:numPr>
          <w:ilvl w:val="0"/>
          <w:numId w:val="0"/>
        </w:numPr>
        <w:ind w:left="0" w:hanging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</w:r>
    </w:p>
    <w:p>
      <w:pPr>
        <w:pStyle w:val="Style39"/>
        <w:numPr>
          <w:ilvl w:val="0"/>
          <w:numId w:val="0"/>
        </w:numPr>
        <w:ind w:left="0" w:hanging="0"/>
        <w:jc w:val="center"/>
        <w:rPr/>
      </w:pPr>
      <w:r>
        <w:rPr>
          <w:rFonts w:cs="Times New Roman"/>
          <w:bCs/>
          <w:i/>
          <w:iCs/>
          <w:szCs w:val="24"/>
        </w:rPr>
        <w:t xml:space="preserve">     </w:t>
      </w:r>
      <w:r>
        <w:rPr>
          <w:rFonts w:cs="Times New Roman"/>
          <w:bCs/>
          <w:i/>
          <w:iCs/>
          <w:szCs w:val="24"/>
        </w:rPr>
        <w:t xml:space="preserve">Цд=С * Иинфл     </w:t>
      </w:r>
      <w:r>
        <w:rPr>
          <w:rFonts w:cs="Times New Roman"/>
          <w:bCs/>
          <w:szCs w:val="24"/>
        </w:rPr>
        <w:t>(2)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>где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i/>
          <w:iCs/>
          <w:szCs w:val="24"/>
        </w:rPr>
        <w:tab/>
        <w:t>Цд</w:t>
      </w:r>
      <w:r>
        <w:rPr>
          <w:rFonts w:cs="Times New Roman"/>
          <w:bCs/>
          <w:szCs w:val="24"/>
        </w:rPr>
        <w:t xml:space="preserve"> – стоимость договора (этапа);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i/>
          <w:iCs/>
          <w:szCs w:val="24"/>
        </w:rPr>
        <w:tab/>
        <w:t>С</w:t>
      </w:r>
      <w:r>
        <w:rPr>
          <w:rFonts w:cs="Times New Roman"/>
          <w:bCs/>
          <w:szCs w:val="24"/>
        </w:rPr>
        <w:t xml:space="preserve"> - сметная стоимость подрядных работ, подлежащих выполнению подрядчиком; 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i/>
          <w:iCs/>
          <w:szCs w:val="24"/>
        </w:rPr>
        <w:tab/>
        <w:t>Иинф</w:t>
      </w:r>
      <w:r>
        <w:rPr>
          <w:rFonts w:cs="Times New Roman"/>
          <w:bCs/>
          <w:szCs w:val="24"/>
        </w:rPr>
        <w:t xml:space="preserve"> – индекс инфляции, рассчитываемый по формуле:</w:t>
      </w:r>
    </w:p>
    <w:p>
      <w:pPr>
        <w:pStyle w:val="Style39"/>
        <w:numPr>
          <w:ilvl w:val="0"/>
          <w:numId w:val="0"/>
        </w:numPr>
        <w:ind w:left="0" w:hanging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</w:r>
    </w:p>
    <w:p>
      <w:pPr>
        <w:pStyle w:val="Style39"/>
        <w:numPr>
          <w:ilvl w:val="0"/>
          <w:numId w:val="0"/>
        </w:numPr>
        <w:ind w:left="0" w:hanging="0"/>
        <w:jc w:val="center"/>
        <w:rPr>
          <w:i/>
          <w:i/>
          <w:iCs/>
        </w:rPr>
      </w:pPr>
      <w:r>
        <w:rPr>
          <w:rFonts w:cs="Times New Roman"/>
          <w:bCs/>
          <w:i/>
          <w:iCs/>
          <w:szCs w:val="24"/>
        </w:rPr>
        <w:t>И инф = Д1*К1+Д2*К2+...+Дi*Кi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>где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i/>
          <w:iCs/>
          <w:szCs w:val="24"/>
        </w:rPr>
        <w:t>Д1, Д2, Дi</w:t>
      </w:r>
      <w:r>
        <w:rPr>
          <w:rFonts w:cs="Times New Roman"/>
          <w:bCs/>
          <w:szCs w:val="24"/>
        </w:rPr>
        <w:t xml:space="preserve"> - доля сметной стоимости работ соответственно в 1-й, 2-й, 3-й, i-ый годы строительства;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i/>
          <w:iCs/>
          <w:szCs w:val="24"/>
        </w:rPr>
        <w:tab/>
        <w:t>i</w:t>
      </w:r>
      <w:r>
        <w:rPr>
          <w:rFonts w:cs="Times New Roman"/>
          <w:bCs/>
          <w:szCs w:val="24"/>
        </w:rPr>
        <w:t xml:space="preserve"> - год завершения строительства объекта;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i/>
          <w:iCs/>
          <w:szCs w:val="24"/>
        </w:rPr>
        <w:tab/>
        <w:t>К1</w:t>
      </w:r>
      <w:r>
        <w:rPr>
          <w:rFonts w:cs="Times New Roman"/>
          <w:bCs/>
          <w:szCs w:val="24"/>
        </w:rPr>
        <w:t xml:space="preserve"> - индекс прогнозной инфляции за первый год строительства объекта,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объекта;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i/>
          <w:iCs/>
          <w:szCs w:val="24"/>
        </w:rPr>
        <w:tab/>
        <w:t>К2</w:t>
      </w:r>
      <w:r>
        <w:rPr>
          <w:rFonts w:cs="Times New Roman"/>
          <w:bCs/>
          <w:szCs w:val="24"/>
        </w:rPr>
        <w:t xml:space="preserve"> -индекс прогнозной инфляции, учитывающий инфляцию за первый и второй годы строительства объекта. Рассчитывается как произведение индекса прогнозной инфляции, устанавливаемого нарастающим итогом на декабрь первого года строительства объекта, и индекса прогнозной инфляции на второй год строительства объекта,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объекта;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i/>
          <w:iCs/>
          <w:szCs w:val="24"/>
        </w:rPr>
        <w:tab/>
        <w:t>Кi</w:t>
      </w:r>
      <w:r>
        <w:rPr>
          <w:rFonts w:cs="Times New Roman"/>
          <w:bCs/>
          <w:szCs w:val="24"/>
        </w:rPr>
        <w:t xml:space="preserve"> - индекс прогнозной инфляции, учитывающий инфляцию за весь период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предшествующего года строительства объекта, и индекса прогнозной инфляции на последний год строительства объекта,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 (пример расчета индекса-дефлятора приведен в приложении 10 к настоящей Методике).</w:t>
      </w:r>
    </w:p>
    <w:p>
      <w:pPr>
        <w:pStyle w:val="Style39"/>
        <w:numPr>
          <w:ilvl w:val="0"/>
          <w:numId w:val="0"/>
        </w:numPr>
        <w:ind w:left="0" w:hanging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>При этом: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ab/>
        <w:t>1) если срок выполнения работ указан в целом по договору (дата начала работ – дата окончание работ), применяется единый дефлятор, в соответствии с формулой (2)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ab/>
        <w:t>2) если договором предусмотрен график выполнения работ с разбивкой на этапы (дата начала работ по этапу – дата окончания работ по этапу), дефлятор применяется в соответствии с таким графиком, и рассчитывается на каждый этап, в соответствии с формулой (2).</w:t>
      </w:r>
    </w:p>
    <w:p>
      <w:pPr>
        <w:pStyle w:val="Style39"/>
        <w:numPr>
          <w:ilvl w:val="0"/>
          <w:numId w:val="0"/>
        </w:numPr>
        <w:ind w:left="0" w:hanging="0"/>
        <w:rPr/>
      </w:pPr>
      <w:r>
        <w:rPr>
          <w:rFonts w:cs="Times New Roman"/>
          <w:bCs/>
          <w:szCs w:val="24"/>
        </w:rPr>
        <w:tab/>
        <w:t>В случае если сметная документация разработана в СНБ не применяемой на дату составления СД, то пересчет сметной стоимости работ в уровень цен на дату составления СД осуществляется с использованием индекса фактической инфляции (опубликованный на сайте https://www.fedstat.ru/, индексы цен на продукцию (затраты, услуги) инвестиционного назначения с 2017г., по Российской Федерации в целом, с учетом вида экономической деятельности).</w:t>
      </w:r>
    </w:p>
    <w:p>
      <w:pPr>
        <w:pStyle w:val="Style39"/>
        <w:numPr>
          <w:ilvl w:val="0"/>
          <w:numId w:val="0"/>
        </w:numPr>
        <w:ind w:left="0" w:hanging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>7.</w:t>
        <w:tab/>
        <w:t>Стоимость оказания услуг определять согласно Методики определения стоимости работ по подготовке проектной документации, утвержденной Приказом Министерства строительства и жилищно-коммунального хозяйства РФ от 1 октября 2021 г. N 707/пр. (далее – Методика №707)</w:t>
        <w:tab/>
        <w:t>с учетом следующего (Приложение № 3 к</w:t>
      </w:r>
      <w:r>
        <w:rPr/>
        <w:t xml:space="preserve"> </w:t>
      </w:r>
      <w:r>
        <w:rPr>
          <w:bCs/>
        </w:rPr>
        <w:t>Требованиям к оформлению и составлению сметной документации на выполнение работ и услуг):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>Стоимость проектных работ и расходов (</w:t>
      </w:r>
      <w:r>
        <w:rPr>
          <w:bCs/>
          <w:i/>
          <w:iCs/>
        </w:rPr>
        <w:t>"Спр"</w:t>
      </w:r>
      <w:r>
        <w:rPr>
          <w:bCs/>
        </w:rPr>
        <w:t xml:space="preserve"> ) в соответствии с калькуляцией затрат определяется по формуле: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</w:r>
    </w:p>
    <w:p>
      <w:pPr>
        <w:pStyle w:val="Normal"/>
        <w:tabs>
          <w:tab w:val="clear" w:pos="426"/>
          <w:tab w:val="left" w:pos="993" w:leader="none"/>
        </w:tabs>
        <w:ind w:hanging="0"/>
        <w:jc w:val="center"/>
        <w:rPr>
          <w:i/>
          <w:i/>
          <w:iCs/>
        </w:rPr>
      </w:pPr>
      <w:r>
        <w:rPr>
          <w:bCs/>
          <w:i/>
          <w:iCs/>
        </w:rPr>
        <w:t>С_пр=В_ср×Т_п×Ч_общ×К_(кв-уч)</w:t>
      </w:r>
      <w:bookmarkStart w:id="39" w:name="_GoBack1"/>
      <w:bookmarkEnd w:id="39"/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>где: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ab/>
      </w:r>
      <w:r>
        <w:rPr>
          <w:bCs/>
          <w:i/>
          <w:iCs/>
        </w:rPr>
        <w:t>"Спр"</w:t>
      </w:r>
      <w:r>
        <w:rPr>
          <w:bCs/>
        </w:rPr>
        <w:t xml:space="preserve"> - стоимость проектных работ, определенная в соответствии с калькуляцией затрат, рублей;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ab/>
      </w:r>
      <w:r>
        <w:rPr>
          <w:bCs/>
          <w:i/>
          <w:iCs/>
        </w:rPr>
        <w:t>"Вср"</w:t>
      </w:r>
      <w:r>
        <w:rPr>
          <w:bCs/>
        </w:rPr>
        <w:t xml:space="preserve"> - среднедневная выработка одного непосредственного исполнителя, рублей;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ab/>
      </w:r>
      <w:r>
        <w:rPr>
          <w:bCs/>
          <w:i/>
          <w:iCs/>
        </w:rPr>
        <w:t>"Тп"</w:t>
      </w:r>
      <w:r>
        <w:rPr>
          <w:bCs/>
        </w:rPr>
        <w:t xml:space="preserve">  - плановая продолжительность выполнения проектных работ, предусмотренных калькуляцией затрат, дни;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ab/>
      </w:r>
      <w:r>
        <w:rPr>
          <w:bCs/>
          <w:i/>
          <w:iCs/>
        </w:rPr>
        <w:t>"Чобщ"</w:t>
      </w:r>
      <w:r>
        <w:rPr>
          <w:bCs/>
        </w:rPr>
        <w:t xml:space="preserve"> - общая численность непосредственных исполнителей-проектировщиков, занятых в выполнении проектных работ, предусмотренных калькуляцией затрат, чел.;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ab/>
      </w:r>
      <w:r>
        <w:rPr>
          <w:bCs/>
          <w:i/>
          <w:iCs/>
        </w:rPr>
        <w:t>"Ккв-уч"</w:t>
      </w:r>
      <w:r>
        <w:rPr>
          <w:bCs/>
        </w:rPr>
        <w:t xml:space="preserve"> - корректирующий коэффициент, учитывающий степень участия исполнителей различной квалификации в выполнении проектных работ, предусмотренных калькуляцией затрат (далее - коэффициент квалификации-участия);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ab/>
        <w:t>среднедневная выработка (В"ср" ) определяется по формуле: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</w:r>
    </w:p>
    <w:p>
      <w:pPr>
        <w:pStyle w:val="Normal"/>
        <w:tabs>
          <w:tab w:val="clear" w:pos="426"/>
          <w:tab w:val="left" w:pos="993" w:leader="none"/>
        </w:tabs>
        <w:ind w:hanging="0"/>
        <w:jc w:val="center"/>
        <w:rPr>
          <w:i/>
          <w:i/>
          <w:iCs/>
        </w:rPr>
      </w:pPr>
      <w:r>
        <w:rPr>
          <w:bCs/>
          <w:i/>
          <w:iCs/>
        </w:rPr>
        <w:t>В_ср=(</w:t>
      </w:r>
      <w:r>
        <w:rPr>
          <w:rFonts w:eastAsia="Cambria Math"/>
          <w:bCs/>
          <w:i/>
          <w:iCs/>
        </w:rPr>
        <w:t>〖</w:t>
      </w:r>
      <w:r>
        <w:rPr>
          <w:bCs/>
          <w:i/>
          <w:iCs/>
        </w:rPr>
        <w:t>ЗП</w:t>
      </w:r>
      <w:r>
        <w:rPr>
          <w:rFonts w:eastAsia="Cambria Math"/>
          <w:bCs/>
          <w:i/>
          <w:iCs/>
        </w:rPr>
        <w:t>〗</w:t>
      </w:r>
      <w:r>
        <w:rPr>
          <w:bCs/>
          <w:i/>
          <w:iCs/>
        </w:rPr>
        <w:t xml:space="preserve">_ср×(1+Р))/К_з 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>где: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ab/>
      </w:r>
      <w:r>
        <w:rPr>
          <w:bCs/>
          <w:i/>
          <w:iCs/>
        </w:rPr>
        <w:t>Р</w:t>
      </w:r>
      <w:r>
        <w:rPr>
          <w:bCs/>
        </w:rPr>
        <w:t xml:space="preserve"> - коэффициент уровня рентабельности (сметной прибыли), принимается Р = 0,1 (1%) согласно таблице 1.2, приведенной в приложении N 2 к Методике №707;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ab/>
      </w:r>
      <w:r>
        <w:rPr>
          <w:bCs/>
          <w:i/>
          <w:iCs/>
        </w:rPr>
        <w:t>ЗП"ср"</w:t>
      </w:r>
      <w:r>
        <w:rPr>
          <w:bCs/>
        </w:rPr>
        <w:t xml:space="preserve">  - среднедневная заработная плата, тыс. руб. Принимается по данным Росстата о среднемесячной номинальной начисленной заработной плате работающих в экономике, по видам экономической деятельности в Российской Федерации для деятельности в области архитектуры (код 71.11 согласно ОК 029-2014 (КДЕС ред. 2) "Общероссийский классификатор видов экономической деятельности" (далее - Общероссийский классификатор) за год, предшествующий году определения сметной стоимости объекта проектирования (среднее значение за период январь - декабрь), исходя из усредненного на основании производственного календаря количества рабочих дней в месяце для года, предшествующего году определения сметной стоимости проектных работ. Для работ по проектированию объектов, являющихся особо опасными, технически сложными, уникальными объектами согласно статье 48.1 Градостроительного кодекса Российской Федерации, а также для работ по подготовке проектной документации, содержащей материалы в форме информационной модели, среднемесячная заработная плата принимается для деятельности в области инженерно-технического проектирования (код 71.12 согласно ОК 029-2014 (КДЕС ред. 2) Общероссийского классификатора) ;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ab/>
      </w:r>
      <w:r>
        <w:rPr>
          <w:bCs/>
          <w:i/>
          <w:iCs/>
        </w:rPr>
        <w:t>Кз</w:t>
      </w:r>
      <w:r>
        <w:rPr>
          <w:bCs/>
        </w:rPr>
        <w:t xml:space="preserve"> - коэффициент, учитывающий долю оплаты труда производственного персонала в себестоимости проектных работ: К3 принимается в размере 40,06%;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ab/>
        <w:t>коэффициент, квалификации-участия (К_(кв-уч)), определяется по формуле: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</w:r>
    </w:p>
    <w:p>
      <w:pPr>
        <w:pStyle w:val="Normal"/>
        <w:tabs>
          <w:tab w:val="clear" w:pos="426"/>
          <w:tab w:val="left" w:pos="993" w:leader="none"/>
        </w:tabs>
        <w:ind w:hanging="0"/>
        <w:jc w:val="center"/>
        <w:rPr>
          <w:i/>
          <w:i/>
          <w:iCs/>
        </w:rPr>
      </w:pPr>
      <w:r>
        <w:rPr>
          <w:bCs/>
          <w:i/>
          <w:iCs/>
        </w:rPr>
        <w:t xml:space="preserve">К_(кв-уч)=(∑_(i=1)^n▒T_фi/Т_общ ×Ч_i×И_i)/Ч_общ 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>где: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  <w:i/>
          <w:iCs/>
        </w:rPr>
        <w:tab/>
        <w:t>И_i</w:t>
      </w:r>
      <w:r>
        <w:rPr>
          <w:bCs/>
        </w:rPr>
        <w:t xml:space="preserve"> - индекс квалификации непосредственных исполнителей согласно таблицам 1.3 - 1.4, приведенным в приложении N 2 к Методике №707. Для отдельных отраслей индексы, приведенные в таблицах 1.3 - 1.4 приложения N 2 к Методике №707, подлежат уточнению при предоставлении соответствующих обоснований (бухгалтерских справок и аналогичных документов), документально подтвержденных уполномоченными лицами проектной организации;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ab/>
      </w:r>
      <w:r>
        <w:rPr>
          <w:bCs/>
          <w:i/>
          <w:iCs/>
        </w:rPr>
        <w:t>Ч_i</w:t>
      </w:r>
      <w:r>
        <w:rPr>
          <w:bCs/>
        </w:rPr>
        <w:t xml:space="preserve"> - численность исполнителей одинаковой квалификации, чел.;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  <w:tab/>
      </w:r>
      <w:r>
        <w:rPr>
          <w:bCs/>
          <w:i/>
          <w:iCs/>
        </w:rPr>
        <w:t>T_фi</w:t>
      </w:r>
      <w:r>
        <w:rPr>
          <w:bCs/>
        </w:rPr>
        <w:t xml:space="preserve"> - фактическое время работы исполнителей одинаковой квалификации, дни.</w:t>
      </w:r>
    </w:p>
    <w:p>
      <w:pPr>
        <w:pStyle w:val="Normal"/>
        <w:tabs>
          <w:tab w:val="clear" w:pos="426"/>
          <w:tab w:val="left" w:pos="993" w:leader="none"/>
        </w:tabs>
        <w:ind w:hanging="0"/>
        <w:rPr>
          <w:bCs/>
        </w:rPr>
      </w:pPr>
      <w:r>
        <w:rPr>
          <w:bCs/>
        </w:rPr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>Численность и должностные категории (квалификация) исполнителей, фактическое время работы исполнителей одинаковой квалификации определяются на основании положений документов по стандартизации согласно статье 14 Федерального закона от 29 июня 2015 г. N 162-ФЗ "О стандартизации в Российской Федерации" (Собрание законодательства Российской Федерации, 2015, N 27, ст. 3953; 2021, N 1, ст. 62), стандартов процесса подготовки проектной документации согласно пункту 10 части 8 статьи 55.20 Градостроительного кодекса Российской Федерации (Собрание законодательства Российской Федерации, 2005, N 1, ст. 16; 2018, N 32, ст. 5133), норм проектирования, данных о трудоемкости объектов-аналогов, результатов опроса, проведенного среди не менее трех проектных организаций, специализирующихся на выполнение проектных работ, на которые подготавливается смета, таблиц технологического процесса выполнения проектных работ по объекту, продолжительности выполняемых работ, указанных в календарном плане к договору на выполнение проектных работ, данных о времени и количестве исполнителей определенной квалификации, принимающих участие в выполнении проектных работ, которые должны быть подписаны руководителем проектной организации, предоставляющей такие данные, и заверены ее печатью;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 xml:space="preserve">Общий срок проектирования объекта в месяцах не должен превышать нормативные сроки установленные положениями Приказа Минстроя РФ от 15.05.2020г. № 264/пр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собственности» которые устанавливают зависимость срока проектирования объекта в месяцах от его общей площади. 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>Для объектов, сроки проектирования которых невозможно определить в соответствии с указанным Приказом, допустимо применение иных документов, не противоречащих действующему законодательству.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>Стоимость проектных работ, определяемых в соответствии с калькуляцией затрат, не учитывает командировочные расходы, непосредственно связанные с проектированием объекта, определяемые дополнительно.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>Для обоснования командировочных расходов предоставляется отдельно выполненный расчет (форма 4п)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>Лимиты командировочных расходов при производстве ПИР не более: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ab/>
        <w:t>суточные - 700 руб./сутки;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ab/>
        <w:t>проживание – 5000 руб./сутки;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ab/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Normal"/>
        <w:tabs>
          <w:tab w:val="clear" w:pos="426"/>
          <w:tab w:val="left" w:pos="993" w:leader="none"/>
        </w:tabs>
        <w:ind w:firstLine="540"/>
        <w:rPr>
          <w:bCs/>
        </w:rPr>
      </w:pPr>
      <w:r>
        <w:rPr>
          <w:bCs/>
        </w:rPr>
        <w:t>Данные лимиты могут быть пересмотрены на этапе согласования технических требований».</w:t>
      </w:r>
    </w:p>
    <w:p>
      <w:pPr>
        <w:pStyle w:val="Normal"/>
        <w:tabs>
          <w:tab w:val="clear" w:pos="426"/>
          <w:tab w:val="left" w:pos="993" w:leader="none"/>
        </w:tabs>
        <w:ind w:firstLine="540"/>
        <w:rPr/>
      </w:pPr>
      <w:r>
        <w:rPr>
          <w:bCs/>
        </w:rPr>
        <w:t>При учете командировочных расходов стоимость проезда (авиа-, ж/д, …) определяется методами, предусмотренными Методикой ПЦ (методы без использования сметных нормативов)  (включить соответствующие требования Методики ПЦ отдельным приложением).</w:t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1418" w:right="851" w:gutter="0" w:header="709" w:top="766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ind w:firstLine="510"/>
        <w:rPr/>
      </w:pPr>
      <w:r>
        <w:rPr/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tabs>
          <w:tab w:val="clear" w:pos="426"/>
        </w:tabs>
        <w:suppressAutoHyphens w:val="false"/>
        <w:spacing w:lineRule="auto" w:line="240"/>
        <w:ind w:hanging="0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</w:t>
      </w:r>
      <w:r>
        <w:rPr>
          <w:rFonts w:eastAsia="Times New Roman"/>
          <w:sz w:val="22"/>
          <w:szCs w:val="22"/>
        </w:rPr>
        <w:t xml:space="preserve">к Договору    от___ ______202___  №_________ </w:t>
      </w:r>
    </w:p>
    <w:p>
      <w:pPr>
        <w:pStyle w:val="Normal"/>
        <w:tabs>
          <w:tab w:val="clear" w:pos="426"/>
        </w:tabs>
        <w:suppressAutoHyphens w:val="false"/>
        <w:spacing w:lineRule="auto" w:line="240"/>
        <w:ind w:hanging="0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СОГЛАСОВАНО:                                                                                   УТВЕРЖДЕНО: 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widowControl/>
        <w:ind w:firstLine="540"/>
        <w:rPr>
          <w:bCs/>
        </w:rPr>
      </w:pPr>
      <w:r>
        <w:rPr/>
        <w:t>1.</w:t>
        <w:tab/>
      </w:r>
    </w:p>
    <w:p>
      <w:pPr>
        <w:pStyle w:val="Normal"/>
        <w:widowControl/>
        <w:ind w:hanging="0"/>
        <w:rPr/>
      </w:pPr>
      <w:r>
        <w:rPr/>
      </w:r>
    </w:p>
    <w:tbl>
      <w:tblPr>
        <w:tblW w:w="9633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971"/>
        <w:gridCol w:w="2701"/>
        <w:gridCol w:w="1782"/>
        <w:gridCol w:w="2045"/>
        <w:gridCol w:w="2134"/>
      </w:tblGrid>
      <w:tr>
        <w:trPr/>
        <w:tc>
          <w:tcPr>
            <w:tcW w:w="963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СВОДНАЯ СМЕТА №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 проектные работы и инженерные изыскания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(наименование объекта)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(наименование организации)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Проектная организация 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(наименование организации)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Составлена в уровне цен на ___________ 20__ г.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rPr>
          <w:trHeight w:val="365" w:hRule="atLeast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N№ 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Наименование смет на проектные работы и инженерные изыскания, затрат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Обоснование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Сметная стоимость, руб.</w:t>
            </w:r>
          </w:p>
        </w:tc>
      </w:tr>
      <w:tr>
        <w:trPr>
          <w:trHeight w:val="74" w:hRule="atLeast"/>
        </w:trPr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ind w:hanging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7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ind w:hanging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инженерных изысканий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проектных работ</w:t>
            </w:r>
          </w:p>
        </w:tc>
      </w:tr>
      <w:tr>
        <w:trPr>
          <w:trHeight w:val="19" w:hRule="atLeast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</w:tr>
      <w:tr>
        <w:trPr>
          <w:trHeight w:val="274" w:hRule="atLeast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Инженерные изыскания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rPr>
          <w:trHeight w:val="493" w:hRule="atLeast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Наименование сметы на инженерные изыскания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&lt;X&gt;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Проектная документация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rPr/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Наименование сметы на проектные работы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&lt;X&gt;</w:t>
            </w:r>
          </w:p>
        </w:tc>
      </w:tr>
      <w:tr>
        <w:trPr>
          <w:trHeight w:val="323" w:hRule="atLeast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III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Рабочая документация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rPr/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Наименование сметы на проектные работы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&lt;X&gt;</w:t>
            </w:r>
          </w:p>
        </w:tc>
      </w:tr>
      <w:tr>
        <w:trPr/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Итого по видам работ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&lt;X&gt;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&lt;X&gt;</w:t>
            </w:r>
          </w:p>
        </w:tc>
      </w:tr>
      <w:tr>
        <w:trPr/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>ВСЕГО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>&lt;X&gt;</w:t>
            </w:r>
          </w:p>
        </w:tc>
      </w:tr>
      <w:tr>
        <w:trPr/>
        <w:tc>
          <w:tcPr>
            <w:tcW w:w="96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rPr/>
            </w:pPr>
            <w:r>
              <w:rPr>
                <w:rFonts w:eastAsia="Times New Roman"/>
                <w:sz w:val="22"/>
                <w:szCs w:val="22"/>
              </w:rPr>
              <w:t>Руководитель проектной организации _____________________________________________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[подпись (инициалы, фамилия)]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rPr/>
            </w:pPr>
            <w:r>
              <w:rPr>
                <w:rFonts w:eastAsia="Times New Roman"/>
                <w:sz w:val="22"/>
                <w:szCs w:val="22"/>
              </w:rPr>
              <w:t>Главный инженер проекта 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[подпись (инициалы, фамилия)]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rPr/>
            </w:pPr>
            <w:r>
              <w:rPr>
                <w:rFonts w:eastAsia="Times New Roman"/>
                <w:sz w:val="22"/>
                <w:szCs w:val="22"/>
              </w:rPr>
              <w:t>Начальник ___________________ отдела __________________________________________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                            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(наименование)                            [подпись (инициалы, фамилия)]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rPr/>
            </w:pPr>
            <w:r>
              <w:rPr>
                <w:rFonts w:eastAsia="Times New Roman"/>
                <w:sz w:val="22"/>
                <w:szCs w:val="22"/>
              </w:rPr>
              <w:t>Заказчик 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[должность, подпись (инициалы, фамилия)]</w:t>
            </w:r>
          </w:p>
        </w:tc>
      </w:tr>
    </w:tbl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w="11906" w:h="16838"/>
          <w:pgMar w:left="1418" w:right="851" w:gutter="0" w:header="709" w:top="766" w:footer="766" w:bottom="13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er"/>
        <w:jc w:val="right"/>
        <w:rPr>
          <w:bCs/>
        </w:rPr>
      </w:pPr>
      <w:r>
        <w:rPr>
          <w:bCs/>
        </w:rPr>
        <w:t>Приложение №2 к Требованиям к</w:t>
      </w:r>
    </w:p>
    <w:p>
      <w:pPr>
        <w:pStyle w:val="Header"/>
        <w:jc w:val="right"/>
        <w:rPr>
          <w:bCs/>
        </w:rPr>
      </w:pPr>
      <w:r>
        <w:rPr>
          <w:bCs/>
        </w:rPr>
        <w:t>оформлению и составлению сметной</w:t>
      </w:r>
    </w:p>
    <w:p>
      <w:pPr>
        <w:pStyle w:val="Header"/>
        <w:jc w:val="right"/>
        <w:rPr/>
      </w:pPr>
      <w:r>
        <w:rPr>
          <w:sz w:val="26"/>
        </w:rPr>
        <w:t xml:space="preserve">документации на выполнение работ и услуг </w:t>
      </w:r>
    </w:p>
    <w:p>
      <w:pPr>
        <w:pStyle w:val="Header"/>
        <w:jc w:val="right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left="284" w:firstLine="425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Образец формы № 2п</w:t>
      </w:r>
    </w:p>
    <w:p>
      <w:pPr>
        <w:pStyle w:val="Normal"/>
        <w:widowControl/>
        <w:ind w:left="284" w:firstLine="425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90"/>
      </w:tblGrid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144" w:firstLine="42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Приложение к 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left="2554" w:firstLine="42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(договору, дополнительному соглашению)</w:t>
            </w:r>
          </w:p>
          <w:p>
            <w:pPr>
              <w:pStyle w:val="Normal"/>
              <w:widowControl w:val="false"/>
              <w:shd w:val="clear" w:color="auto" w:fill="FFFFFF"/>
              <w:ind w:left="2554" w:firstLine="42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  <w:tbl>
            <w:tblPr>
              <w:tblW w:w="90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529"/>
              <w:gridCol w:w="4530"/>
            </w:tblGrid>
            <w:tr>
              <w:trPr>
                <w:trHeight w:val="417" w:hRule="atLeast"/>
              </w:trPr>
              <w:tc>
                <w:tcPr>
                  <w:tcW w:w="4529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_________________ (должность)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_________________ (Ф.И.О.)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"____"  ___________  201_ г.</w:t>
                  </w:r>
                </w:p>
              </w:tc>
              <w:tc>
                <w:tcPr>
                  <w:tcW w:w="4530" w:type="dxa"/>
                  <w:tcBorders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rPr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_________________ </w:t>
                  </w:r>
                  <w:r>
                    <w:rPr>
                      <w:bCs/>
                      <w:sz w:val="22"/>
                      <w:szCs w:val="22"/>
                      <w:lang w:eastAsia="en-US"/>
                    </w:rPr>
                    <w:t>(должность)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_________________ (Ф.И.О.)</w:t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"_____"  ____________ 201_ г.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before="480"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СМЕТА № </w:t>
              <w:br/>
              <w:t>на проектные (изыскательские) работы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предприятия, здания, сооружения, стадии проектирования, этапа, вида проектных или изыскательских работ 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проектной (изыскательской) организации 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организации заказчика 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тыс. 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712"/>
              <w:gridCol w:w="2318"/>
              <w:gridCol w:w="2539"/>
              <w:gridCol w:w="2003"/>
              <w:gridCol w:w="1503"/>
            </w:tblGrid>
            <w:tr>
              <w:trPr>
                <w:tblHeader w:val="true"/>
              </w:trPr>
              <w:tc>
                <w:tcPr>
                  <w:tcW w:w="71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ind w:hang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№ </w:t>
                  </w:r>
                  <w:r>
                    <w:rPr>
                      <w:sz w:val="22"/>
                      <w:szCs w:val="22"/>
                      <w:lang w:eastAsia="en-US"/>
                    </w:rPr>
                    <w:t>пп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2539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200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Расчет стоимости: (a + bx) </w:t>
                  </w:r>
                  <w:r>
                    <w:rPr>
                      <w:rFonts w:eastAsia="Symbol" w:cs="Symbol" w:ascii="Symbol" w:hAnsi="Symbol"/>
                      <w:sz w:val="22"/>
                      <w:szCs w:val="22"/>
                      <w:lang w:eastAsia="en-US"/>
                    </w:rPr>
                    <w:t>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K</w:t>
                  </w:r>
                  <w:r>
                    <w:rPr>
                      <w:sz w:val="22"/>
                      <w:szCs w:val="22"/>
                      <w:vertAlign w:val="subscript"/>
                      <w:lang w:eastAsia="en-US"/>
                    </w:rPr>
                    <w:t>i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, или (объем строительно-монтажных работ) </w:t>
                  </w:r>
                  <w:r>
                    <w:rPr>
                      <w:rFonts w:eastAsia="Symbol" w:cs="Symbol" w:ascii="Symbol" w:hAnsi="Symbol"/>
                      <w:sz w:val="22"/>
                      <w:szCs w:val="22"/>
                      <w:lang w:eastAsia="en-US"/>
                    </w:rPr>
                    <w:t>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проц.</w:t>
                  </w:r>
                </w:p>
              </w:tc>
              <w:tc>
                <w:tcPr>
                  <w:tcW w:w="150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Стоимость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712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  <w:tc>
                <w:tcPr>
                  <w:tcW w:w="231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  <w:tc>
                <w:tcPr>
                  <w:tcW w:w="2539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100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или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количество </w:t>
                  </w:r>
                  <w:r>
                    <w:rPr>
                      <w:rFonts w:eastAsia="Symbol" w:cs="Symbol" w:ascii="Symbol" w:hAnsi="Symbol"/>
                      <w:sz w:val="22"/>
                      <w:szCs w:val="22"/>
                      <w:lang w:eastAsia="en-US"/>
                    </w:rPr>
                    <w:t>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цена</w:t>
                  </w:r>
                </w:p>
              </w:tc>
              <w:tc>
                <w:tcPr>
                  <w:tcW w:w="1503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231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253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200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15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  <w:tc>
                <w:tcPr>
                  <w:tcW w:w="231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  <w:tc>
                <w:tcPr>
                  <w:tcW w:w="253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  <w:tc>
                <w:tcPr>
                  <w:tcW w:w="200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  <w:tc>
                <w:tcPr>
                  <w:tcW w:w="1503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  <w:tc>
                <w:tcPr>
                  <w:tcW w:w="231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  <w:tc>
                <w:tcPr>
                  <w:tcW w:w="253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  <w:tc>
                <w:tcPr>
                  <w:tcW w:w="1503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before="480"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Составил:            /должность, организация/                                    /подпись/   /расшифровка подписи/</w:t>
            </w:r>
          </w:p>
          <w:p>
            <w:pPr>
              <w:pStyle w:val="Normal"/>
              <w:widowControl w:val="fals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Проверил:            /должность, организация/                                    /подпись/   /расшифровка подписи/</w:t>
            </w:r>
          </w:p>
        </w:tc>
      </w:tr>
    </w:tbl>
    <w:p>
      <w:pPr>
        <w:pStyle w:val="Normal"/>
        <w:widowControl/>
        <w:shd w:val="clear" w:color="auto" w:fill="FFFFFF"/>
        <w:spacing w:before="0" w:after="200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</w:r>
    </w:p>
    <w:p>
      <w:pPr>
        <w:pStyle w:val="Normal"/>
        <w:widowControl/>
        <w:shd w:val="clear" w:color="auto" w:fill="FFFFFF"/>
        <w:spacing w:before="0" w:after="200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</w:r>
      <w:r>
        <w:br w:type="page"/>
      </w:r>
    </w:p>
    <w:p>
      <w:pPr>
        <w:pStyle w:val="Normal"/>
        <w:tabs>
          <w:tab w:val="clear" w:pos="426"/>
        </w:tabs>
        <w:spacing w:lineRule="auto" w:line="240"/>
        <w:ind w:hanging="0"/>
        <w:jc w:val="right"/>
        <w:rPr/>
      </w:pPr>
      <w:r>
        <w:rPr/>
        <w:t>Приложение №3 к Требованиям к</w:t>
      </w:r>
    </w:p>
    <w:p>
      <w:pPr>
        <w:pStyle w:val="Normal"/>
        <w:tabs>
          <w:tab w:val="clear" w:pos="426"/>
        </w:tabs>
        <w:spacing w:lineRule="auto" w:line="240"/>
        <w:ind w:hanging="0"/>
        <w:jc w:val="right"/>
        <w:rPr/>
      </w:pPr>
      <w:r>
        <w:rPr/>
        <w:t>оформлению и составлению сметной</w:t>
      </w:r>
    </w:p>
    <w:p>
      <w:pPr>
        <w:pStyle w:val="Normal"/>
        <w:widowControl/>
        <w:shd w:val="clear" w:color="auto" w:fill="FFFFFF"/>
        <w:tabs>
          <w:tab w:val="clear" w:pos="426"/>
        </w:tabs>
        <w:suppressAutoHyphens w:val="false"/>
        <w:spacing w:lineRule="auto" w:line="240" w:before="0" w:after="200"/>
        <w:ind w:hanging="0"/>
        <w:jc w:val="right"/>
        <w:rPr>
          <w:lang w:eastAsia="en-US"/>
        </w:rPr>
      </w:pPr>
      <w:r>
        <w:rPr>
          <w:rFonts w:eastAsia="Times New Roman"/>
          <w:sz w:val="26"/>
          <w:lang w:eastAsia="en-US"/>
        </w:rPr>
        <w:t>документации на выполнение работ и услуг</w:t>
      </w:r>
    </w:p>
    <w:p>
      <w:pPr>
        <w:pStyle w:val="Normal"/>
        <w:widowControl/>
        <w:shd w:val="clear" w:color="auto" w:fill="FFFFFF"/>
        <w:spacing w:before="0" w:after="20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Образец сметы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на проектные работы в соответствии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 калькуляцией затрат (форма 3п)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СМЕТА №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на проектные работы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1246" w:firstLine="113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i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(наименование объекта)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142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Заказчик ________________________________________________________________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i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(наименование организации)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1246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Проектная организация ___________________________________________________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i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(наименование организации)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1246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Составлена в уровне цен на ___________ 20__ г.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Расчет коэффициента, учитывающего степень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участия исполнителей-проектировщиков различной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квалификации в выполнении проектных работ (Ккв-уч)</w:t>
      </w:r>
    </w:p>
    <w:tbl>
      <w:tblPr>
        <w:tblW w:w="10055" w:type="dxa"/>
        <w:jc w:val="left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61"/>
        <w:gridCol w:w="1400"/>
        <w:gridCol w:w="1577"/>
        <w:gridCol w:w="1985"/>
        <w:gridCol w:w="1555"/>
        <w:gridCol w:w="1422"/>
        <w:gridCol w:w="1554"/>
      </w:tblGrid>
      <w:tr>
        <w:trPr/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п/п</w:t>
            </w:r>
          </w:p>
        </w:tc>
        <w:tc>
          <w:tcPr>
            <w:tcW w:w="1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должностей исполнителей</w:t>
            </w:r>
          </w:p>
        </w:tc>
        <w:tc>
          <w:tcPr>
            <w:tcW w:w="15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Фактическое время участия исполнителя в работе, Тф (дни)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Плановая продолжительность выполнения проектных работ, предусмотренных калькуляцией, Тп (дни)</w:t>
            </w:r>
          </w:p>
        </w:tc>
        <w:tc>
          <w:tcPr>
            <w:tcW w:w="1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6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 исполнителей одной квалификации Чi (чел)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Индекс уровня квалификации специалистов исполнителей работы И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Коэффициент квалификации (участия) специалистов одной квалификации,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∑</w:t>
            </w:r>
            <w:r>
              <w:rPr>
                <w:rFonts w:eastAsia="Times New Roman"/>
                <w:sz w:val="20"/>
                <w:szCs w:val="20"/>
              </w:rPr>
              <w:t>(гр.3/итог гр.4 х гр.5 х гр.6) / ∑гр.5</w:t>
            </w:r>
          </w:p>
        </w:tc>
      </w:tr>
      <w:tr>
        <w:trPr/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8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1"/>
              <w:jc w:val="center"/>
              <w:rPr>
                <w:rFonts w:eastAsia="Times New Roman"/>
                <w:sz w:val="20"/>
                <w:szCs w:val="20"/>
              </w:rPr>
            </w:pPr>
            <w:hyperlink w:anchor="P3816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*</w:t>
              </w:r>
            </w:hyperlink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1"/>
              <w:jc w:val="center"/>
              <w:rPr>
                <w:rFonts w:eastAsia="Times New Roman"/>
                <w:sz w:val="20"/>
                <w:szCs w:val="20"/>
              </w:rPr>
            </w:pPr>
            <w:hyperlink w:anchor="P3816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*</w:t>
              </w:r>
            </w:hyperlink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1"/>
              <w:jc w:val="center"/>
              <w:rPr>
                <w:rFonts w:eastAsia="Times New Roman"/>
                <w:sz w:val="20"/>
                <w:szCs w:val="20"/>
              </w:rPr>
            </w:pPr>
            <w:hyperlink w:anchor="P3816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*</w:t>
              </w:r>
            </w:hyperlink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hyperlink w:anchor="P3816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*</w:t>
              </w:r>
            </w:hyperlink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hyperlink w:anchor="P3816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*</w:t>
              </w:r>
            </w:hyperlink>
          </w:p>
        </w:tc>
        <w:tc>
          <w:tcPr>
            <w:tcW w:w="15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</w:tbl>
    <w:p>
      <w:pPr>
        <w:sectPr>
          <w:headerReference w:type="default" r:id="rId16"/>
          <w:headerReference w:type="first" r:id="rId17"/>
          <w:footerReference w:type="default" r:id="rId18"/>
          <w:footerReference w:type="first" r:id="rId19"/>
          <w:type w:val="nextPage"/>
          <w:pgSz w:w="11906" w:h="16838"/>
          <w:pgMar w:left="1418" w:right="851" w:gutter="0" w:header="709" w:top="766" w:footer="766" w:bottom="136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sz w:val="22"/>
          <w:szCs w:val="22"/>
        </w:rPr>
      </w:pPr>
      <w:r>
        <w:rPr>
          <w:rFonts w:eastAsia="Times New Roman"/>
          <w:b/>
          <w:sz w:val="22"/>
          <w:szCs w:val="22"/>
          <w:lang w:eastAsia="en-US"/>
        </w:rPr>
        <w:t>Примечание: &lt;*&gt; Графы для расчета коэффициента в таблице не заполняются</w:t>
      </w:r>
    </w:p>
    <w:p>
      <w:pPr>
        <w:pStyle w:val="Normal"/>
        <w:widowControl/>
        <w:shd w:val="clear" w:color="auto" w:fill="FFFFFF"/>
        <w:spacing w:before="0" w:after="20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Расчет стоимости проектных работ в соответствии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 калькуляцией затрат на проектирование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</w:rPr>
      </w:pPr>
      <w:r>
        <w:rPr>
          <w:rFonts w:eastAsia="Times New Roman"/>
        </w:rPr>
      </w:r>
    </w:p>
    <w:tbl>
      <w:tblPr>
        <w:tblW w:w="15501" w:type="dxa"/>
        <w:jc w:val="lef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1833"/>
        <w:gridCol w:w="1282"/>
        <w:gridCol w:w="1701"/>
        <w:gridCol w:w="1844"/>
        <w:gridCol w:w="1133"/>
        <w:gridCol w:w="1704"/>
        <w:gridCol w:w="1421"/>
        <w:gridCol w:w="1709"/>
        <w:gridCol w:w="1609"/>
        <w:gridCol w:w="1263"/>
      </w:tblGrid>
      <w:tr>
        <w:trPr/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Среднемесячная зарплата исполнителей, руб.</w:t>
            </w:r>
          </w:p>
        </w:tc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Кол-во рабочих дней в месяце, дни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Среднедневная зарплата исполнителей, руб.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hyperlink w:anchor="P3831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гр 1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/ </w:t>
            </w:r>
            <w:hyperlink w:anchor="P3832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гр 2</w:t>
              </w:r>
            </w:hyperlink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Удельный вес зарплаты в себестоимости работ - Кз, %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Рентабель-ность, %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Среднедневная единичная выработка, руб. (</w:t>
            </w:r>
            <w:hyperlink w:anchor="P3833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гр. 3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x (1 + </w:t>
            </w:r>
            <w:hyperlink w:anchor="P3835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гр. 5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)) / </w:t>
            </w:r>
            <w:hyperlink w:anchor="P3834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гр. 4</w:t>
              </w:r>
            </w:hyperlink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Продолжи-тельность разработки (дни)</w:t>
            </w: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 исполнителей (чел.)</w:t>
            </w:r>
          </w:p>
        </w:tc>
        <w:tc>
          <w:tcPr>
            <w:tcW w:w="16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Коэффициент квалификации (участия)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Ккв-уч</w:t>
            </w:r>
          </w:p>
        </w:tc>
        <w:tc>
          <w:tcPr>
            <w:tcW w:w="12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Стоимость работ, руб.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= (</w:t>
            </w:r>
            <w:hyperlink w:anchor="P3836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гр. 6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x </w:t>
            </w:r>
            <w:hyperlink w:anchor="P3837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гр. 7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x </w:t>
            </w:r>
            <w:hyperlink w:anchor="P3838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гр. 8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x </w:t>
            </w:r>
            <w:hyperlink w:anchor="P3839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гр. 9</w:t>
              </w:r>
            </w:hyperlink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6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72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426"/>
        </w:tabs>
        <w:suppressAutoHyphens w:val="false"/>
        <w:spacing w:lineRule="auto" w:line="240"/>
        <w:ind w:firstLine="72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Руководитель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проектной организации _______________________________________________________________________________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jc w:val="center"/>
        <w:rPr>
          <w:rFonts w:eastAsia="Times New Roman"/>
          <w:i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[подпись (инициалы, фамилия)]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rPr>
          <w:rFonts w:eastAsia="Times New Roman"/>
          <w:i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Главный инженер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проекта _______________________________________________________________________________________________</w:t>
      </w:r>
    </w:p>
    <w:p>
      <w:pPr>
        <w:pStyle w:val="Normal"/>
        <w:widowControl/>
        <w:shd w:val="clear" w:color="auto" w:fill="FFFFFF"/>
        <w:tabs>
          <w:tab w:val="clear" w:pos="426"/>
        </w:tabs>
        <w:suppressAutoHyphens w:val="false"/>
        <w:spacing w:lineRule="auto" w:line="240" w:before="0" w:after="200"/>
        <w:ind w:right="2947" w:hanging="0"/>
        <w:jc w:val="center"/>
        <w:rPr>
          <w:rFonts w:eastAsia="Times New Roman"/>
          <w:i/>
          <w:i/>
          <w:iCs/>
          <w:sz w:val="22"/>
          <w:szCs w:val="22"/>
        </w:rPr>
      </w:pPr>
      <w:r>
        <w:rPr>
          <w:rFonts w:eastAsia="Times New Roman"/>
          <w:b/>
          <w:i/>
          <w:iCs/>
          <w:sz w:val="22"/>
          <w:szCs w:val="22"/>
          <w:lang w:eastAsia="en-US"/>
        </w:rPr>
        <w:t>[подпись (инициалы, фамилия)]</w:t>
      </w:r>
    </w:p>
    <w:p>
      <w:pPr>
        <w:pStyle w:val="Normal"/>
        <w:widowControl/>
        <w:shd w:val="clear" w:color="auto" w:fill="FFFFFF"/>
        <w:spacing w:before="0" w:after="200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</w:r>
    </w:p>
    <w:p>
      <w:pPr>
        <w:pStyle w:val="Normal"/>
        <w:widowControl/>
        <w:shd w:val="clear" w:color="auto" w:fill="FFFFFF"/>
        <w:spacing w:before="0" w:after="200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</w:r>
    </w:p>
    <w:p>
      <w:pPr>
        <w:pStyle w:val="Normal"/>
        <w:widowControl/>
        <w:shd w:val="clear" w:color="auto" w:fill="FFFFFF"/>
        <w:spacing w:before="0" w:after="200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</w:r>
    </w:p>
    <w:p>
      <w:pPr>
        <w:pStyle w:val="Normal"/>
        <w:widowControl/>
        <w:shd w:val="clear" w:color="auto" w:fill="FFFFFF"/>
        <w:spacing w:before="0" w:after="200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</w:r>
    </w:p>
    <w:p>
      <w:pPr>
        <w:pStyle w:val="Normal"/>
        <w:widowControl/>
        <w:shd w:val="clear" w:color="auto" w:fill="FFFFFF"/>
        <w:spacing w:before="0" w:after="200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</w:r>
    </w:p>
    <w:p>
      <w:pPr>
        <w:pStyle w:val="Normal"/>
        <w:widowControl/>
        <w:shd w:val="clear" w:color="auto" w:fill="FFFFFF"/>
        <w:spacing w:before="0" w:after="200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</w:r>
    </w:p>
    <w:p>
      <w:pPr>
        <w:pStyle w:val="Normal"/>
        <w:widowControl/>
        <w:shd w:val="clear" w:color="auto" w:fill="FFFFFF"/>
        <w:spacing w:before="0" w:after="200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Образец сметного расчета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на командировочные расходы по работам,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hanging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связанным с проектированием объекта (форма 4п)</w:t>
      </w:r>
    </w:p>
    <w:p>
      <w:pPr>
        <w:pStyle w:val="Normal"/>
        <w:tabs>
          <w:tab w:val="clear" w:pos="426"/>
        </w:tabs>
        <w:suppressAutoHyphens w:val="false"/>
        <w:spacing w:lineRule="auto" w:line="240"/>
        <w:ind w:firstLine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5038" w:type="dxa"/>
        <w:jc w:val="left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91"/>
        <w:gridCol w:w="1630"/>
        <w:gridCol w:w="1698"/>
        <w:gridCol w:w="1973"/>
        <w:gridCol w:w="2668"/>
        <w:gridCol w:w="1275"/>
        <w:gridCol w:w="1914"/>
        <w:gridCol w:w="2005"/>
        <w:gridCol w:w="1382"/>
      </w:tblGrid>
      <w:tr>
        <w:trPr>
          <w:trHeight w:val="644" w:hRule="atLeast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п/п</w:t>
            </w:r>
          </w:p>
        </w:tc>
        <w:tc>
          <w:tcPr>
            <w:tcW w:w="1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 назначения</w:t>
            </w:r>
          </w:p>
        </w:tc>
        <w:tc>
          <w:tcPr>
            <w:tcW w:w="1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специалистов</w:t>
            </w:r>
          </w:p>
        </w:tc>
        <w:tc>
          <w:tcPr>
            <w:tcW w:w="1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Проезд к месту командировки (туда и обратно)</w:t>
            </w:r>
          </w:p>
        </w:tc>
        <w:tc>
          <w:tcPr>
            <w:tcW w:w="26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Проживание в номере гостиницы класса "3 звезды",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чел/сутки.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Суточные</w:t>
            </w:r>
          </w:p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сутки/руб.</w:t>
            </w:r>
          </w:p>
        </w:tc>
        <w:tc>
          <w:tcPr>
            <w:tcW w:w="1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Продолжительность командировки, сутки</w:t>
            </w:r>
          </w:p>
        </w:tc>
        <w:tc>
          <w:tcPr>
            <w:tcW w:w="20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Продолжительность проживания в гостинице, сутки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затрат, рубли</w:t>
            </w:r>
          </w:p>
        </w:tc>
      </w:tr>
      <w:tr>
        <w:trPr/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0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63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26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20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63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26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20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63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26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20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38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сметному расчету</w:t>
            </w: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26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20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426"/>
              </w:tabs>
              <w:suppressAutoHyphens w:val="false"/>
              <w:spacing w:lineRule="auto" w:line="240"/>
              <w:ind w:firstLine="6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426"/>
        </w:tabs>
        <w:suppressAutoHyphens w:val="false"/>
        <w:spacing w:lineRule="auto" w:line="240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Руководитель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проектной организации ________________________________________________________________________________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jc w:val="center"/>
        <w:rPr>
          <w:rFonts w:eastAsia="Times New Roman"/>
          <w:i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[подпись (инициалы, фамилия)]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rPr>
          <w:rFonts w:eastAsia="Times New Roman"/>
          <w:i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Главный инженер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проекта _____________________________________________________________________________________________</w:t>
      </w:r>
    </w:p>
    <w:p>
      <w:pPr>
        <w:pStyle w:val="Normal"/>
        <w:widowControl/>
        <w:tabs>
          <w:tab w:val="clear" w:pos="426"/>
        </w:tabs>
        <w:suppressAutoHyphens w:val="false"/>
        <w:spacing w:lineRule="auto" w:line="240"/>
        <w:ind w:right="2947" w:hanging="0"/>
        <w:jc w:val="center"/>
        <w:rPr>
          <w:rFonts w:eastAsia="Times New Roman"/>
          <w:i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[подпись (инициалы, фамилия)]</w:t>
      </w:r>
    </w:p>
    <w:sectPr>
      <w:headerReference w:type="default" r:id="rId20"/>
      <w:headerReference w:type="first" r:id="rId21"/>
      <w:footerReference w:type="default" r:id="rId22"/>
      <w:footerReference w:type="first" r:id="rId23"/>
      <w:type w:val="nextPage"/>
      <w:pgSz w:orient="landscape" w:w="16838" w:h="11906"/>
      <w:pgMar w:left="1366" w:right="765" w:gutter="0" w:header="709" w:top="1418" w:footer="765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Cs/>
      </w:rPr>
    </w:pPr>
    <w:r>
      <w:rPr>
        <w:bCs/>
      </w:rPr>
      <w:t>Приложение №1 к Требованиям к</w:t>
    </w:r>
  </w:p>
  <w:p>
    <w:pPr>
      <w:pStyle w:val="Header"/>
      <w:jc w:val="right"/>
      <w:rPr>
        <w:bCs/>
      </w:rPr>
    </w:pPr>
    <w:r>
      <w:rPr>
        <w:bCs/>
      </w:rPr>
      <w:t>оформлению и составлению сметной</w:t>
    </w:r>
  </w:p>
  <w:p>
    <w:pPr>
      <w:pStyle w:val="Header"/>
      <w:jc w:val="right"/>
      <w:rPr/>
    </w:pPr>
    <w:r>
      <w:rPr>
        <w:sz w:val="26"/>
      </w:rPr>
      <w:t>документации на выполнение работ и услуг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rFonts w:ascii="Times New Roman" w:hAnsi="Times New Roman" w:eastAsia="Calibri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504"/>
      </w:pPr>
      <w:rPr>
        <w:i w:val="false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b67cc"/>
    <w:pPr>
      <w:widowControl w:val="false"/>
      <w:tabs>
        <w:tab w:val="clear" w:pos="709"/>
        <w:tab w:val="left" w:pos="426" w:leader="none"/>
      </w:tabs>
      <w:suppressAutoHyphens w:val="true"/>
      <w:bidi w:val="0"/>
      <w:spacing w:lineRule="auto" w:line="276" w:before="0" w:after="0"/>
      <w:ind w:firstLine="425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Heading2"/>
    <w:next w:val="Normal"/>
    <w:link w:val="11"/>
    <w:qFormat/>
    <w:rsid w:val="00664a95"/>
    <w:pPr>
      <w:numPr>
        <w:ilvl w:val="0"/>
        <w:numId w:val="4"/>
      </w:numPr>
      <w:outlineLvl w:val="0"/>
    </w:pPr>
    <w:rPr/>
  </w:style>
  <w:style w:type="paragraph" w:styleId="Heading2">
    <w:name w:val="Heading 2"/>
    <w:basedOn w:val="ListParagraph"/>
    <w:next w:val="Normal"/>
    <w:link w:val="2"/>
    <w:uiPriority w:val="99"/>
    <w:qFormat/>
    <w:rsid w:val="00664a95"/>
    <w:pPr>
      <w:spacing w:before="120" w:after="240"/>
      <w:ind w:left="360" w:hanging="360"/>
      <w:contextualSpacing w:val="false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28"/>
    <w:next w:val="Normal"/>
    <w:link w:val="3"/>
    <w:autoRedefine/>
    <w:qFormat/>
    <w:rsid w:val="00c011bb"/>
    <w:pPr>
      <w:tabs>
        <w:tab w:val="clear" w:pos="0"/>
        <w:tab w:val="clear" w:pos="426"/>
      </w:tabs>
      <w:spacing w:before="0" w:after="120"/>
      <w:ind w:left="0" w:firstLine="709"/>
      <w:contextualSpacing w:val="false"/>
      <w:textAlignment w:val="baseline"/>
      <w:outlineLvl w:val="2"/>
    </w:pPr>
    <w:rPr/>
  </w:style>
  <w:style w:type="paragraph" w:styleId="Heading4">
    <w:name w:val="Heading 4"/>
    <w:basedOn w:val="Heading5"/>
    <w:next w:val="Normal"/>
    <w:link w:val="4"/>
    <w:qFormat/>
    <w:rsid w:val="00664a95"/>
    <w:pPr>
      <w:outlineLvl w:val="3"/>
    </w:pPr>
    <w:rPr/>
  </w:style>
  <w:style w:type="paragraph" w:styleId="Heading5">
    <w:name w:val="Heading 5"/>
    <w:basedOn w:val="28"/>
    <w:next w:val="Normal"/>
    <w:link w:val="5"/>
    <w:uiPriority w:val="9"/>
    <w:qFormat/>
    <w:rsid w:val="00a57afe"/>
    <w:pPr>
      <w:outlineLvl w:val="4"/>
    </w:pPr>
    <w:rPr/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664a95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664a95"/>
    <w:rPr>
      <w:rFonts w:eastAsia="Calibri"/>
      <w:b/>
      <w:sz w:val="28"/>
      <w:szCs w:val="28"/>
    </w:rPr>
  </w:style>
  <w:style w:type="character" w:styleId="3" w:customStyle="1">
    <w:name w:val="Заголовок 3 Знак"/>
    <w:qFormat/>
    <w:rsid w:val="00c011bb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4a95"/>
    <w:rPr>
      <w:rFonts w:eastAsia="Calibri"/>
      <w:b/>
      <w:sz w:val="24"/>
      <w:szCs w:val="24"/>
    </w:rPr>
  </w:style>
  <w:style w:type="character" w:styleId="5" w:customStyle="1">
    <w:name w:val="Заголовок 5 Знак"/>
    <w:uiPriority w:val="9"/>
    <w:qFormat/>
    <w:rsid w:val="00a57afe"/>
    <w:rPr>
      <w:rFonts w:eastAsia="Calibri"/>
      <w:b/>
      <w:sz w:val="24"/>
      <w:szCs w:val="24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7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796dd1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413c84"/>
    <w:rPr>
      <w:sz w:val="16"/>
      <w:szCs w:val="16"/>
    </w:rPr>
  </w:style>
  <w:style w:type="character" w:styleId="14" w:customStyle="1">
    <w:name w:val="Название Знак1"/>
    <w:basedOn w:val="DefaultParagraphFont"/>
    <w:uiPriority w:val="10"/>
    <w:qFormat/>
    <w:rsid w:val="00a57af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15" w:customStyle="1">
    <w:name w:val="Пункт Знак1"/>
    <w:link w:val="Style28"/>
    <w:uiPriority w:val="99"/>
    <w:qFormat/>
    <w:locked/>
    <w:rsid w:val="00be549b"/>
    <w:rPr>
      <w:rFonts w:ascii="Arial" w:hAnsi="Arial" w:eastAsia="Calibri"/>
      <w:b/>
      <w:i/>
      <w:sz w:val="24"/>
    </w:rPr>
  </w:style>
  <w:style w:type="character" w:styleId="Style14" w:customStyle="1">
    <w:name w:val="Заголовок Знак"/>
    <w:qFormat/>
    <w:rsid w:val="00d5438f"/>
    <w:rPr>
      <w:bCs/>
      <w:sz w:val="24"/>
      <w:szCs w:val="24"/>
    </w:rPr>
  </w:style>
  <w:style w:type="character" w:styleId="Style15" w:customStyle="1">
    <w:name w:val="Нижний колонтитул Знак"/>
    <w:uiPriority w:val="99"/>
    <w:qFormat/>
    <w:rsid w:val="00d5438f"/>
    <w:rPr>
      <w:rFonts w:eastAsia="Calibri"/>
      <w:sz w:val="24"/>
      <w:szCs w:val="24"/>
    </w:rPr>
  </w:style>
  <w:style w:type="character" w:styleId="Style16" w:customStyle="1">
    <w:name w:val="Ссылка указателя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1"/>
    <w:next w:val="BodyText"/>
    <w:link w:val="Style14"/>
    <w:qFormat/>
    <w:rsid w:val="00a57afe"/>
    <w:pPr>
      <w:widowControl/>
      <w:numPr>
        <w:ilvl w:val="0"/>
        <w:numId w:val="0"/>
      </w:numPr>
      <w:tabs>
        <w:tab w:val="clear" w:pos="426"/>
      </w:tabs>
      <w:spacing w:before="0" w:after="0"/>
      <w:ind w:left="792" w:hanging="432"/>
      <w:contextualSpacing/>
    </w:pPr>
    <w:rPr>
      <w:rFonts w:eastAsia="Times New Roman"/>
      <w:b w:val="false"/>
      <w:b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</w:rPr>
  </w:style>
  <w:style w:type="paragraph" w:styleId="17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left" w:pos="426" w:leader="none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rsid w:val="0076353a"/>
    <w:pPr>
      <w:ind w:left="360" w:firstLine="425"/>
    </w:pPr>
    <w:rPr/>
  </w:style>
  <w:style w:type="paragraph" w:styleId="Footer">
    <w:name w:val="Footer"/>
    <w:basedOn w:val="Normal"/>
    <w:link w:val="Style15"/>
    <w:uiPriority w:val="99"/>
    <w:rsid w:val="0076353a"/>
    <w:pPr>
      <w:tabs>
        <w:tab w:val="left" w:pos="426" w:leader="none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firstLine="425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firstLine="425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firstLine="425"/>
      <w:jc w:val="center"/>
    </w:pPr>
    <w:rPr>
      <w:b/>
      <w:bCs/>
      <w:szCs w:val="20"/>
    </w:rPr>
  </w:style>
  <w:style w:type="paragraph" w:styleId="Style23" w:customStyle="1">
    <w:name w:val="Подпункт"/>
    <w:basedOn w:val="Normal"/>
    <w:link w:val="12"/>
    <w:uiPriority w:val="99"/>
    <w:qFormat/>
    <w:rsid w:val="0076353a"/>
    <w:pPr>
      <w:tabs>
        <w:tab w:val="left" w:pos="426" w:leader="none"/>
        <w:tab w:val="left" w:pos="1134" w:leader="none"/>
      </w:tabs>
      <w:snapToGrid w:val="false"/>
      <w:spacing w:lineRule="auto" w:line="360"/>
      <w:ind w:left="1134" w:hanging="1134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left" w:pos="426" w:leader="none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af1e55"/>
    <w:pPr>
      <w:tabs>
        <w:tab w:val="clear" w:pos="426"/>
        <w:tab w:val="left" w:pos="840" w:leader="none"/>
        <w:tab w:val="right" w:pos="9911" w:leader="dot"/>
      </w:tabs>
      <w:spacing w:before="120" w:after="0"/>
      <w:ind w:firstLine="426"/>
    </w:pPr>
    <w:rPr>
      <w:rFonts w:cs="Calibri" w:cstheme="minorHAnsi"/>
      <w:b/>
      <w:bCs/>
      <w:iCs/>
    </w:rPr>
  </w:style>
  <w:style w:type="paragraph" w:styleId="TOC3">
    <w:name w:val="TOC 3"/>
    <w:basedOn w:val="Normal"/>
    <w:next w:val="Normal"/>
    <w:autoRedefine/>
    <w:uiPriority w:val="39"/>
    <w:rsid w:val="00bc3602"/>
    <w:pPr>
      <w:tabs>
        <w:tab w:val="left" w:pos="426" w:leader="none"/>
        <w:tab w:val="left" w:pos="1400" w:leader="none"/>
        <w:tab w:val="right" w:pos="9911" w:leader="dot"/>
      </w:tabs>
      <w:ind w:left="560" w:firstLine="425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af1e55"/>
    <w:pPr>
      <w:spacing w:before="120" w:after="0"/>
      <w:ind w:left="280" w:right="-2" w:firstLine="425"/>
    </w:pPr>
    <w:rPr>
      <w:rFonts w:cs="Calibri" w:cstheme="minorHAnsi"/>
      <w:bCs/>
      <w:sz w:val="22"/>
      <w:szCs w:val="22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TOC9">
    <w:name w:val="TOC 9"/>
    <w:basedOn w:val="Normal"/>
    <w:next w:val="Normal"/>
    <w:autoRedefine/>
    <w:semiHidden/>
    <w:rsid w:val="00f57628"/>
    <w:pPr>
      <w:ind w:left="2240" w:firstLine="425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1120" w:firstLine="425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af1e55"/>
    <w:pPr>
      <w:ind w:left="840" w:firstLine="153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/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firstLine="425"/>
      <w:contextualSpacing/>
    </w:pPr>
    <w:rPr/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firstLine="425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24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</w:pPr>
    <w:rPr>
      <w:rFonts w:ascii="Garamond" w:hAnsi="Garamond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</w:pPr>
    <w:rPr>
      <w:rFonts w:ascii="Garamond" w:hAnsi="Garamond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</w:pPr>
    <w:rPr>
      <w:rFonts w:ascii="Garamond" w:hAnsi="Garamond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link w:val="15"/>
    <w:uiPriority w:val="99"/>
    <w:qFormat/>
    <w:rsid w:val="00d22f6d"/>
    <w:pPr>
      <w:tabs>
        <w:tab w:val="left" w:pos="426" w:leader="none"/>
        <w:tab w:val="left" w:pos="1134" w:leader="none"/>
      </w:tabs>
      <w:spacing w:lineRule="auto" w:line="360" w:before="120" w:after="0"/>
      <w:ind w:left="1134" w:right="800" w:hanging="1134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before="0" w:after="200"/>
      <w:ind w:left="720" w:firstLine="425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b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firstLine="425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426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426" w:leader="none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ListParagraph"/>
    <w:qFormat/>
    <w:rsid w:val="00420ca2"/>
    <w:pPr>
      <w:tabs>
        <w:tab w:val="left" w:pos="0" w:leader="none"/>
        <w:tab w:val="left" w:pos="426" w:leader="none"/>
      </w:tabs>
      <w:spacing w:before="120" w:after="120"/>
      <w:ind w:left="792" w:hanging="432"/>
      <w:contextualSpacing/>
    </w:pPr>
    <w:rPr>
      <w:b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firstLine="425"/>
    </w:pPr>
    <w:rPr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/>
  </w:style>
  <w:style w:type="paragraph" w:styleId="TOC6">
    <w:name w:val="TOC 6"/>
    <w:basedOn w:val="Normal"/>
    <w:next w:val="Normal"/>
    <w:autoRedefine/>
    <w:semiHidden/>
    <w:unhideWhenUsed/>
    <w:rsid w:val="00796dd1"/>
    <w:pPr>
      <w:ind w:left="1400" w:firstLine="425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796dd1"/>
    <w:pPr>
      <w:ind w:left="1680" w:firstLine="425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796dd1"/>
    <w:pPr>
      <w:ind w:left="1960" w:firstLine="425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1" w:customStyle="1">
    <w:name w:val="Обычный1"/>
    <w:qFormat/>
    <w:rsid w:val="00db0a9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5" w:customStyle="1">
    <w:name w:val="Подпункт договора"/>
    <w:basedOn w:val="Normal"/>
    <w:qFormat/>
    <w:rsid w:val="00db0a96"/>
    <w:pPr>
      <w:widowControl/>
      <w:tabs>
        <w:tab w:val="clear" w:pos="426"/>
        <w:tab w:val="left" w:pos="360" w:leader="none"/>
      </w:tabs>
      <w:spacing w:lineRule="auto" w:line="240"/>
      <w:ind w:hanging="0"/>
    </w:pPr>
    <w:rPr>
      <w:rFonts w:ascii="Arial" w:hAnsi="Arial" w:eastAsia="Times New Roman"/>
      <w:sz w:val="20"/>
      <w:szCs w:val="20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112" w:customStyle="1">
    <w:name w:val="Заголовок 1 Знак1"/>
    <w:basedOn w:val="Normal"/>
    <w:qFormat/>
    <w:rsid w:val="00f8243b"/>
    <w:pPr>
      <w:widowControl/>
      <w:tabs>
        <w:tab w:val="clear" w:pos="426"/>
      </w:tabs>
      <w:suppressAutoHyphens w:val="false"/>
      <w:spacing w:lineRule="auto" w:line="240"/>
      <w:ind w:hanging="0"/>
      <w:jc w:val="left"/>
    </w:pPr>
    <w:rPr>
      <w:rFonts w:eastAsia="Times New Roman"/>
      <w:b/>
      <w:color w:val="000000"/>
      <w:sz w:val="28"/>
      <w:szCs w:val="20"/>
    </w:rPr>
  </w:style>
  <w:style w:type="paragraph" w:styleId="ListParagraph1" w:customStyle="1">
    <w:name w:val="List Paragraph1"/>
    <w:basedOn w:val="Normal"/>
    <w:qFormat/>
    <w:rsid w:val="00f8243b"/>
    <w:pPr>
      <w:widowControl/>
      <w:suppressAutoHyphens w:val="false"/>
      <w:spacing w:before="0" w:after="0"/>
      <w:ind w:left="720" w:firstLine="425"/>
      <w:contextualSpacing/>
    </w:pPr>
    <w:rPr>
      <w:rFonts w:eastAsia="Times New Roman"/>
      <w:color w:val="000000"/>
      <w:szCs w:val="20"/>
    </w:rPr>
  </w:style>
  <w:style w:type="paragraph" w:styleId="Style39" w:customStyle="1">
    <w:name w:val="РГ_номер текста табл"/>
    <w:basedOn w:val="ListParagraph"/>
    <w:qFormat/>
    <w:pPr>
      <w:widowControl/>
      <w:numPr>
        <w:ilvl w:val="0"/>
        <w:numId w:val="5"/>
      </w:numPr>
      <w:tabs>
        <w:tab w:val="clear" w:pos="426"/>
      </w:tabs>
      <w:spacing w:lineRule="auto" w:line="240"/>
    </w:pPr>
    <w:rPr>
      <w:rFonts w:cs="Calibri" w:cstheme="minorHAnsi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7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7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footer" Target="footer10.xml"/><Relationship Id="rId23" Type="http://schemas.openxmlformats.org/officeDocument/2006/relationships/footer" Target="footer11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<Relationship Id="rId2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8374-2ABD-4EE4-B9EB-A4D1DDC5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Application>AlterOffice/3.4.0.9$Linux_X86_64 LibreOffice_project/b8daf9e823b1a5463a2f48435ddc2e8696e7d4fc</Application>
  <AppVersion>15.0000</AppVersion>
  <Pages>22</Pages>
  <Words>4224</Words>
  <Characters>30367</Characters>
  <CharactersWithSpaces>34370</CharactersWithSpaces>
  <Paragraphs>549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2023-05-29T12:28:00Z</dcterms:created>
  <dc:creator>Быстров Олег Геннадьевич</dc:creator>
  <dc:description/>
  <dc:language>ru-RU</dc:language>
  <cp:lastModifiedBy>prorokovdr@corp.gidroogk.com</cp:lastModifiedBy>
  <cp:lastPrinted>2026-06-25T16:06:33Z</cp:lastPrinted>
  <dcterms:modified xsi:type="dcterms:W3CDTF">2026-06-25T16:08:22Z</dcterms:modified>
  <cp:revision>107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