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_rels/document.xml.rels" ContentType="application/vnd.openxmlformats-package.relationships+xml"/>
  <Override PartName="/word/header27.xml" ContentType="application/vnd.openxmlformats-officedocument.wordprocessingml.header+xml"/>
  <Override PartName="/word/footer42.xml" ContentType="application/vnd.openxmlformats-officedocument.wordprocessingml.footer+xml"/>
  <Override PartName="/word/header26.xml" ContentType="application/vnd.openxmlformats-officedocument.wordprocessingml.header+xml"/>
  <Override PartName="/word/footer41.xml" ContentType="application/vnd.openxmlformats-officedocument.wordprocessingml.footer+xml"/>
  <Override PartName="/word/header25.xml" ContentType="application/vnd.openxmlformats-officedocument.wordprocessingml.header+xml"/>
  <Override PartName="/word/footer40.xml" ContentType="application/vnd.openxmlformats-officedocument.wordprocessingml.footer+xml"/>
  <Override PartName="/word/header24.xml" ContentType="application/vnd.openxmlformats-officedocument.wordprocessingml.header+xml"/>
  <Override PartName="/word/header23.xml" ContentType="application/vnd.openxmlformats-officedocument.wordprocessingml.header+xml"/>
  <Override PartName="/word/styles.xml" ContentType="application/vnd.openxmlformats-officedocument.wordprocessingml.styles+xml"/>
  <Override PartName="/word/header22.xml" ContentType="application/vnd.openxmlformats-officedocument.wordprocessingml.header+xml"/>
  <Override PartName="/word/header21.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0.xml" ContentType="application/vnd.openxmlformats-officedocument.wordprocessingml.footer+xml"/>
  <Override PartName="/word/footer19.xml" ContentType="application/vnd.openxmlformats-officedocument.wordprocessingml.footer+xml"/>
  <Override PartName="/word/footer18.xml" ContentType="application/vnd.openxmlformats-officedocument.wordprocessingml.footer+xml"/>
  <Override PartName="/word/header16.xml" ContentType="application/vnd.openxmlformats-officedocument.wordprocessingml.header+xml"/>
  <Override PartName="/word/footer31.xml" ContentType="application/vnd.openxmlformats-officedocument.wordprocessingml.footer+xml"/>
  <Override PartName="/word/header15.xml" ContentType="application/vnd.openxmlformats-officedocument.wordprocessingml.header+xml"/>
  <Override PartName="/word/footer3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embeddings/oleObject1.bin" ContentType="application/vnd.openxmlformats-officedocument.oleObject"/>
  <Override PartName="/word/media/image29.jpeg" ContentType="image/jpeg"/>
  <Override PartName="/word/media/image24.png" ContentType="image/png"/>
  <Override PartName="/word/media/image46.jpeg" ContentType="image/jpeg"/>
  <Override PartName="/word/media/image28.jpeg" ContentType="image/jpeg"/>
  <Override PartName="/word/media/image45.jpeg" ContentType="image/jpeg"/>
  <Override PartName="/word/media/image26.png" ContentType="image/png"/>
  <Override PartName="/word/media/image12.jpeg" ContentType="image/jpeg"/>
  <Override PartName="/word/media/image22.png" ContentType="image/png"/>
  <Override PartName="/word/media/image6.jpeg" ContentType="image/jpeg"/>
  <Override PartName="/word/media/image27.png" ContentType="image/png"/>
  <Override PartName="/word/media/image44.png" ContentType="image/png"/>
  <Override PartName="/word/media/image21.jpeg" ContentType="image/jpeg"/>
  <Override PartName="/word/media/image19.jpeg" ContentType="image/jpeg"/>
  <Override PartName="/word/media/image13.wmf" ContentType="image/x-wmf"/>
  <Override PartName="/word/media/image36.jpeg" ContentType="image/jpeg"/>
  <Override PartName="/word/media/image18.jpeg" ContentType="image/jpeg"/>
  <Override PartName="/word/media/image35.jpeg" ContentType="image/jpeg"/>
  <Override PartName="/word/media/image17.jpeg" ContentType="image/jpeg"/>
  <Override PartName="/word/media/image9.jpeg" ContentType="image/jpeg"/>
  <Override PartName="/word/media/image10.jpeg" ContentType="image/jpeg"/>
  <Override PartName="/word/media/image40.png" ContentType="image/png"/>
  <Override PartName="/word/media/image34.png" ContentType="image/png"/>
  <Override PartName="/word/media/image16.jpeg" ContentType="image/jpeg"/>
  <Override PartName="/word/media/image33.jpeg" ContentType="image/jpeg"/>
  <Override PartName="/word/media/image37.jpeg" ContentType="image/jpeg"/>
  <Override PartName="/word/media/image42.jpeg" ContentType="image/jpeg"/>
  <Override PartName="/word/media/image20.jpeg" ContentType="image/jpeg"/>
  <Override PartName="/word/media/image38.jpeg" ContentType="image/jpeg"/>
  <Override PartName="/word/media/image41.jpeg" ContentType="image/jpeg"/>
  <Override PartName="/word/media/image48.wmf" ContentType="image/x-wmf"/>
  <Override PartName="/word/media/image43.jpeg" ContentType="image/jpeg"/>
  <Override PartName="/word/media/image30.jpeg" ContentType="image/jpeg"/>
  <Override PartName="/word/media/image47.wmf" ContentType="image/x-wmf"/>
  <Override PartName="/word/media/image3.jpeg" ContentType="image/jpeg"/>
  <Override PartName="/word/media/image25.png" ContentType="image/png"/>
  <Override PartName="/word/media/image8.jpeg" ContentType="image/jpeg"/>
  <Override PartName="/word/media/image7.jpeg" ContentType="image/jpeg"/>
  <Override PartName="/word/media/image11.jpeg" ContentType="image/jpeg"/>
  <Override PartName="/word/media/image5.jpeg" ContentType="image/jpeg"/>
  <Override PartName="/word/media/image4.jpeg" ContentType="image/jpeg"/>
  <Override PartName="/word/media/image2.jpeg" ContentType="image/jpeg"/>
  <Override PartName="/word/media/image1.jpeg" ContentType="image/jpeg"/>
  <Override PartName="/word/media/image14.jpeg" ContentType="image/jpeg"/>
  <Override PartName="/word/media/image31.jpeg" ContentType="image/jpeg"/>
  <Override PartName="/word/media/image23.jpeg" ContentType="image/jpeg"/>
  <Override PartName="/word/media/image39.png" ContentType="image/png"/>
  <Override PartName="/word/media/image15.jpeg" ContentType="image/jpeg"/>
  <Override PartName="/word/media/image32.jpeg" ContentType="image/jpeg"/>
  <Override PartName="/word/footer25.xml" ContentType="application/vnd.openxmlformats-officedocument.wordprocessingml.footer+xml"/>
  <Override PartName="/word/header2.xml" ContentType="application/vnd.openxmlformats-officedocument.wordprocessingml.header+xml"/>
  <Override PartName="/word/document.xml" ContentType="application/vnd.openxmlformats-officedocument.wordprocessingml.document.main+xml"/>
  <Override PartName="/word/header4.xml" ContentType="application/vnd.openxmlformats-officedocument.wordprocessingml.header+xml"/>
  <Override PartName="/word/footer27.xml" ContentType="application/vnd.openxmlformats-officedocument.wordprocessingml.footer+xml"/>
  <Override PartName="/word/footer13.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11.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settings.xml" ContentType="application/vnd.openxmlformats-officedocument.wordprocessingml.settings+xml"/>
  <Override PartName="/word/footer8.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header35.xml" ContentType="application/vnd.openxmlformats-officedocument.wordprocessingml.header+xml"/>
  <Override PartName="/word/footer33.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header38.xml" ContentType="application/vnd.openxmlformats-officedocument.wordprocessingml.header+xml"/>
  <Override PartName="/word/header31.xml" ContentType="application/vnd.openxmlformats-officedocument.wordprocessingml.header+xml"/>
  <Override PartName="/word/footer35.xml" ContentType="application/vnd.openxmlformats-officedocument.wordprocessingml.footer+xml"/>
  <Override PartName="/word/footer38.xml" ContentType="application/vnd.openxmlformats-officedocument.wordprocessingml.footer+xml"/>
  <Override PartName="/word/fontTable.xml" ContentType="application/vnd.openxmlformats-officedocument.wordprocessingml.fontTable+xml"/>
  <Override PartName="/word/footer6.xml" ContentType="application/vnd.openxmlformats-officedocument.wordprocessingml.footer+xml"/>
  <Override PartName="/word/footer14.xml" ContentType="application/vnd.openxmlformats-officedocument.wordprocessingml.footer+xml"/>
  <Override PartName="/word/header32.xml" ContentType="application/vnd.openxmlformats-officedocument.wordprocessingml.header+xml"/>
  <Override PartName="/word/header40.xml" ContentType="application/vnd.openxmlformats-officedocument.wordprocessingml.header+xml"/>
  <Override PartName="/word/header33.xml" ContentType="application/vnd.openxmlformats-officedocument.wordprocessingml.header+xml"/>
  <Override PartName="/word/header41.xml" ContentType="application/vnd.openxmlformats-officedocument.wordprocessingml.header+xml"/>
  <Override PartName="/word/footer43.xml" ContentType="application/vnd.openxmlformats-officedocument.wordprocessingml.footer+xml"/>
  <Override PartName="/word/header28.xml" ContentType="application/vnd.openxmlformats-officedocument.wordprocessingml.header+xml"/>
  <Override PartName="/word/header36.xml" ContentType="application/vnd.openxmlformats-officedocument.wordprocessingml.header+xml"/>
  <Override PartName="/word/header39.xml" ContentType="application/vnd.openxmlformats-officedocument.wordprocessingml.header+xml"/>
  <Override PartName="/word/footer11.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oter7.xml" ContentType="application/vnd.openxmlformats-officedocument.wordprocessingml.footer+xml"/>
  <Override PartName="/word/footer15.xml" ContentType="application/vnd.openxmlformats-officedocument.wordprocessingml.footer+xml"/>
  <Override PartName="/word/footer39.xml" ContentType="application/vnd.openxmlformats-officedocument.wordprocessingml.footer+xml"/>
  <Override PartName="/word/header34.xml" ContentType="application/vnd.openxmlformats-officedocument.wordprocessingml.header+xml"/>
  <Override PartName="/word/footer1.xml" ContentType="application/vnd.openxmlformats-officedocument.wordprocessingml.footer+xml"/>
  <Override PartName="/word/footer32.xml" ContentType="application/vnd.openxmlformats-officedocument.wordprocessingml.footer+xml"/>
  <Override PartName="/word/header17.xml" ContentType="application/vnd.openxmlformats-officedocument.wordprocessingml.header+xml"/>
  <Override PartName="/word/header29.xml" ContentType="application/vnd.openxmlformats-officedocument.wordprocessingml.header+xml"/>
  <Override PartName="/word/header37.xml" ContentType="application/vnd.openxmlformats-officedocument.wordprocessingml.header+xml"/>
  <Override PartName="/word/footer12.xml" ContentType="application/vnd.openxmlformats-officedocument.wordprocessingml.footer+xml"/>
  <Override PartName="/word/footer4.xml" ContentType="application/vnd.openxmlformats-officedocument.wordprocessingml.footer+xml"/>
  <Override PartName="/word/footer37.xml" ContentType="application/vnd.openxmlformats-officedocument.wordprocessingml.footer+xml"/>
  <Override PartName="/word/footer36.xml" ContentType="application/vnd.openxmlformats-officedocument.wordprocessingml.footer+xml"/>
  <Override PartName="/word/header10.xml" ContentType="application/vnd.openxmlformats-officedocument.wordprocessingml.header+xml"/>
  <Override PartName="/word/header7.xml" ContentType="application/vnd.openxmlformats-officedocument.wordprocessingml.header+xml"/>
  <Override PartName="/word/header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6.xml" ContentType="application/vnd.openxmlformats-officedocument.wordprocessingml.header+xml"/>
  <Override PartName="/word/header19.xml" ContentType="application/vnd.openxmlformats-officedocument.wordprocessingml.header+xml"/>
  <Override PartName="/word/footer34.xml" ContentType="application/vnd.openxmlformats-officedocument.wordprocessingml.footer+xml"/>
  <Override PartName="/word/footer17.xml" ContentType="application/vnd.openxmlformats-officedocument.wordprocessingml.footer+xml"/>
  <Override PartName="/word/footer22.xml" ContentType="application/vnd.openxmlformats-officedocument.wordprocessingml.footer+xml"/>
  <Override PartName="/word/footer24.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header30.xml" ContentType="application/vnd.openxmlformats-officedocument.wordprocessingml.header+xml"/>
  <Override PartName="/word/footer23.xml" ContentType="application/vnd.openxmlformats-officedocument.wordprocessingml.footer+xml"/>
  <Override PartName="/word/footer26.xml" ContentType="application/vnd.openxmlformats-officedocument.wordprocessingml.footer+xml"/>
  <Override PartName="/word/header3.xml" ContentType="application/vnd.openxmlformats-officedocument.wordprocessingml.head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uppressAutoHyphens w:val="true"/>
        <w:spacing w:before="120" w:after="0"/>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suppressAutoHyphens w:val="true"/>
        <w:spacing w:lineRule="auto" w:line="240" w:before="120" w:after="0"/>
        <w:ind w:left="0" w:right="0" w:hanging="0"/>
        <w:jc w:val="center"/>
        <w:rPr>
          <w:rFonts w:ascii="Times New Roman" w:hAnsi="Times New Roman" w:cs="Times New Roman"/>
          <w:b/>
          <w:sz w:val="28"/>
          <w:szCs w:val="28"/>
        </w:rPr>
      </w:pPr>
      <w:r>
        <w:rPr>
          <w:rFonts w:cs="Times New Roman" w:ascii="Times New Roman" w:hAnsi="Times New Roman"/>
          <w:b/>
          <w:sz w:val="28"/>
          <w:szCs w:val="28"/>
        </w:rPr>
        <w:t xml:space="preserve">Проведение мониторинга гидротехнических сооружений </w:t>
        <w:br/>
        <w:t>Загорской ГАЭС-2</w:t>
      </w:r>
    </w:p>
    <w:p>
      <w:pPr>
        <w:pStyle w:val="Normal"/>
        <w:suppressAutoHyphens w:val="true"/>
        <w:spacing w:lineRule="auto" w:line="240"/>
        <w:ind w:left="0" w:right="0" w:hanging="0"/>
        <w:jc w:val="center"/>
        <w:rPr>
          <w:rFonts w:ascii="Times New Roman" w:hAnsi="Times New Roman" w:cs="Times New Roman"/>
          <w:b/>
          <w:sz w:val="28"/>
          <w:szCs w:val="28"/>
        </w:rPr>
      </w:pPr>
      <w:r>
        <w:rPr>
          <w:rFonts w:cs="Times New Roman" w:ascii="Times New Roman" w:hAnsi="Times New Roman"/>
          <w:b/>
          <w:sz w:val="28"/>
          <w:szCs w:val="28"/>
        </w:rPr>
      </w:r>
    </w:p>
    <w:p>
      <w:pPr>
        <w:pStyle w:val="Normal"/>
        <w:suppressAutoHyphens w:val="true"/>
        <w:spacing w:lineRule="auto" w:line="240" w:before="120" w:after="0"/>
        <w:ind w:left="0" w:right="0" w:hanging="0"/>
        <w:jc w:val="center"/>
        <w:rPr>
          <w:rFonts w:ascii="Times New Roman" w:hAnsi="Times New Roman" w:cs="Times New Roman"/>
          <w:b/>
          <w:sz w:val="28"/>
          <w:szCs w:val="28"/>
        </w:rPr>
      </w:pPr>
      <w:r>
        <w:rPr>
          <w:rFonts w:cs="Times New Roman" w:ascii="Times New Roman" w:hAnsi="Times New Roman"/>
          <w:b/>
          <w:sz w:val="28"/>
          <w:szCs w:val="28"/>
        </w:rPr>
      </w:r>
    </w:p>
    <w:p>
      <w:pPr>
        <w:pStyle w:val="Normal"/>
        <w:suppressAutoHyphens w:val="true"/>
        <w:spacing w:lineRule="auto" w:line="240"/>
        <w:ind w:left="0" w:right="0" w:hanging="0"/>
        <w:jc w:val="center"/>
        <w:rPr>
          <w:rFonts w:ascii="Times New Roman" w:hAnsi="Times New Roman" w:cs="Times New Roman"/>
          <w:b/>
          <w:sz w:val="28"/>
          <w:szCs w:val="28"/>
        </w:rPr>
      </w:pPr>
      <w:r>
        <w:rPr>
          <w:rFonts w:cs="Times New Roman" w:ascii="Times New Roman" w:hAnsi="Times New Roman"/>
          <w:b/>
          <w:sz w:val="28"/>
          <w:szCs w:val="28"/>
        </w:rPr>
      </w:r>
    </w:p>
    <w:p>
      <w:pPr>
        <w:pStyle w:val="Normal"/>
        <w:suppressAutoHyphens w:val="true"/>
        <w:spacing w:lineRule="auto" w:line="240"/>
        <w:ind w:left="0" w:right="0" w:hanging="0"/>
        <w:jc w:val="center"/>
        <w:rPr>
          <w:rFonts w:ascii="Times New Roman" w:hAnsi="Times New Roman" w:cs="Times New Roman"/>
          <w:b/>
          <w:sz w:val="28"/>
          <w:szCs w:val="28"/>
        </w:rPr>
      </w:pPr>
      <w:r>
        <w:rPr>
          <w:rFonts w:cs="Times New Roman" w:ascii="Times New Roman" w:hAnsi="Times New Roman"/>
          <w:b/>
          <w:sz w:val="28"/>
          <w:szCs w:val="28"/>
        </w:rPr>
      </w:r>
    </w:p>
    <w:p>
      <w:pPr>
        <w:pStyle w:val="Normal"/>
        <w:suppressAutoHyphens w:val="true"/>
        <w:spacing w:lineRule="auto" w:line="240"/>
        <w:ind w:left="0" w:right="0" w:hanging="0"/>
        <w:jc w:val="center"/>
        <w:rPr>
          <w:rFonts w:ascii="Times New Roman" w:hAnsi="Times New Roman" w:cs="Times New Roman"/>
          <w:b/>
          <w:sz w:val="28"/>
          <w:szCs w:val="28"/>
        </w:rPr>
      </w:pPr>
      <w:r>
        <w:rPr>
          <w:rFonts w:cs="Times New Roman" w:ascii="Times New Roman" w:hAnsi="Times New Roman"/>
          <w:b/>
          <w:sz w:val="28"/>
          <w:szCs w:val="28"/>
        </w:rPr>
      </w:r>
    </w:p>
    <w:p>
      <w:pPr>
        <w:pStyle w:val="Normal"/>
        <w:suppressAutoHyphens w:val="true"/>
        <w:spacing w:lineRule="auto" w:line="240"/>
        <w:ind w:left="0" w:right="0" w:hanging="0"/>
        <w:jc w:val="center"/>
        <w:rPr>
          <w:rFonts w:ascii="Times New Roman" w:hAnsi="Times New Roman" w:cs="Times New Roman"/>
          <w:b/>
          <w:sz w:val="28"/>
          <w:szCs w:val="28"/>
        </w:rPr>
      </w:pPr>
      <w:r>
        <w:rPr>
          <w:rFonts w:cs="Times New Roman" w:ascii="Times New Roman" w:hAnsi="Times New Roman"/>
          <w:b/>
          <w:sz w:val="28"/>
          <w:szCs w:val="28"/>
        </w:rPr>
      </w:r>
    </w:p>
    <w:p>
      <w:pPr>
        <w:pStyle w:val="Normal"/>
        <w:suppressAutoHyphens w:val="true"/>
        <w:spacing w:lineRule="auto" w:line="240"/>
        <w:ind w:left="0" w:right="0" w:hanging="0"/>
        <w:jc w:val="center"/>
        <w:rPr>
          <w:rFonts w:ascii="Times New Roman" w:hAnsi="Times New Roman" w:cs="Times New Roman"/>
          <w:b/>
          <w:sz w:val="28"/>
          <w:szCs w:val="28"/>
        </w:rPr>
      </w:pPr>
      <w:r>
        <w:rPr>
          <w:rFonts w:cs="Times New Roman" w:ascii="Times New Roman" w:hAnsi="Times New Roman"/>
          <w:b/>
          <w:sz w:val="28"/>
          <w:szCs w:val="28"/>
        </w:rPr>
      </w:r>
    </w:p>
    <w:p>
      <w:pPr>
        <w:pStyle w:val="Normal"/>
        <w:suppressAutoHyphens w:val="true"/>
        <w:spacing w:lineRule="auto" w:line="240"/>
        <w:ind w:left="0" w:right="0" w:hanging="0"/>
        <w:jc w:val="center"/>
        <w:rPr>
          <w:rFonts w:ascii="Times New Roman" w:hAnsi="Times New Roman" w:cs="Times New Roman"/>
          <w:b/>
          <w:sz w:val="28"/>
          <w:szCs w:val="28"/>
        </w:rPr>
      </w:pPr>
      <w:r>
        <w:rPr>
          <w:rFonts w:cs="Times New Roman" w:ascii="Times New Roman" w:hAnsi="Times New Roman"/>
          <w:b/>
          <w:sz w:val="28"/>
          <w:szCs w:val="28"/>
        </w:rPr>
      </w:r>
    </w:p>
    <w:p>
      <w:pPr>
        <w:pStyle w:val="Normal"/>
        <w:suppressAutoHyphens w:val="true"/>
        <w:spacing w:lineRule="auto" w:line="240"/>
        <w:ind w:left="0" w:right="0" w:hanging="0"/>
        <w:jc w:val="center"/>
        <w:rPr>
          <w:rFonts w:ascii="Times New Roman" w:hAnsi="Times New Roman" w:cs="Times New Roman"/>
          <w:b/>
          <w:sz w:val="28"/>
          <w:szCs w:val="28"/>
        </w:rPr>
      </w:pPr>
      <w:r>
        <w:rPr>
          <w:rFonts w:cs="Times New Roman" w:ascii="Times New Roman" w:hAnsi="Times New Roman"/>
          <w:b/>
          <w:sz w:val="28"/>
          <w:szCs w:val="28"/>
        </w:rPr>
      </w:r>
    </w:p>
    <w:p>
      <w:pPr>
        <w:pStyle w:val="Normal"/>
        <w:suppressAutoHyphens w:val="true"/>
        <w:spacing w:lineRule="auto" w:line="240"/>
        <w:ind w:left="0" w:right="0" w:hanging="0"/>
        <w:jc w:val="center"/>
        <w:rPr>
          <w:rFonts w:ascii="Times New Roman" w:hAnsi="Times New Roman" w:cs="Times New Roman"/>
          <w:b/>
          <w:sz w:val="28"/>
          <w:szCs w:val="28"/>
        </w:rPr>
      </w:pPr>
      <w:r>
        <w:rPr>
          <w:rFonts w:cs="Times New Roman" w:ascii="Times New Roman" w:hAnsi="Times New Roman"/>
          <w:b/>
          <w:sz w:val="28"/>
          <w:szCs w:val="28"/>
        </w:rPr>
      </w:r>
    </w:p>
    <w:p>
      <w:pPr>
        <w:pStyle w:val="Normal"/>
        <w:suppressAutoHyphens w:val="true"/>
        <w:spacing w:lineRule="auto" w:line="240"/>
        <w:ind w:left="0" w:right="0" w:hanging="0"/>
        <w:jc w:val="center"/>
        <w:rPr>
          <w:rFonts w:ascii="Times New Roman" w:hAnsi="Times New Roman" w:cs="Times New Roman"/>
          <w:b/>
          <w:sz w:val="28"/>
          <w:szCs w:val="28"/>
        </w:rPr>
      </w:pPr>
      <w:r>
        <w:rPr>
          <w:rFonts w:cs="Times New Roman" w:ascii="Times New Roman" w:hAnsi="Times New Roman"/>
          <w:b/>
          <w:sz w:val="28"/>
          <w:szCs w:val="28"/>
        </w:rPr>
      </w:r>
    </w:p>
    <w:p>
      <w:pPr>
        <w:pStyle w:val="Normal"/>
        <w:suppressAutoHyphens w:val="true"/>
        <w:spacing w:lineRule="auto" w:line="240"/>
        <w:ind w:left="0" w:right="0" w:hanging="0"/>
        <w:jc w:val="center"/>
        <w:rPr>
          <w:rFonts w:ascii="Times New Roman" w:hAnsi="Times New Roman" w:cs="Times New Roman"/>
          <w:b/>
          <w:sz w:val="28"/>
          <w:szCs w:val="28"/>
        </w:rPr>
      </w:pPr>
      <w:r>
        <w:rPr>
          <w:rFonts w:cs="Times New Roman" w:ascii="Times New Roman" w:hAnsi="Times New Roman"/>
          <w:b/>
          <w:sz w:val="28"/>
          <w:szCs w:val="28"/>
        </w:rPr>
      </w:r>
    </w:p>
    <w:p>
      <w:pPr>
        <w:pStyle w:val="Normal"/>
        <w:suppressAutoHyphens w:val="true"/>
        <w:spacing w:lineRule="auto" w:line="240"/>
        <w:ind w:left="0" w:right="0" w:hanging="0"/>
        <w:jc w:val="center"/>
        <w:rPr>
          <w:rFonts w:ascii="Times New Roman" w:hAnsi="Times New Roman" w:cs="Times New Roman"/>
          <w:b/>
          <w:sz w:val="28"/>
          <w:szCs w:val="28"/>
        </w:rPr>
      </w:pPr>
      <w:r>
        <w:rPr>
          <w:rFonts w:cs="Times New Roman" w:ascii="Times New Roman" w:hAnsi="Times New Roman"/>
          <w:b/>
          <w:sz w:val="28"/>
          <w:szCs w:val="28"/>
        </w:rPr>
        <w:t xml:space="preserve">Методика проведения наблюдений ГТС </w:t>
      </w:r>
    </w:p>
    <w:p>
      <w:pPr>
        <w:pStyle w:val="Normal"/>
        <w:suppressAutoHyphens w:val="true"/>
        <w:spacing w:lineRule="auto" w:line="240"/>
        <w:ind w:left="0" w:right="0" w:hanging="0"/>
        <w:jc w:val="center"/>
        <w:rPr>
          <w:rFonts w:ascii="Times New Roman" w:hAnsi="Times New Roman" w:cs="Times New Roman"/>
          <w:b/>
          <w:sz w:val="28"/>
          <w:szCs w:val="28"/>
        </w:rPr>
      </w:pPr>
      <w:r>
        <w:rPr>
          <w:rFonts w:cs="Times New Roman" w:ascii="Times New Roman" w:hAnsi="Times New Roman"/>
          <w:b/>
          <w:sz w:val="28"/>
          <w:szCs w:val="28"/>
        </w:rPr>
        <w:t>Загорской ГАЭС-2 на р. Кунье</w:t>
      </w:r>
    </w:p>
    <w:p>
      <w:pPr>
        <w:pStyle w:val="Normal"/>
        <w:suppressAutoHyphens w:val="true"/>
        <w:spacing w:lineRule="auto" w:line="240"/>
        <w:ind w:left="0" w:right="0" w:hanging="0"/>
        <w:jc w:val="center"/>
        <w:rPr>
          <w:rFonts w:ascii="Times New Roman" w:hAnsi="Times New Roman" w:cs="Times New Roman"/>
          <w:b/>
          <w:sz w:val="28"/>
          <w:szCs w:val="28"/>
        </w:rPr>
      </w:pPr>
      <w:r>
        <w:rPr>
          <w:rFonts w:cs="Times New Roman" w:ascii="Times New Roman" w:hAnsi="Times New Roman"/>
          <w:b/>
          <w:sz w:val="28"/>
          <w:szCs w:val="28"/>
        </w:rPr>
        <w:t>(достройка)</w:t>
      </w:r>
    </w:p>
    <w:p>
      <w:pPr>
        <w:pStyle w:val="Normal"/>
        <w:spacing w:lineRule="auto" w:line="240"/>
        <w:ind w:left="0" w:right="0" w:hanging="0"/>
        <w:jc w:val="center"/>
        <w:rPr>
          <w:rFonts w:ascii="Times New Roman" w:hAnsi="Times New Roman" w:cs="Times New Roman"/>
          <w:b/>
          <w:sz w:val="28"/>
          <w:szCs w:val="28"/>
        </w:rPr>
      </w:pPr>
      <w:r>
        <w:rPr>
          <w:rFonts w:cs="Times New Roman" w:ascii="Times New Roman" w:hAnsi="Times New Roman"/>
          <w:b/>
          <w:sz w:val="28"/>
          <w:szCs w:val="28"/>
        </w:rPr>
      </w:r>
    </w:p>
    <w:p>
      <w:pPr>
        <w:pStyle w:val="Normal"/>
        <w:spacing w:lineRule="auto" w:line="240"/>
        <w:ind w:left="0" w:right="0" w:hanging="0"/>
        <w:jc w:val="center"/>
        <w:rPr>
          <w:rFonts w:ascii="Times New Roman" w:hAnsi="Times New Roman" w:cs="Times New Roman"/>
          <w:b/>
          <w:sz w:val="28"/>
          <w:szCs w:val="28"/>
        </w:rPr>
      </w:pPr>
      <w:r>
        <w:rPr>
          <w:rFonts w:cs="Times New Roman" w:ascii="Times New Roman" w:hAnsi="Times New Roman"/>
          <w:b/>
          <w:sz w:val="28"/>
          <w:szCs w:val="28"/>
        </w:rPr>
      </w:r>
    </w:p>
    <w:p>
      <w:pPr>
        <w:pStyle w:val="Normal"/>
        <w:spacing w:lineRule="auto" w:line="240"/>
        <w:ind w:left="0" w:right="0" w:hanging="0"/>
        <w:jc w:val="center"/>
        <w:rPr>
          <w:rFonts w:ascii="Times New Roman" w:hAnsi="Times New Roman" w:cs="Times New Roman"/>
          <w:b/>
          <w:sz w:val="28"/>
          <w:szCs w:val="28"/>
        </w:rPr>
      </w:pPr>
      <w:r>
        <w:rPr>
          <w:rFonts w:cs="Times New Roman" w:ascii="Times New Roman" w:hAnsi="Times New Roman"/>
          <w:b/>
          <w:sz w:val="28"/>
          <w:szCs w:val="28"/>
        </w:rPr>
      </w:r>
    </w:p>
    <w:p>
      <w:pPr>
        <w:pStyle w:val="Normal"/>
        <w:spacing w:lineRule="auto" w:line="240"/>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ind w:left="0" w:right="0" w:hanging="0"/>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ind w:left="0" w:right="0" w:hanging="0"/>
        <w:jc w:val="center"/>
        <w:rPr>
          <w:rFonts w:ascii="Times New Roman" w:hAnsi="Times New Roman" w:cs="Times New Roman"/>
          <w:sz w:val="28"/>
          <w:szCs w:val="28"/>
        </w:rPr>
      </w:pPr>
      <w:r>
        <w:rPr>
          <w:rFonts w:cs="Times New Roman" w:ascii="Times New Roman" w:hAnsi="Times New Roman"/>
          <w:sz w:val="28"/>
          <w:szCs w:val="28"/>
        </w:rPr>
      </w:r>
    </w:p>
    <w:p>
      <w:pPr>
        <w:sectPr>
          <w:footerReference w:type="default" r:id="rId2"/>
          <w:type w:val="nextPage"/>
          <w:pgSz w:w="11906" w:h="16838"/>
          <w:pgMar w:left="1701" w:right="1134" w:gutter="0" w:header="0" w:top="851" w:footer="1134" w:bottom="1686"/>
          <w:pgNumType w:fmt="decimal"/>
          <w:formProt w:val="false"/>
          <w:textDirection w:val="lrTb"/>
          <w:docGrid w:type="default" w:linePitch="360" w:charSpace="4096"/>
        </w:sectPr>
        <w:pStyle w:val="Normal"/>
        <w:suppressAutoHyphens w:val="true"/>
        <w:spacing w:lineRule="auto" w:line="240" w:before="120" w:after="0"/>
        <w:ind w:left="0" w:right="0" w:hanging="0"/>
        <w:jc w:val="center"/>
        <w:rPr>
          <w:rFonts w:ascii="Times New Roman" w:hAnsi="Times New Roman" w:cs="Times New Roman"/>
          <w:sz w:val="28"/>
          <w:szCs w:val="28"/>
        </w:rPr>
      </w:pPr>
      <w:r>
        <w:rPr>
          <w:rFonts w:cs="Times New Roman" w:ascii="Times New Roman" w:hAnsi="Times New Roman"/>
          <w:sz w:val="28"/>
          <w:szCs w:val="28"/>
        </w:rPr>
        <w:t>2026</w:t>
      </w:r>
    </w:p>
    <w:p>
      <w:pPr>
        <w:pStyle w:val="Normal"/>
        <w:ind w:left="0" w:right="0" w:hanging="0"/>
        <w:jc w:val="center"/>
        <w:rPr>
          <w:rFonts w:ascii="Times New Roman" w:hAnsi="Times New Roman"/>
          <w:b/>
          <w:sz w:val="32"/>
          <w:szCs w:val="32"/>
        </w:rPr>
      </w:pPr>
      <w:r>
        <w:rPr>
          <w:rFonts w:ascii="Times New Roman" w:hAnsi="Times New Roman"/>
          <w:b/>
          <w:sz w:val="32"/>
          <w:szCs w:val="32"/>
        </w:rPr>
      </w:r>
    </w:p>
    <w:p>
      <w:pPr>
        <w:pStyle w:val="Normal"/>
        <w:ind w:left="0" w:right="0" w:hanging="0"/>
        <w:jc w:val="center"/>
        <w:rPr>
          <w:rFonts w:ascii="Times New Roman" w:hAnsi="Times New Roman"/>
          <w:b/>
          <w:sz w:val="32"/>
          <w:szCs w:val="32"/>
        </w:rPr>
      </w:pPr>
      <w:r>
        <w:rPr>
          <w:rFonts w:ascii="Times New Roman" w:hAnsi="Times New Roman"/>
          <w:b/>
          <w:sz w:val="32"/>
          <w:szCs w:val="32"/>
        </w:rPr>
        <w:t>Содержание</w:t>
      </w:r>
    </w:p>
    <w:sdt>
      <w:sdtPr>
        <w:docPartObj>
          <w:docPartGallery w:val="Table of Contents"/>
          <w:docPartUnique w:val="true"/>
        </w:docPartObj>
      </w:sdtPr>
      <w:sdtContent>
        <w:p>
          <w:pPr>
            <w:pStyle w:val="TOC1"/>
            <w:tabs>
              <w:tab w:val="clear" w:pos="9061"/>
              <w:tab w:val="right" w:pos="9071" w:leader="dot"/>
            </w:tabs>
            <w:rPr/>
          </w:pPr>
          <w:r>
            <w:fldChar w:fldCharType="begin"/>
          </w:r>
          <w:r>
            <w:rPr>
              <w:rStyle w:val="Style58"/>
            </w:rPr>
            <w:instrText xml:space="preserve"> TOC \o "1-3" \h</w:instrText>
          </w:r>
          <w:r>
            <w:rPr>
              <w:rStyle w:val="Style58"/>
            </w:rPr>
            <w:fldChar w:fldCharType="separate"/>
          </w:r>
          <w:hyperlink w:anchor="__RefHeading___Toc13994_3528834450">
            <w:r>
              <w:rPr>
                <w:rStyle w:val="Style58"/>
              </w:rPr>
              <w:t>1.1 Текущее состояние системы мониторинга</w:t>
              <w:tab/>
              <w:t>6</w:t>
            </w:r>
          </w:hyperlink>
        </w:p>
        <w:p>
          <w:pPr>
            <w:pStyle w:val="TOC2"/>
            <w:tabs>
              <w:tab w:val="clear" w:pos="284"/>
              <w:tab w:val="clear" w:pos="567"/>
              <w:tab w:val="clear" w:pos="9061"/>
              <w:tab w:val="right" w:pos="9071" w:leader="dot"/>
            </w:tabs>
            <w:rPr/>
          </w:pPr>
          <w:hyperlink w:anchor="__RefHeading___Toc14188_3528834450">
            <w:r>
              <w:rPr>
                <w:rStyle w:val="Style58"/>
              </w:rPr>
              <w:t>1.1.1. Сведения о состоянии КИА, размещенной на дамбе верхнего бассейна и задамбовой территории</w:t>
              <w:tab/>
              <w:t>6</w:t>
            </w:r>
          </w:hyperlink>
        </w:p>
        <w:p>
          <w:pPr>
            <w:pStyle w:val="TOC2"/>
            <w:tabs>
              <w:tab w:val="clear" w:pos="284"/>
              <w:tab w:val="clear" w:pos="567"/>
              <w:tab w:val="clear" w:pos="9061"/>
              <w:tab w:val="right" w:pos="9071" w:leader="dot"/>
            </w:tabs>
            <w:rPr/>
          </w:pPr>
          <w:hyperlink w:anchor="__RefHeading___Toc39866_2889022187">
            <w:r>
              <w:rPr>
                <w:rStyle w:val="Style58"/>
              </w:rPr>
              <w:t>1.1.2 Сведения о состоянии КИА, размещённой на сооружениях водоприёмника</w:t>
              <w:tab/>
              <w:t>6</w:t>
            </w:r>
          </w:hyperlink>
        </w:p>
        <w:p>
          <w:pPr>
            <w:pStyle w:val="TOC2"/>
            <w:tabs>
              <w:tab w:val="clear" w:pos="284"/>
              <w:tab w:val="clear" w:pos="567"/>
              <w:tab w:val="clear" w:pos="9061"/>
              <w:tab w:val="right" w:pos="9071" w:leader="dot"/>
            </w:tabs>
            <w:rPr/>
          </w:pPr>
          <w:hyperlink w:anchor="__RefHeading___Toc39868_2889022187">
            <w:r>
              <w:rPr>
                <w:rStyle w:val="Style58"/>
              </w:rPr>
              <w:t>1.1.3 Сведения о состоянии КИА, размещённой на напорных водоводах</w:t>
              <w:tab/>
              <w:t>9</w:t>
            </w:r>
          </w:hyperlink>
        </w:p>
        <w:p>
          <w:pPr>
            <w:pStyle w:val="TOC2"/>
            <w:tabs>
              <w:tab w:val="clear" w:pos="284"/>
              <w:tab w:val="clear" w:pos="567"/>
              <w:tab w:val="clear" w:pos="9061"/>
              <w:tab w:val="right" w:pos="9071" w:leader="dot"/>
            </w:tabs>
            <w:rPr/>
          </w:pPr>
          <w:hyperlink w:anchor="__RefHeading___Toc39870_2889022187">
            <w:r>
              <w:rPr>
                <w:rStyle w:val="Style58"/>
              </w:rPr>
              <w:t>1.1.4 Сведения о состоянии КИА, размещённой на склоне напорных водоводов</w:t>
              <w:tab/>
              <w:t>9</w:t>
            </w:r>
          </w:hyperlink>
        </w:p>
        <w:p>
          <w:pPr>
            <w:pStyle w:val="TOC2"/>
            <w:tabs>
              <w:tab w:val="clear" w:pos="284"/>
              <w:tab w:val="clear" w:pos="567"/>
              <w:tab w:val="clear" w:pos="9061"/>
              <w:tab w:val="right" w:pos="9071" w:leader="dot"/>
            </w:tabs>
            <w:rPr/>
          </w:pPr>
          <w:hyperlink w:anchor="__RefHeading___Toc39874_2889022187">
            <w:r>
              <w:rPr>
                <w:rStyle w:val="Style58"/>
              </w:rPr>
              <w:t>1.1.6 Сведения о состоянии КИА, размещённой на сооружениях станционного узла, для проведения наблюдений за деформациями и перемещениями</w:t>
              <w:tab/>
              <w:t>10</w:t>
            </w:r>
          </w:hyperlink>
        </w:p>
        <w:p>
          <w:pPr>
            <w:pStyle w:val="TOC2"/>
            <w:tabs>
              <w:tab w:val="clear" w:pos="284"/>
              <w:tab w:val="clear" w:pos="567"/>
              <w:tab w:val="clear" w:pos="9061"/>
              <w:tab w:val="right" w:pos="9071" w:leader="dot"/>
            </w:tabs>
            <w:rPr/>
          </w:pPr>
          <w:hyperlink w:anchor="__RefHeading___Toc39876_2889022187">
            <w:r>
              <w:rPr>
                <w:rStyle w:val="Style58"/>
              </w:rPr>
              <w:t>1.1.7 Сведения о состоянии КИА, размещённой на сооружениях станционного узла, для проведения наблюдений за фильтрационным режимом</w:t>
              <w:tab/>
              <w:t>12</w:t>
            </w:r>
          </w:hyperlink>
        </w:p>
        <w:p>
          <w:pPr>
            <w:pStyle w:val="TOC2"/>
            <w:tabs>
              <w:tab w:val="clear" w:pos="284"/>
              <w:tab w:val="clear" w:pos="567"/>
              <w:tab w:val="clear" w:pos="9061"/>
              <w:tab w:val="right" w:pos="9071" w:leader="dot"/>
            </w:tabs>
            <w:rPr/>
          </w:pPr>
          <w:hyperlink w:anchor="__RefHeading___Toc39878_2889022187">
            <w:r>
              <w:rPr>
                <w:rStyle w:val="Style58"/>
              </w:rPr>
              <w:t>1.1.8 Сведения о состоянии КИА, размещённой на сооружениях станционного узла, для проведения наблюдений за напряжённо-деформированным состоянием</w:t>
              <w:tab/>
              <w:t>13</w:t>
            </w:r>
          </w:hyperlink>
        </w:p>
        <w:p>
          <w:pPr>
            <w:pStyle w:val="TOC2"/>
            <w:tabs>
              <w:tab w:val="clear" w:pos="284"/>
              <w:tab w:val="clear" w:pos="567"/>
              <w:tab w:val="clear" w:pos="9061"/>
              <w:tab w:val="right" w:pos="9071" w:leader="dot"/>
            </w:tabs>
            <w:rPr/>
          </w:pPr>
          <w:hyperlink w:anchor="__RefHeading___Toc39880_2889022187">
            <w:r>
              <w:rPr>
                <w:rStyle w:val="Style58"/>
              </w:rPr>
              <w:t>1.1.9 Сведения о состоянии КИА, размещённой на перемычке реверсивного канала, для проведения наблюдений за деформациями и перемещениями</w:t>
              <w:tab/>
              <w:t>14</w:t>
            </w:r>
          </w:hyperlink>
        </w:p>
        <w:p>
          <w:pPr>
            <w:pStyle w:val="TOC2"/>
            <w:tabs>
              <w:tab w:val="clear" w:pos="284"/>
              <w:tab w:val="clear" w:pos="567"/>
              <w:tab w:val="clear" w:pos="9061"/>
              <w:tab w:val="right" w:pos="9071" w:leader="dot"/>
            </w:tabs>
            <w:rPr/>
          </w:pPr>
          <w:hyperlink w:anchor="__RefHeading___Toc39882_2889022187">
            <w:r>
              <w:rPr>
                <w:rStyle w:val="Style58"/>
              </w:rPr>
              <w:t>1.1.10 Сведения о состоянии КИА, размещённой на перемычке реверсивного канала, для проведения наблюдений за фильтрационным режимом</w:t>
              <w:tab/>
              <w:t>14</w:t>
            </w:r>
          </w:hyperlink>
        </w:p>
        <w:p>
          <w:pPr>
            <w:pStyle w:val="TOC2"/>
            <w:tabs>
              <w:tab w:val="clear" w:pos="284"/>
              <w:tab w:val="clear" w:pos="567"/>
              <w:tab w:val="clear" w:pos="9061"/>
              <w:tab w:val="right" w:pos="9071" w:leader="dot"/>
            </w:tabs>
            <w:rPr/>
          </w:pPr>
          <w:hyperlink w:anchor="__RefHeading___Toc39886_2889022187">
            <w:r>
              <w:rPr>
                <w:rStyle w:val="Style58"/>
              </w:rPr>
              <w:t>1.2 Общие решения системы мониторинга ГТС Загорской ГАЭС-2 в строительный период</w:t>
              <w:tab/>
              <w:t>15</w:t>
            </w:r>
          </w:hyperlink>
        </w:p>
        <w:p>
          <w:pPr>
            <w:pStyle w:val="TOC1"/>
            <w:tabs>
              <w:tab w:val="clear" w:pos="9061"/>
              <w:tab w:val="right" w:pos="9071" w:leader="dot"/>
            </w:tabs>
            <w:rPr/>
          </w:pPr>
          <w:hyperlink w:anchor="__RefHeading___Toc39890_2889022187">
            <w:r>
              <w:rPr>
                <w:rStyle w:val="Style58"/>
              </w:rPr>
              <w:t>2 Состав контролируемых показателей</w:t>
              <w:tab/>
              <w:t>17</w:t>
            </w:r>
          </w:hyperlink>
        </w:p>
        <w:p>
          <w:pPr>
            <w:pStyle w:val="TOC2"/>
            <w:tabs>
              <w:tab w:val="clear" w:pos="284"/>
              <w:tab w:val="clear" w:pos="567"/>
              <w:tab w:val="clear" w:pos="9061"/>
              <w:tab w:val="right" w:pos="9071" w:leader="dot"/>
            </w:tabs>
            <w:rPr/>
          </w:pPr>
          <w:hyperlink w:anchor="__RefHeading___Toc39892_2889022187">
            <w:r>
              <w:rPr>
                <w:rStyle w:val="Style58"/>
              </w:rPr>
              <w:t>2.1 Постоянные и временные (длительные и кратковременные) нагрузки и воздействия на сооружения</w:t>
              <w:tab/>
              <w:t>17</w:t>
            </w:r>
          </w:hyperlink>
        </w:p>
        <w:p>
          <w:pPr>
            <w:pStyle w:val="TOC2"/>
            <w:tabs>
              <w:tab w:val="clear" w:pos="284"/>
              <w:tab w:val="clear" w:pos="567"/>
              <w:tab w:val="clear" w:pos="9061"/>
              <w:tab w:val="right" w:pos="9071" w:leader="dot"/>
            </w:tabs>
            <w:rPr/>
          </w:pPr>
          <w:hyperlink w:anchor="__RefHeading___Toc39894_2889022187">
            <w:r>
              <w:rPr>
                <w:rStyle w:val="Style58"/>
              </w:rPr>
              <w:t>2.2 Особые нагрузки и воздействия на сооружения</w:t>
              <w:tab/>
              <w:t>18</w:t>
            </w:r>
          </w:hyperlink>
        </w:p>
        <w:p>
          <w:pPr>
            <w:pStyle w:val="TOC2"/>
            <w:tabs>
              <w:tab w:val="clear" w:pos="284"/>
              <w:tab w:val="clear" w:pos="567"/>
              <w:tab w:val="clear" w:pos="9061"/>
              <w:tab w:val="right" w:pos="9071" w:leader="dot"/>
            </w:tabs>
            <w:rPr/>
          </w:pPr>
          <w:hyperlink w:anchor="__RefHeading___Toc39896_2889022187">
            <w:r>
              <w:rPr>
                <w:rStyle w:val="Style58"/>
              </w:rPr>
              <w:t>2.3 Перечень контролируемых показателей состояния сооружений</w:t>
              <w:tab/>
              <w:t>18</w:t>
            </w:r>
          </w:hyperlink>
        </w:p>
        <w:p>
          <w:pPr>
            <w:pStyle w:val="TOC1"/>
            <w:tabs>
              <w:tab w:val="clear" w:pos="9061"/>
              <w:tab w:val="right" w:pos="9071" w:leader="dot"/>
            </w:tabs>
            <w:rPr/>
          </w:pPr>
          <w:hyperlink w:anchor="__RefHeading___Toc39898_2889022187">
            <w:r>
              <w:rPr>
                <w:rStyle w:val="Style58"/>
              </w:rPr>
              <w:t>3 Система мониторинга контролируемых ГТС</w:t>
              <w:tab/>
              <w:t>21</w:t>
            </w:r>
          </w:hyperlink>
        </w:p>
        <w:p>
          <w:pPr>
            <w:pStyle w:val="TOC2"/>
            <w:tabs>
              <w:tab w:val="clear" w:pos="284"/>
              <w:tab w:val="clear" w:pos="567"/>
              <w:tab w:val="clear" w:pos="9061"/>
              <w:tab w:val="right" w:pos="9071" w:leader="dot"/>
            </w:tabs>
            <w:rPr/>
          </w:pPr>
          <w:hyperlink w:anchor="__RefHeading___Toc39900_2889022187">
            <w:r>
              <w:rPr>
                <w:rStyle w:val="Style58"/>
              </w:rPr>
              <w:t>3.1 Общая информация</w:t>
              <w:tab/>
              <w:t>21</w:t>
            </w:r>
          </w:hyperlink>
        </w:p>
        <w:p>
          <w:pPr>
            <w:pStyle w:val="TOC2"/>
            <w:tabs>
              <w:tab w:val="clear" w:pos="284"/>
              <w:tab w:val="clear" w:pos="567"/>
              <w:tab w:val="clear" w:pos="9061"/>
              <w:tab w:val="right" w:pos="9071" w:leader="dot"/>
            </w:tabs>
            <w:rPr/>
          </w:pPr>
          <w:hyperlink w:anchor="__RefHeading___Toc39902_2889022187">
            <w:r>
              <w:rPr>
                <w:rStyle w:val="Style58"/>
              </w:rPr>
              <w:t>3.2 Описание системы мониторинга</w:t>
              <w:tab/>
              <w:t>21</w:t>
            </w:r>
          </w:hyperlink>
        </w:p>
        <w:p>
          <w:pPr>
            <w:pStyle w:val="TOC1"/>
            <w:tabs>
              <w:tab w:val="clear" w:pos="9061"/>
              <w:tab w:val="right" w:pos="9071" w:leader="dot"/>
            </w:tabs>
            <w:rPr/>
          </w:pPr>
          <w:hyperlink w:anchor="__RefHeading___Toc39904_2889022187">
            <w:r>
              <w:rPr>
                <w:rStyle w:val="Style58"/>
              </w:rPr>
              <w:t>4. Проведение натурных наблюдений</w:t>
              <w:tab/>
              <w:t>45</w:t>
            </w:r>
          </w:hyperlink>
        </w:p>
        <w:p>
          <w:pPr>
            <w:pStyle w:val="TOC2"/>
            <w:tabs>
              <w:tab w:val="clear" w:pos="284"/>
              <w:tab w:val="clear" w:pos="567"/>
              <w:tab w:val="clear" w:pos="9061"/>
              <w:tab w:val="right" w:pos="9071" w:leader="dot"/>
            </w:tabs>
            <w:rPr/>
          </w:pPr>
          <w:hyperlink w:anchor="__RefHeading___Toc39906_2889022187">
            <w:r>
              <w:rPr>
                <w:rStyle w:val="Style58"/>
              </w:rPr>
              <w:t>4.1 Проведение визуальных наблюдений</w:t>
              <w:tab/>
              <w:t>45</w:t>
            </w:r>
          </w:hyperlink>
        </w:p>
        <w:p>
          <w:pPr>
            <w:pStyle w:val="TOC2"/>
            <w:tabs>
              <w:tab w:val="clear" w:pos="284"/>
              <w:tab w:val="clear" w:pos="567"/>
              <w:tab w:val="clear" w:pos="9061"/>
              <w:tab w:val="right" w:pos="9071" w:leader="dot"/>
            </w:tabs>
            <w:rPr/>
          </w:pPr>
          <w:hyperlink w:anchor="__RefHeading___Toc39908_2889022187">
            <w:r>
              <w:rPr>
                <w:rStyle w:val="Style58"/>
              </w:rPr>
              <w:t>4.1.1 Объекты визуальных наблюдений</w:t>
              <w:tab/>
              <w:t>45</w:t>
            </w:r>
          </w:hyperlink>
        </w:p>
        <w:p>
          <w:pPr>
            <w:pStyle w:val="TOC2"/>
            <w:tabs>
              <w:tab w:val="clear" w:pos="284"/>
              <w:tab w:val="clear" w:pos="567"/>
              <w:tab w:val="clear" w:pos="9061"/>
              <w:tab w:val="right" w:pos="9071" w:leader="dot"/>
            </w:tabs>
            <w:rPr/>
          </w:pPr>
          <w:hyperlink w:anchor="__RefHeading___Toc39910_2889022187">
            <w:r>
              <w:rPr>
                <w:rStyle w:val="Style58"/>
              </w:rPr>
              <w:t>4.1.2 Методика проведения визуальных наблюдений</w:t>
              <w:tab/>
              <w:t>45</w:t>
            </w:r>
          </w:hyperlink>
        </w:p>
        <w:p>
          <w:pPr>
            <w:pStyle w:val="TOC2"/>
            <w:tabs>
              <w:tab w:val="clear" w:pos="284"/>
              <w:tab w:val="clear" w:pos="567"/>
              <w:tab w:val="clear" w:pos="9061"/>
              <w:tab w:val="right" w:pos="9071" w:leader="dot"/>
            </w:tabs>
            <w:rPr/>
          </w:pPr>
          <w:hyperlink w:anchor="__RefHeading___Toc39912_2889022187">
            <w:r>
              <w:rPr>
                <w:rStyle w:val="Style58"/>
              </w:rPr>
              <w:t>4.1.3 Периодичность проведения визуальных наблюдений</w:t>
              <w:tab/>
              <w:t>56</w:t>
            </w:r>
          </w:hyperlink>
        </w:p>
        <w:p>
          <w:pPr>
            <w:pStyle w:val="TOC2"/>
            <w:tabs>
              <w:tab w:val="clear" w:pos="284"/>
              <w:tab w:val="clear" w:pos="567"/>
              <w:tab w:val="clear" w:pos="9061"/>
              <w:tab w:val="right" w:pos="9071" w:leader="dot"/>
            </w:tabs>
            <w:rPr/>
          </w:pPr>
          <w:hyperlink w:anchor="__RefHeading___Toc39914_2889022187">
            <w:r>
              <w:rPr>
                <w:rStyle w:val="Style58"/>
              </w:rPr>
              <w:t>4.1.4 Объёмы визуальных наблюдений</w:t>
              <w:tab/>
              <w:t>56</w:t>
            </w:r>
          </w:hyperlink>
        </w:p>
        <w:p>
          <w:pPr>
            <w:pStyle w:val="TOC2"/>
            <w:tabs>
              <w:tab w:val="clear" w:pos="284"/>
              <w:tab w:val="clear" w:pos="567"/>
              <w:tab w:val="clear" w:pos="9061"/>
              <w:tab w:val="right" w:pos="9071" w:leader="dot"/>
            </w:tabs>
            <w:rPr/>
          </w:pPr>
          <w:hyperlink w:anchor="__RefHeading___Toc39916_2889022187">
            <w:r>
              <w:rPr>
                <w:rStyle w:val="Style58"/>
              </w:rPr>
              <w:t>4.1.5 Оформление результатов визуальных наблюдений</w:t>
              <w:tab/>
              <w:t>56</w:t>
            </w:r>
          </w:hyperlink>
        </w:p>
        <w:p>
          <w:pPr>
            <w:pStyle w:val="TOC2"/>
            <w:tabs>
              <w:tab w:val="clear" w:pos="284"/>
              <w:tab w:val="clear" w:pos="567"/>
              <w:tab w:val="clear" w:pos="9061"/>
              <w:tab w:val="right" w:pos="9071" w:leader="dot"/>
            </w:tabs>
            <w:rPr/>
          </w:pPr>
          <w:hyperlink w:anchor="__RefHeading___Toc39918_2889022187">
            <w:r>
              <w:rPr>
                <w:rStyle w:val="Style58"/>
              </w:rPr>
              <w:t>4.2 Проведение наблюдений по закладной «струнной» КИА</w:t>
              <w:tab/>
              <w:t>56</w:t>
            </w:r>
          </w:hyperlink>
        </w:p>
        <w:p>
          <w:pPr>
            <w:pStyle w:val="TOC2"/>
            <w:tabs>
              <w:tab w:val="clear" w:pos="284"/>
              <w:tab w:val="clear" w:pos="567"/>
              <w:tab w:val="clear" w:pos="9061"/>
              <w:tab w:val="right" w:pos="9071" w:leader="dot"/>
            </w:tabs>
            <w:rPr/>
          </w:pPr>
          <w:hyperlink w:anchor="__RefHeading___Toc39920_2889022187">
            <w:r>
              <w:rPr>
                <w:rStyle w:val="Style58"/>
              </w:rPr>
              <w:t>4.2.1 Состав закладной «струнной» КИА</w:t>
              <w:tab/>
              <w:t>56</w:t>
            </w:r>
          </w:hyperlink>
        </w:p>
        <w:p>
          <w:pPr>
            <w:pStyle w:val="TOC2"/>
            <w:tabs>
              <w:tab w:val="clear" w:pos="284"/>
              <w:tab w:val="clear" w:pos="567"/>
              <w:tab w:val="clear" w:pos="9061"/>
              <w:tab w:val="right" w:pos="9071" w:leader="dot"/>
            </w:tabs>
            <w:rPr/>
          </w:pPr>
          <w:hyperlink w:anchor="__RefHeading___Toc39922_2889022187">
            <w:r>
              <w:rPr>
                <w:rStyle w:val="Style58"/>
              </w:rPr>
              <w:t>4.2.2 Методика проведения наблюдений по закладной «струнной» КИА</w:t>
              <w:tab/>
              <w:t>57</w:t>
            </w:r>
          </w:hyperlink>
        </w:p>
        <w:p>
          <w:pPr>
            <w:pStyle w:val="TOC2"/>
            <w:tabs>
              <w:tab w:val="clear" w:pos="284"/>
              <w:tab w:val="clear" w:pos="567"/>
              <w:tab w:val="clear" w:pos="9061"/>
              <w:tab w:val="right" w:pos="9071" w:leader="dot"/>
            </w:tabs>
            <w:rPr/>
          </w:pPr>
          <w:hyperlink w:anchor="__RefHeading___Toc39924_2889022187">
            <w:r>
              <w:rPr>
                <w:rStyle w:val="Style58"/>
              </w:rPr>
              <w:t>4.2.3 Периодичность проведения наблюдений по закладной «струнной» КИА</w:t>
              <w:tab/>
              <w:t>57</w:t>
            </w:r>
          </w:hyperlink>
        </w:p>
        <w:p>
          <w:pPr>
            <w:pStyle w:val="TOC2"/>
            <w:tabs>
              <w:tab w:val="clear" w:pos="284"/>
              <w:tab w:val="clear" w:pos="567"/>
              <w:tab w:val="clear" w:pos="9061"/>
              <w:tab w:val="right" w:pos="9071" w:leader="dot"/>
            </w:tabs>
            <w:rPr/>
          </w:pPr>
          <w:hyperlink w:anchor="__RefHeading___Toc39926_2889022187">
            <w:r>
              <w:rPr>
                <w:rStyle w:val="Style58"/>
              </w:rPr>
              <w:t>4.2.4 Объёмы наблюдений по закладной «струнной» КИА</w:t>
              <w:tab/>
              <w:t>57</w:t>
            </w:r>
          </w:hyperlink>
        </w:p>
        <w:p>
          <w:pPr>
            <w:pStyle w:val="TOC2"/>
            <w:tabs>
              <w:tab w:val="clear" w:pos="284"/>
              <w:tab w:val="clear" w:pos="567"/>
              <w:tab w:val="clear" w:pos="9061"/>
              <w:tab w:val="right" w:pos="9071" w:leader="dot"/>
            </w:tabs>
            <w:rPr/>
          </w:pPr>
          <w:hyperlink w:anchor="__RefHeading___Toc39928_2889022187">
            <w:r>
              <w:rPr>
                <w:rStyle w:val="Style58"/>
              </w:rPr>
              <w:t>4.2.5 Оформление результатов наблюдений по закладной «струнной» КИА</w:t>
              <w:tab/>
              <w:t>57</w:t>
            </w:r>
          </w:hyperlink>
        </w:p>
        <w:p>
          <w:pPr>
            <w:pStyle w:val="TOC2"/>
            <w:tabs>
              <w:tab w:val="clear" w:pos="284"/>
              <w:tab w:val="clear" w:pos="567"/>
              <w:tab w:val="clear" w:pos="9061"/>
              <w:tab w:val="right" w:pos="9071" w:leader="dot"/>
            </w:tabs>
            <w:rPr/>
          </w:pPr>
          <w:hyperlink w:anchor="__RefHeading___Toc39930_2889022187">
            <w:r>
              <w:rPr>
                <w:rStyle w:val="Style58"/>
              </w:rPr>
              <w:t>4.3 Проведение наблюдений по фильтрационной КИА</w:t>
              <w:tab/>
              <w:t>58</w:t>
            </w:r>
          </w:hyperlink>
        </w:p>
        <w:p>
          <w:pPr>
            <w:pStyle w:val="TOC2"/>
            <w:tabs>
              <w:tab w:val="clear" w:pos="284"/>
              <w:tab w:val="clear" w:pos="567"/>
              <w:tab w:val="clear" w:pos="9061"/>
              <w:tab w:val="right" w:pos="9071" w:leader="dot"/>
            </w:tabs>
            <w:rPr/>
          </w:pPr>
          <w:hyperlink w:anchor="__RefHeading___Toc39932_2889022187">
            <w:r>
              <w:rPr>
                <w:rStyle w:val="Style58"/>
              </w:rPr>
              <w:t>4.3.1 Состав фильтрационной КИА</w:t>
              <w:tab/>
              <w:t>58</w:t>
            </w:r>
          </w:hyperlink>
        </w:p>
        <w:p>
          <w:pPr>
            <w:pStyle w:val="TOC2"/>
            <w:tabs>
              <w:tab w:val="clear" w:pos="284"/>
              <w:tab w:val="clear" w:pos="567"/>
              <w:tab w:val="clear" w:pos="9061"/>
              <w:tab w:val="right" w:pos="9071" w:leader="dot"/>
            </w:tabs>
            <w:rPr/>
          </w:pPr>
          <w:hyperlink w:anchor="__RefHeading___Toc39934_2889022187">
            <w:r>
              <w:rPr>
                <w:rStyle w:val="Style58"/>
              </w:rPr>
              <w:t>4.3.2 Методика проведения наблюдений по фильтрационной КИА</w:t>
              <w:tab/>
              <w:t>58</w:t>
            </w:r>
          </w:hyperlink>
        </w:p>
        <w:p>
          <w:pPr>
            <w:pStyle w:val="TOC2"/>
            <w:tabs>
              <w:tab w:val="clear" w:pos="284"/>
              <w:tab w:val="clear" w:pos="567"/>
              <w:tab w:val="clear" w:pos="9061"/>
              <w:tab w:val="right" w:pos="9071" w:leader="dot"/>
            </w:tabs>
            <w:rPr/>
          </w:pPr>
          <w:hyperlink w:anchor="__RefHeading___Toc39936_2889022187">
            <w:r>
              <w:rPr>
                <w:rStyle w:val="Style58"/>
              </w:rPr>
              <w:t>4.3.3 Периодичность проведения наблюдений по фильтрационной КИА</w:t>
              <w:tab/>
              <w:t>58</w:t>
            </w:r>
          </w:hyperlink>
        </w:p>
        <w:p>
          <w:pPr>
            <w:pStyle w:val="TOC2"/>
            <w:tabs>
              <w:tab w:val="clear" w:pos="284"/>
              <w:tab w:val="clear" w:pos="567"/>
              <w:tab w:val="clear" w:pos="9061"/>
              <w:tab w:val="right" w:pos="9071" w:leader="dot"/>
            </w:tabs>
            <w:rPr/>
          </w:pPr>
          <w:hyperlink w:anchor="__RefHeading___Toc39938_2889022187">
            <w:r>
              <w:rPr>
                <w:rStyle w:val="Style58"/>
              </w:rPr>
              <w:t>4.3.4 Объёмы наблюдений по фильтрационной КИА</w:t>
              <w:tab/>
              <w:t>58</w:t>
            </w:r>
          </w:hyperlink>
        </w:p>
        <w:p>
          <w:pPr>
            <w:pStyle w:val="TOC2"/>
            <w:tabs>
              <w:tab w:val="clear" w:pos="284"/>
              <w:tab w:val="clear" w:pos="567"/>
              <w:tab w:val="clear" w:pos="9061"/>
              <w:tab w:val="right" w:pos="9071" w:leader="dot"/>
            </w:tabs>
            <w:rPr/>
          </w:pPr>
          <w:hyperlink w:anchor="__RefHeading___Toc39940_2889022187">
            <w:r>
              <w:rPr>
                <w:rStyle w:val="Style58"/>
              </w:rPr>
              <w:t>4.3.5 Обработка и оформление результатов наблюдений по фильтрационной КИА</w:t>
              <w:tab/>
              <w:t>59</w:t>
            </w:r>
          </w:hyperlink>
        </w:p>
        <w:p>
          <w:pPr>
            <w:pStyle w:val="TOC2"/>
            <w:tabs>
              <w:tab w:val="clear" w:pos="284"/>
              <w:tab w:val="clear" w:pos="567"/>
              <w:tab w:val="clear" w:pos="9061"/>
              <w:tab w:val="right" w:pos="9071" w:leader="dot"/>
            </w:tabs>
            <w:rPr/>
          </w:pPr>
          <w:hyperlink w:anchor="__RefHeading___Toc39942_2889022187">
            <w:r>
              <w:rPr>
                <w:rStyle w:val="Style58"/>
              </w:rPr>
              <w:t>4.4 Проведение наблюдений за стабильностью плановой и высотной опорных геодезических сетей</w:t>
              <w:tab/>
              <w:t>59</w:t>
            </w:r>
          </w:hyperlink>
        </w:p>
        <w:p>
          <w:pPr>
            <w:pStyle w:val="TOC2"/>
            <w:tabs>
              <w:tab w:val="clear" w:pos="284"/>
              <w:tab w:val="clear" w:pos="567"/>
              <w:tab w:val="clear" w:pos="9061"/>
              <w:tab w:val="right" w:pos="9071" w:leader="dot"/>
            </w:tabs>
            <w:rPr/>
          </w:pPr>
          <w:hyperlink w:anchor="__RefHeading___Toc39944_2889022187">
            <w:r>
              <w:rPr>
                <w:rStyle w:val="Style58"/>
              </w:rPr>
              <w:t>4.4.1 Наблюдения за пунктами высотной сети</w:t>
              <w:tab/>
              <w:t>59</w:t>
            </w:r>
          </w:hyperlink>
        </w:p>
        <w:p>
          <w:pPr>
            <w:pStyle w:val="TOC2"/>
            <w:tabs>
              <w:tab w:val="clear" w:pos="284"/>
              <w:tab w:val="clear" w:pos="567"/>
              <w:tab w:val="clear" w:pos="9061"/>
              <w:tab w:val="right" w:pos="9071" w:leader="dot"/>
            </w:tabs>
            <w:rPr/>
          </w:pPr>
          <w:hyperlink w:anchor="__RefHeading___Toc39946_2889022187">
            <w:r>
              <w:rPr>
                <w:rStyle w:val="Style58"/>
              </w:rPr>
              <w:t>4.4.2 Наблюдения за пунктами плановой сети</w:t>
              <w:tab/>
              <w:t>63</w:t>
            </w:r>
          </w:hyperlink>
        </w:p>
        <w:p>
          <w:pPr>
            <w:pStyle w:val="TOC2"/>
            <w:tabs>
              <w:tab w:val="clear" w:pos="284"/>
              <w:tab w:val="clear" w:pos="567"/>
              <w:tab w:val="clear" w:pos="9061"/>
              <w:tab w:val="right" w:pos="9071" w:leader="dot"/>
            </w:tabs>
            <w:rPr/>
          </w:pPr>
          <w:hyperlink w:anchor="__RefHeading___Toc39948_2889022187">
            <w:r>
              <w:rPr>
                <w:rStyle w:val="Style58"/>
              </w:rPr>
              <w:t>4. 5 Проведение наблюдений за вертикальными перемещениями (проведение нивелирования)</w:t>
              <w:tab/>
              <w:t>66</w:t>
            </w:r>
          </w:hyperlink>
        </w:p>
        <w:p>
          <w:pPr>
            <w:pStyle w:val="TOC2"/>
            <w:tabs>
              <w:tab w:val="clear" w:pos="284"/>
              <w:tab w:val="clear" w:pos="567"/>
              <w:tab w:val="clear" w:pos="9061"/>
              <w:tab w:val="right" w:pos="9071" w:leader="dot"/>
            </w:tabs>
            <w:rPr/>
          </w:pPr>
          <w:hyperlink w:anchor="__RefHeading___Toc39950_2889022187">
            <w:r>
              <w:rPr>
                <w:rStyle w:val="Style58"/>
              </w:rPr>
              <w:t>4.5.1 Состав КИА для наблюдений за вертикальными перемещениями</w:t>
              <w:tab/>
              <w:t>66</w:t>
            </w:r>
          </w:hyperlink>
        </w:p>
        <w:p>
          <w:pPr>
            <w:pStyle w:val="TOC2"/>
            <w:tabs>
              <w:tab w:val="clear" w:pos="284"/>
              <w:tab w:val="clear" w:pos="567"/>
              <w:tab w:val="clear" w:pos="9061"/>
              <w:tab w:val="right" w:pos="9071" w:leader="dot"/>
            </w:tabs>
            <w:rPr/>
          </w:pPr>
          <w:hyperlink w:anchor="__RefHeading___Toc14190_3528834450">
            <w:r>
              <w:rPr>
                <w:rStyle w:val="Style58"/>
              </w:rPr>
              <w:t>4.5.2 Методика проведения наблюдений за вертикальными перемещениями</w:t>
              <w:tab/>
              <w:t>66</w:t>
            </w:r>
          </w:hyperlink>
        </w:p>
        <w:p>
          <w:pPr>
            <w:pStyle w:val="TOC2"/>
            <w:tabs>
              <w:tab w:val="clear" w:pos="284"/>
              <w:tab w:val="clear" w:pos="567"/>
              <w:tab w:val="clear" w:pos="9061"/>
              <w:tab w:val="right" w:pos="9071" w:leader="dot"/>
            </w:tabs>
            <w:rPr/>
          </w:pPr>
          <w:hyperlink w:anchor="__RefHeading___Toc39954_2889022187">
            <w:r>
              <w:rPr>
                <w:rStyle w:val="Style58"/>
              </w:rPr>
              <w:t>4.5.3 Периодичность проведения наблюдений за вертикальными перемещениями</w:t>
              <w:tab/>
              <w:t>70</w:t>
            </w:r>
          </w:hyperlink>
        </w:p>
        <w:p>
          <w:pPr>
            <w:pStyle w:val="TOC2"/>
            <w:tabs>
              <w:tab w:val="clear" w:pos="284"/>
              <w:tab w:val="clear" w:pos="567"/>
              <w:tab w:val="clear" w:pos="9061"/>
              <w:tab w:val="right" w:pos="9071" w:leader="dot"/>
            </w:tabs>
            <w:rPr/>
          </w:pPr>
          <w:hyperlink w:anchor="__RefHeading___Toc39956_2889022187">
            <w:r>
              <w:rPr>
                <w:rStyle w:val="Style58"/>
              </w:rPr>
              <w:t>4.5.4 Объёмы наблюдений за вертикальными перемещениями</w:t>
              <w:tab/>
              <w:t>70</w:t>
            </w:r>
          </w:hyperlink>
        </w:p>
        <w:p>
          <w:pPr>
            <w:pStyle w:val="TOC2"/>
            <w:tabs>
              <w:tab w:val="clear" w:pos="284"/>
              <w:tab w:val="clear" w:pos="567"/>
              <w:tab w:val="clear" w:pos="9061"/>
              <w:tab w:val="right" w:pos="9071" w:leader="dot"/>
            </w:tabs>
            <w:rPr/>
          </w:pPr>
          <w:hyperlink w:anchor="__RefHeading___Toc14192_3528834450">
            <w:r>
              <w:rPr>
                <w:rStyle w:val="Style58"/>
              </w:rPr>
              <w:t>4.5.5 Обработка и оформление результатов наблюдений за вертикальными перемещениями</w:t>
              <w:tab/>
              <w:t>70</w:t>
            </w:r>
          </w:hyperlink>
        </w:p>
        <w:p>
          <w:pPr>
            <w:pStyle w:val="TOC2"/>
            <w:tabs>
              <w:tab w:val="clear" w:pos="284"/>
              <w:tab w:val="clear" w:pos="567"/>
              <w:tab w:val="clear" w:pos="9061"/>
              <w:tab w:val="right" w:pos="9071" w:leader="dot"/>
            </w:tabs>
            <w:rPr/>
          </w:pPr>
          <w:hyperlink w:anchor="__RefHeading___Toc39960_2889022187">
            <w:r>
              <w:rPr>
                <w:rStyle w:val="Style58"/>
              </w:rPr>
              <w:t>4.6 Проведение наблюдений по обратным отвесам</w:t>
              <w:tab/>
              <w:t>71</w:t>
            </w:r>
          </w:hyperlink>
        </w:p>
        <w:p>
          <w:pPr>
            <w:pStyle w:val="TOC2"/>
            <w:tabs>
              <w:tab w:val="clear" w:pos="284"/>
              <w:tab w:val="clear" w:pos="567"/>
              <w:tab w:val="clear" w:pos="9061"/>
              <w:tab w:val="right" w:pos="9071" w:leader="dot"/>
            </w:tabs>
            <w:rPr/>
          </w:pPr>
          <w:hyperlink w:anchor="__RefHeading___Toc39962_2889022187">
            <w:r>
              <w:rPr>
                <w:rStyle w:val="Style58"/>
              </w:rPr>
              <w:t>4.6.1 Состав обратных отвесов</w:t>
              <w:tab/>
              <w:t>71</w:t>
            </w:r>
          </w:hyperlink>
        </w:p>
        <w:p>
          <w:pPr>
            <w:pStyle w:val="TOC2"/>
            <w:tabs>
              <w:tab w:val="clear" w:pos="284"/>
              <w:tab w:val="clear" w:pos="567"/>
              <w:tab w:val="clear" w:pos="9061"/>
              <w:tab w:val="right" w:pos="9071" w:leader="dot"/>
            </w:tabs>
            <w:rPr/>
          </w:pPr>
          <w:hyperlink w:anchor="__RefHeading___Toc39964_2889022187">
            <w:r>
              <w:rPr>
                <w:rStyle w:val="Style58"/>
              </w:rPr>
              <w:t>4.6.2 Методика проведения наблюдений по обратным отвесам</w:t>
              <w:tab/>
              <w:t>71</w:t>
            </w:r>
          </w:hyperlink>
        </w:p>
        <w:p>
          <w:pPr>
            <w:pStyle w:val="TOC2"/>
            <w:tabs>
              <w:tab w:val="clear" w:pos="284"/>
              <w:tab w:val="clear" w:pos="567"/>
              <w:tab w:val="clear" w:pos="9061"/>
              <w:tab w:val="right" w:pos="9071" w:leader="dot"/>
            </w:tabs>
            <w:rPr/>
          </w:pPr>
          <w:hyperlink w:anchor="__RefHeading___Toc39966_2889022187">
            <w:r>
              <w:rPr>
                <w:rStyle w:val="Style58"/>
              </w:rPr>
              <w:t>4.6.3 Периодичность проведения наблюдений по обратным отвесам</w:t>
              <w:tab/>
              <w:t>71</w:t>
            </w:r>
          </w:hyperlink>
        </w:p>
        <w:p>
          <w:pPr>
            <w:pStyle w:val="TOC2"/>
            <w:tabs>
              <w:tab w:val="clear" w:pos="284"/>
              <w:tab w:val="clear" w:pos="567"/>
              <w:tab w:val="clear" w:pos="9061"/>
              <w:tab w:val="right" w:pos="9071" w:leader="dot"/>
            </w:tabs>
            <w:rPr/>
          </w:pPr>
          <w:hyperlink w:anchor="__RefHeading___Toc39968_2889022187">
            <w:r>
              <w:rPr>
                <w:rStyle w:val="Style58"/>
              </w:rPr>
              <w:t>4.6.4 Объёмы наблюдений по обратным отвесам</w:t>
              <w:tab/>
              <w:t>71</w:t>
            </w:r>
          </w:hyperlink>
        </w:p>
        <w:p>
          <w:pPr>
            <w:pStyle w:val="TOC2"/>
            <w:tabs>
              <w:tab w:val="clear" w:pos="284"/>
              <w:tab w:val="clear" w:pos="567"/>
              <w:tab w:val="clear" w:pos="9061"/>
              <w:tab w:val="right" w:pos="9071" w:leader="dot"/>
            </w:tabs>
            <w:rPr/>
          </w:pPr>
          <w:hyperlink w:anchor="__RefHeading___Toc39972_2889022187">
            <w:r>
              <w:rPr>
                <w:rStyle w:val="Style58"/>
              </w:rPr>
              <w:t>4.7. Проведение наблюдений по щелемерам</w:t>
              <w:tab/>
              <w:t>72</w:t>
            </w:r>
          </w:hyperlink>
        </w:p>
        <w:p>
          <w:pPr>
            <w:pStyle w:val="TOC2"/>
            <w:tabs>
              <w:tab w:val="clear" w:pos="284"/>
              <w:tab w:val="clear" w:pos="567"/>
              <w:tab w:val="clear" w:pos="9061"/>
              <w:tab w:val="right" w:pos="9071" w:leader="dot"/>
            </w:tabs>
            <w:rPr/>
          </w:pPr>
          <w:hyperlink w:anchor="__RefHeading___Toc39974_2889022187">
            <w:r>
              <w:rPr>
                <w:rStyle w:val="Style58"/>
              </w:rPr>
              <w:t>4.7.1 Состав щелемеров</w:t>
              <w:tab/>
              <w:t>72</w:t>
            </w:r>
          </w:hyperlink>
        </w:p>
        <w:p>
          <w:pPr>
            <w:pStyle w:val="TOC2"/>
            <w:tabs>
              <w:tab w:val="clear" w:pos="284"/>
              <w:tab w:val="clear" w:pos="567"/>
              <w:tab w:val="clear" w:pos="9061"/>
              <w:tab w:val="right" w:pos="9071" w:leader="dot"/>
            </w:tabs>
            <w:rPr/>
          </w:pPr>
          <w:hyperlink w:anchor="__RefHeading___Toc39976_2889022187">
            <w:r>
              <w:rPr>
                <w:rStyle w:val="Style58"/>
              </w:rPr>
              <w:t>4.7.2 Методика проведения наблюдений по щелемерам</w:t>
              <w:tab/>
              <w:t>72</w:t>
            </w:r>
          </w:hyperlink>
        </w:p>
        <w:p>
          <w:pPr>
            <w:pStyle w:val="TOC2"/>
            <w:tabs>
              <w:tab w:val="clear" w:pos="284"/>
              <w:tab w:val="clear" w:pos="567"/>
              <w:tab w:val="clear" w:pos="9061"/>
              <w:tab w:val="right" w:pos="9071" w:leader="dot"/>
            </w:tabs>
            <w:rPr/>
          </w:pPr>
          <w:hyperlink w:anchor="__RefHeading___Toc39978_2889022187">
            <w:r>
              <w:rPr>
                <w:rStyle w:val="Style58"/>
              </w:rPr>
              <w:t>4.7.3 Периодичность проведения наблюдений по щелемерам</w:t>
              <w:tab/>
              <w:t>75</w:t>
            </w:r>
          </w:hyperlink>
        </w:p>
        <w:p>
          <w:pPr>
            <w:pStyle w:val="TOC2"/>
            <w:tabs>
              <w:tab w:val="clear" w:pos="284"/>
              <w:tab w:val="clear" w:pos="567"/>
              <w:tab w:val="clear" w:pos="9061"/>
              <w:tab w:val="right" w:pos="9071" w:leader="dot"/>
            </w:tabs>
            <w:rPr/>
          </w:pPr>
          <w:hyperlink w:anchor="__RefHeading___Toc39980_2889022187">
            <w:r>
              <w:rPr>
                <w:rStyle w:val="Style58"/>
              </w:rPr>
              <w:t>4.7.4 Объёмы наблюдений по щелемерам</w:t>
              <w:tab/>
              <w:t>75</w:t>
            </w:r>
          </w:hyperlink>
        </w:p>
        <w:p>
          <w:pPr>
            <w:pStyle w:val="TOC2"/>
            <w:tabs>
              <w:tab w:val="clear" w:pos="284"/>
              <w:tab w:val="clear" w:pos="567"/>
              <w:tab w:val="clear" w:pos="9061"/>
              <w:tab w:val="right" w:pos="9071" w:leader="dot"/>
            </w:tabs>
            <w:rPr/>
          </w:pPr>
          <w:hyperlink w:anchor="__RefHeading___Toc39982_2889022187">
            <w:r>
              <w:rPr>
                <w:rStyle w:val="Style58"/>
              </w:rPr>
              <w:t>4.7.5 Обработка и оформление результатов наблюдений по щелемерам</w:t>
              <w:tab/>
              <w:t>75</w:t>
            </w:r>
          </w:hyperlink>
        </w:p>
        <w:p>
          <w:pPr>
            <w:pStyle w:val="TOC2"/>
            <w:tabs>
              <w:tab w:val="clear" w:pos="284"/>
              <w:tab w:val="clear" w:pos="567"/>
              <w:tab w:val="clear" w:pos="9061"/>
              <w:tab w:val="right" w:pos="9071" w:leader="dot"/>
            </w:tabs>
            <w:rPr/>
          </w:pPr>
          <w:hyperlink w:anchor="__RefHeading___Toc39984_2889022187">
            <w:r>
              <w:rPr>
                <w:rStyle w:val="Style58"/>
              </w:rPr>
              <w:t>4.8 Проведение наблюдений за подвижками точек склона и деформаций зданий и сооружений</w:t>
              <w:tab/>
              <w:t>76</w:t>
            </w:r>
          </w:hyperlink>
        </w:p>
        <w:p>
          <w:pPr>
            <w:pStyle w:val="TOC2"/>
            <w:tabs>
              <w:tab w:val="clear" w:pos="284"/>
              <w:tab w:val="clear" w:pos="567"/>
              <w:tab w:val="clear" w:pos="9061"/>
              <w:tab w:val="right" w:pos="9071" w:leader="dot"/>
            </w:tabs>
            <w:rPr/>
          </w:pPr>
          <w:hyperlink w:anchor="__RefHeading___Toc39986_2889022187">
            <w:r>
              <w:rPr>
                <w:rStyle w:val="Style58"/>
              </w:rPr>
              <w:t>4.8.1 Состав КИА для наблюдений за подвижками точек склона и деформаций зданий и сооружений</w:t>
              <w:tab/>
              <w:t>76</w:t>
            </w:r>
          </w:hyperlink>
        </w:p>
        <w:p>
          <w:pPr>
            <w:pStyle w:val="TOC2"/>
            <w:tabs>
              <w:tab w:val="clear" w:pos="284"/>
              <w:tab w:val="clear" w:pos="567"/>
              <w:tab w:val="clear" w:pos="9061"/>
              <w:tab w:val="right" w:pos="9071" w:leader="dot"/>
            </w:tabs>
            <w:rPr/>
          </w:pPr>
          <w:hyperlink w:anchor="__RefHeading___Toc39988_2889022187">
            <w:r>
              <w:rPr>
                <w:rStyle w:val="Style58"/>
              </w:rPr>
              <w:t>4.8.2 Цель и методика проведения наблюдений по светодальномерным знакам</w:t>
              <w:tab/>
              <w:t>76</w:t>
            </w:r>
          </w:hyperlink>
        </w:p>
        <w:p>
          <w:pPr>
            <w:pStyle w:val="TOC2"/>
            <w:tabs>
              <w:tab w:val="clear" w:pos="284"/>
              <w:tab w:val="clear" w:pos="567"/>
              <w:tab w:val="clear" w:pos="9061"/>
              <w:tab w:val="right" w:pos="9071" w:leader="dot"/>
            </w:tabs>
            <w:rPr/>
          </w:pPr>
          <w:hyperlink w:anchor="__RefHeading___Toc39990_2889022187">
            <w:r>
              <w:rPr>
                <w:rStyle w:val="Style58"/>
              </w:rPr>
              <w:t>4.8.3 Линейно угловые измерения</w:t>
              <w:tab/>
              <w:t>76</w:t>
            </w:r>
          </w:hyperlink>
        </w:p>
        <w:p>
          <w:pPr>
            <w:pStyle w:val="TOC2"/>
            <w:tabs>
              <w:tab w:val="clear" w:pos="284"/>
              <w:tab w:val="clear" w:pos="567"/>
              <w:tab w:val="clear" w:pos="9061"/>
              <w:tab w:val="right" w:pos="9071" w:leader="dot"/>
            </w:tabs>
            <w:rPr/>
          </w:pPr>
          <w:hyperlink w:anchor="__RefHeading___Toc39992_2889022187">
            <w:r>
              <w:rPr>
                <w:rStyle w:val="Style58"/>
              </w:rPr>
              <w:t>4.8.4 Измерения линий</w:t>
              <w:tab/>
              <w:t>77</w:t>
            </w:r>
          </w:hyperlink>
        </w:p>
        <w:p>
          <w:pPr>
            <w:pStyle w:val="TOC2"/>
            <w:tabs>
              <w:tab w:val="clear" w:pos="284"/>
              <w:tab w:val="clear" w:pos="567"/>
              <w:tab w:val="clear" w:pos="9061"/>
              <w:tab w:val="right" w:pos="9071" w:leader="dot"/>
            </w:tabs>
            <w:rPr/>
          </w:pPr>
          <w:hyperlink w:anchor="__RefHeading___Toc39994_2889022187">
            <w:r>
              <w:rPr>
                <w:rStyle w:val="Style58"/>
              </w:rPr>
              <w:t>4.8.5 Периодичность проведения наблюдений по светодальномерным знакам</w:t>
              <w:tab/>
              <w:t>78</w:t>
            </w:r>
          </w:hyperlink>
        </w:p>
        <w:p>
          <w:pPr>
            <w:pStyle w:val="TOC2"/>
            <w:tabs>
              <w:tab w:val="clear" w:pos="284"/>
              <w:tab w:val="clear" w:pos="567"/>
              <w:tab w:val="clear" w:pos="9061"/>
              <w:tab w:val="right" w:pos="9071" w:leader="dot"/>
            </w:tabs>
            <w:rPr/>
          </w:pPr>
          <w:hyperlink w:anchor="__RefHeading___Toc14194_3528834450">
            <w:r>
              <w:rPr>
                <w:rStyle w:val="Style58"/>
              </w:rPr>
              <w:t>4.8.6 Объёмы наблюдений по свето-дальномерным знакам</w:t>
              <w:tab/>
              <w:t>78</w:t>
            </w:r>
          </w:hyperlink>
        </w:p>
        <w:p>
          <w:pPr>
            <w:pStyle w:val="TOC2"/>
            <w:tabs>
              <w:tab w:val="clear" w:pos="284"/>
              <w:tab w:val="clear" w:pos="567"/>
              <w:tab w:val="clear" w:pos="9061"/>
              <w:tab w:val="right" w:pos="9071" w:leader="dot"/>
            </w:tabs>
            <w:rPr/>
          </w:pPr>
          <w:hyperlink w:anchor="__RefHeading___Toc39998_2889022187">
            <w:r>
              <w:rPr>
                <w:rStyle w:val="Style58"/>
              </w:rPr>
              <w:t>4.8.7 Обработка и оформление результатов наблюдений по светодальномерным знакам</w:t>
              <w:tab/>
              <w:t>78</w:t>
            </w:r>
          </w:hyperlink>
        </w:p>
        <w:p>
          <w:pPr>
            <w:pStyle w:val="TOC2"/>
            <w:tabs>
              <w:tab w:val="clear" w:pos="284"/>
              <w:tab w:val="clear" w:pos="567"/>
              <w:tab w:val="clear" w:pos="9061"/>
              <w:tab w:val="right" w:pos="9071" w:leader="dot"/>
            </w:tabs>
            <w:rPr/>
          </w:pPr>
          <w:hyperlink w:anchor="__RefHeading___Toc40000_2889022187">
            <w:r>
              <w:rPr>
                <w:rStyle w:val="Style58"/>
              </w:rPr>
              <w:t>4.9 Проведение специальных наблюдений за пространственным положением здания ГАЭС</w:t>
              <w:tab/>
              <w:t>79</w:t>
            </w:r>
          </w:hyperlink>
        </w:p>
        <w:p>
          <w:pPr>
            <w:pStyle w:val="TOC2"/>
            <w:tabs>
              <w:tab w:val="clear" w:pos="284"/>
              <w:tab w:val="clear" w:pos="567"/>
              <w:tab w:val="clear" w:pos="9061"/>
              <w:tab w:val="right" w:pos="9071" w:leader="dot"/>
            </w:tabs>
            <w:rPr/>
          </w:pPr>
          <w:hyperlink w:anchor="__RefHeading___Toc40002_2889022187">
            <w:r>
              <w:rPr>
                <w:rStyle w:val="Style58"/>
              </w:rPr>
              <w:t>4.9.1. Состав КИА специального контроля за пространственным положением здания ГАЭС</w:t>
              <w:tab/>
              <w:t>79</w:t>
            </w:r>
          </w:hyperlink>
        </w:p>
        <w:p>
          <w:pPr>
            <w:pStyle w:val="TOC2"/>
            <w:tabs>
              <w:tab w:val="clear" w:pos="284"/>
              <w:tab w:val="clear" w:pos="567"/>
              <w:tab w:val="clear" w:pos="9061"/>
              <w:tab w:val="right" w:pos="9071" w:leader="dot"/>
            </w:tabs>
            <w:rPr/>
          </w:pPr>
          <w:hyperlink w:anchor="__RefHeading___Toc40004_2889022187">
            <w:r>
              <w:rPr>
                <w:rStyle w:val="Style58"/>
              </w:rPr>
              <w:t>4.9.2. Проведение специального контроля за пространственным положением здания ГАЭС</w:t>
              <w:tab/>
              <w:t>79</w:t>
            </w:r>
          </w:hyperlink>
        </w:p>
        <w:p>
          <w:pPr>
            <w:pStyle w:val="TOC2"/>
            <w:tabs>
              <w:tab w:val="clear" w:pos="284"/>
              <w:tab w:val="clear" w:pos="567"/>
              <w:tab w:val="clear" w:pos="9061"/>
              <w:tab w:val="right" w:pos="9071" w:leader="dot"/>
            </w:tabs>
            <w:rPr/>
          </w:pPr>
          <w:hyperlink w:anchor="__RefHeading___Toc40006_2889022187">
            <w:r>
              <w:rPr>
                <w:rStyle w:val="Style58"/>
              </w:rPr>
              <w:t>4.9.3 Методика проведения специального контроля за пространственным положением здания ГАЭС</w:t>
              <w:tab/>
              <w:t>80</w:t>
            </w:r>
          </w:hyperlink>
        </w:p>
        <w:p>
          <w:pPr>
            <w:pStyle w:val="TOC2"/>
            <w:tabs>
              <w:tab w:val="clear" w:pos="284"/>
              <w:tab w:val="clear" w:pos="567"/>
              <w:tab w:val="clear" w:pos="9061"/>
              <w:tab w:val="right" w:pos="9071" w:leader="dot"/>
            </w:tabs>
            <w:rPr/>
          </w:pPr>
          <w:hyperlink w:anchor="__RefHeading___Toc40008_2889022187">
            <w:r>
              <w:rPr>
                <w:rStyle w:val="Style58"/>
              </w:rPr>
              <w:t>4.9.4 Периодичность проведения специального контроля за пространственным положением здания ГАЭС</w:t>
              <w:tab/>
              <w:t>81</w:t>
            </w:r>
          </w:hyperlink>
        </w:p>
        <w:p>
          <w:pPr>
            <w:pStyle w:val="TOC2"/>
            <w:tabs>
              <w:tab w:val="clear" w:pos="284"/>
              <w:tab w:val="clear" w:pos="567"/>
              <w:tab w:val="clear" w:pos="9061"/>
              <w:tab w:val="right" w:pos="9071" w:leader="dot"/>
            </w:tabs>
            <w:rPr/>
          </w:pPr>
          <w:hyperlink w:anchor="__RefHeading___Toc40010_2889022187">
            <w:r>
              <w:rPr>
                <w:rStyle w:val="Style58"/>
              </w:rPr>
              <w:t>4.9.5 Объёмы работ при проведении специального контроля за пространственным положением здания ГАЭС</w:t>
              <w:tab/>
              <w:t>81</w:t>
            </w:r>
          </w:hyperlink>
        </w:p>
        <w:p>
          <w:pPr>
            <w:pStyle w:val="TOC2"/>
            <w:tabs>
              <w:tab w:val="clear" w:pos="284"/>
              <w:tab w:val="clear" w:pos="567"/>
              <w:tab w:val="clear" w:pos="9061"/>
              <w:tab w:val="right" w:pos="9071" w:leader="dot"/>
            </w:tabs>
            <w:rPr/>
          </w:pPr>
          <w:hyperlink w:anchor="__RefHeading___Toc40012_2889022187">
            <w:r>
              <w:rPr>
                <w:rStyle w:val="Style58"/>
              </w:rPr>
              <w:t>4.9.6 Обработка и оформление результатов специального контроля за пространственным положением здания ГАЭС</w:t>
              <w:tab/>
              <w:t>83</w:t>
            </w:r>
          </w:hyperlink>
        </w:p>
        <w:p>
          <w:pPr>
            <w:pStyle w:val="TOC1"/>
            <w:tabs>
              <w:tab w:val="clear" w:pos="9061"/>
              <w:tab w:val="right" w:pos="9071" w:leader="dot"/>
            </w:tabs>
            <w:rPr/>
          </w:pPr>
          <w:hyperlink w:anchor="__RefHeading___Toc40014_2889022187">
            <w:r>
              <w:rPr>
                <w:rStyle w:val="Style58"/>
              </w:rPr>
              <w:t>5 Ведение электронной базы данных натурных наблюдений ИДС «БИНГ-3»</w:t>
              <w:tab/>
              <w:t>89</w:t>
            </w:r>
          </w:hyperlink>
        </w:p>
        <w:p>
          <w:pPr>
            <w:pStyle w:val="TOC1"/>
            <w:tabs>
              <w:tab w:val="clear" w:pos="9061"/>
              <w:tab w:val="right" w:pos="9071" w:leader="dot"/>
            </w:tabs>
            <w:rPr/>
          </w:pPr>
          <w:hyperlink w:anchor="__RefHeading___Toc40016_2889022187">
            <w:r>
              <w:rPr>
                <w:rStyle w:val="Style58"/>
              </w:rPr>
              <w:t>6 Осуществление технической поддержки, обеспечение технического обслуживания АСДК</w:t>
              <w:tab/>
              <w:t>90</w:t>
            </w:r>
          </w:hyperlink>
        </w:p>
        <w:p>
          <w:pPr>
            <w:pStyle w:val="TOC1"/>
            <w:tabs>
              <w:tab w:val="clear" w:pos="9061"/>
              <w:tab w:val="right" w:pos="9071" w:leader="dot"/>
            </w:tabs>
            <w:rPr/>
          </w:pPr>
          <w:hyperlink w:anchor="__RefHeading___Toc40018_2889022187">
            <w:r>
              <w:rPr>
                <w:rStyle w:val="Style58"/>
              </w:rPr>
              <w:t>7 Оценка состояния ГТС</w:t>
              <w:tab/>
              <w:t>93</w:t>
            </w:r>
          </w:hyperlink>
        </w:p>
        <w:p>
          <w:pPr>
            <w:pStyle w:val="TOC1"/>
            <w:tabs>
              <w:tab w:val="clear" w:pos="9061"/>
              <w:tab w:val="right" w:pos="9071" w:leader="dot"/>
            </w:tabs>
            <w:rPr/>
          </w:pPr>
          <w:hyperlink w:anchor="__RefHeading___Toc40022_2889022187">
            <w:r>
              <w:rPr>
                <w:rStyle w:val="Style58"/>
              </w:rPr>
              <w:t>Приложение А. Таблица А.1 – Контрольно-измерительная аппаратура для наблюдений за показателями состояния контролируемых гидротехнических сооружений</w:t>
              <w:tab/>
              <w:t>94</w:t>
            </w:r>
          </w:hyperlink>
        </w:p>
        <w:p>
          <w:pPr>
            <w:pStyle w:val="TOC1"/>
            <w:tabs>
              <w:tab w:val="clear" w:pos="9061"/>
              <w:tab w:val="right" w:pos="9071" w:leader="dot"/>
            </w:tabs>
            <w:rPr/>
          </w:pPr>
          <w:hyperlink w:anchor="__RefHeading___Toc40024_2889022187">
            <w:r>
              <w:rPr>
                <w:rStyle w:val="Style58"/>
              </w:rPr>
              <w:t>Приложение Б. Периодичность проведения натурных наблюдений за показателями состояния контролируемых гидротехнических сооружений</w:t>
              <w:tab/>
              <w:t>97</w:t>
            </w:r>
          </w:hyperlink>
        </w:p>
        <w:p>
          <w:pPr>
            <w:pStyle w:val="TOC1"/>
            <w:tabs>
              <w:tab w:val="clear" w:pos="9061"/>
              <w:tab w:val="right" w:pos="9071" w:leader="dot"/>
            </w:tabs>
            <w:rPr/>
          </w:pPr>
          <w:hyperlink w:anchor="__RefHeading___Toc40026_2889022187">
            <w:r>
              <w:rPr>
                <w:rStyle w:val="Style58"/>
              </w:rPr>
              <w:t>Приложение В. Ведомость объёмов работ по проведению инструментальных наблюдений за контролируемыми ГТС Загорской ГАЭС-2 на один год</w:t>
              <w:tab/>
              <w:t>101</w:t>
            </w:r>
          </w:hyperlink>
        </w:p>
        <w:p>
          <w:pPr>
            <w:pStyle w:val="TOC1"/>
            <w:tabs>
              <w:tab w:val="clear" w:pos="9061"/>
              <w:tab w:val="right" w:pos="9071" w:leader="dot"/>
            </w:tabs>
            <w:rPr/>
          </w:pPr>
          <w:hyperlink w:anchor="__RefHeading___Toc40028_2889022187">
            <w:r>
              <w:rPr>
                <w:rStyle w:val="Style58"/>
              </w:rPr>
              <w:t>Приложение Г. Порядок оповещения о превышении критериальных значений на сооружениях Загорской ГАЭС-2</w:t>
              <w:tab/>
              <w:t>104</w:t>
            </w:r>
          </w:hyperlink>
        </w:p>
        <w:p>
          <w:pPr>
            <w:pStyle w:val="TOC1"/>
            <w:tabs>
              <w:tab w:val="clear" w:pos="9061"/>
              <w:tab w:val="right" w:pos="9071" w:leader="dot"/>
            </w:tabs>
            <w:rPr/>
          </w:pPr>
          <w:hyperlink w:anchor="__RefHeading___Toc40028_2889022187_%D0%9A%D0%BE%D0%BF%D0%B8%D1%8F_1">
            <w:r>
              <w:rPr>
                <w:rStyle w:val="Style58"/>
              </w:rPr>
              <w:t>Приложение Г. Формы полевых журналов</w:t>
              <w:tab/>
              <w:t>106</w:t>
            </w:r>
          </w:hyperlink>
          <w:r>
            <w:rPr>
              <w:rStyle w:val="Style58"/>
            </w:rPr>
            <w:fldChar w:fldCharType="end"/>
          </w:r>
        </w:p>
      </w:sdtContent>
    </w:sdt>
    <w:p>
      <w:pPr>
        <w:pStyle w:val="Heading1"/>
        <w:numPr>
          <w:ilvl w:val="0"/>
        </w:numPr>
        <w:ind w:left="0" w:right="0" w:hanging="0"/>
        <w:rPr>
          <w:rFonts w:ascii="Times New Roman" w:hAnsi="Times New Roman"/>
        </w:rPr>
      </w:pPr>
      <w:bookmarkStart w:id="0" w:name="__RefHeading___Toc13994_3528834450"/>
      <w:bookmarkEnd w:id="0"/>
      <w:r>
        <w:rPr>
          <w:rFonts w:ascii="Times New Roman" w:hAnsi="Times New Roman"/>
        </w:rPr>
        <w:t>1.1 Текущее состояние системы мониторинга</w:t>
      </w:r>
    </w:p>
    <w:p>
      <w:pPr>
        <w:pStyle w:val="Heading2"/>
        <w:numPr>
          <w:ilvl w:val="0"/>
        </w:numPr>
        <w:ind w:left="0" w:right="0" w:hanging="0"/>
        <w:rPr>
          <w:rFonts w:ascii="Times New Roman" w:hAnsi="Times New Roman"/>
        </w:rPr>
      </w:pPr>
      <w:bookmarkStart w:id="1" w:name="__RefHeading___Toc14188_3528834450"/>
      <w:bookmarkEnd w:id="1"/>
      <w:r>
        <w:rPr>
          <w:rFonts w:ascii="Times New Roman" w:hAnsi="Times New Roman"/>
        </w:rPr>
        <w:t>1.1.1. Сведения о состоянии КИА, размещенной на дамбе верхнего бассейна и задамбовой территории</w:t>
      </w:r>
    </w:p>
    <w:p>
      <w:pPr>
        <w:pStyle w:val="Normal"/>
        <w:rPr>
          <w:rFonts w:ascii="Times New Roman" w:hAnsi="Times New Roman"/>
          <w:sz w:val="24"/>
        </w:rPr>
      </w:pPr>
      <w:bookmarkStart w:id="2" w:name="_Toc421794387"/>
      <w:bookmarkStart w:id="3" w:name="_Toc7087068"/>
      <w:bookmarkEnd w:id="2"/>
      <w:bookmarkEnd w:id="3"/>
      <w:r>
        <w:rPr>
          <w:rFonts w:ascii="Times New Roman" w:hAnsi="Times New Roman"/>
          <w:sz w:val="24"/>
        </w:rPr>
        <w:t>В таблице1.1.1 приведены сведения о количестве и состоянии КИА на дамбе и задамбовой территории по состоянию на 2025 год.</w:t>
      </w:r>
    </w:p>
    <w:p>
      <w:pPr>
        <w:pStyle w:val="Normal"/>
        <w:spacing w:lineRule="auto" w:line="240" w:before="0" w:after="120"/>
        <w:ind w:left="0" w:right="0" w:hanging="0"/>
        <w:rPr>
          <w:rFonts w:ascii="Times New Roman" w:hAnsi="Times New Roman"/>
          <w:sz w:val="24"/>
        </w:rPr>
      </w:pPr>
      <w:r>
        <w:rPr>
          <w:rFonts w:ascii="Times New Roman" w:hAnsi="Times New Roman"/>
          <w:sz w:val="24"/>
        </w:rPr>
        <w:t>Таблица 1.1.1 – Сведения о количестве и состоянии КИА на дамбе и задамбовой территории</w:t>
      </w:r>
    </w:p>
    <w:tbl>
      <w:tblPr>
        <w:tblW w:w="9076" w:type="dxa"/>
        <w:jc w:val="left"/>
        <w:tblInd w:w="0" w:type="dxa"/>
        <w:tblLayout w:type="fixed"/>
        <w:tblCellMar>
          <w:top w:w="0" w:type="dxa"/>
          <w:left w:w="28" w:type="dxa"/>
          <w:bottom w:w="0" w:type="dxa"/>
          <w:right w:w="28" w:type="dxa"/>
        </w:tblCellMar>
      </w:tblPr>
      <w:tblGrid>
        <w:gridCol w:w="4515"/>
        <w:gridCol w:w="1859"/>
        <w:gridCol w:w="2702"/>
      </w:tblGrid>
      <w:tr>
        <w:trPr>
          <w:trHeight w:val="265" w:hRule="atLeast"/>
        </w:trPr>
        <w:tc>
          <w:tcPr>
            <w:tcW w:w="637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284" w:right="0" w:hanging="0"/>
              <w:contextualSpacing/>
              <w:jc w:val="center"/>
              <w:rPr>
                <w:sz w:val="24"/>
                <w:szCs w:val="24"/>
              </w:rPr>
            </w:pPr>
            <w:r>
              <w:rPr>
                <w:rFonts w:eastAsia="Times New Roman" w:cs="Times New Roman" w:ascii="Times New Roman" w:hAnsi="Times New Roman"/>
                <w:kern w:val="0"/>
                <w:sz w:val="24"/>
                <w:szCs w:val="24"/>
                <w:lang w:val="ru-RU" w:eastAsia="ru-RU" w:bidi="ar-SA"/>
              </w:rPr>
              <w:t>Наименование КИА</w:t>
            </w:r>
          </w:p>
        </w:tc>
        <w:tc>
          <w:tcPr>
            <w:tcW w:w="2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284" w:right="0" w:hanging="0"/>
              <w:contextualSpacing/>
              <w:jc w:val="center"/>
              <w:rPr>
                <w:sz w:val="24"/>
                <w:szCs w:val="24"/>
              </w:rPr>
            </w:pPr>
            <w:r>
              <w:rPr>
                <w:rFonts w:eastAsia="Times New Roman" w:cs="Times New Roman" w:ascii="Times New Roman" w:hAnsi="Times New Roman"/>
                <w:kern w:val="0"/>
                <w:sz w:val="24"/>
                <w:szCs w:val="24"/>
                <w:lang w:val="ru-RU" w:eastAsia="ru-RU" w:bidi="ar-SA"/>
              </w:rPr>
              <w:t>Количество КИА, шт.</w:t>
            </w:r>
          </w:p>
        </w:tc>
      </w:tr>
      <w:tr>
        <w:trPr>
          <w:trHeight w:val="371" w:hRule="atLeast"/>
        </w:trPr>
        <w:tc>
          <w:tcPr>
            <w:tcW w:w="45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28" w:right="0" w:hanging="0"/>
              <w:contextualSpacing/>
              <w:jc w:val="center"/>
              <w:rPr>
                <w:sz w:val="24"/>
                <w:szCs w:val="24"/>
              </w:rPr>
            </w:pPr>
            <w:r>
              <w:rPr>
                <w:rFonts w:eastAsia="Times New Roman" w:cs="Times New Roman" w:ascii="Times New Roman" w:hAnsi="Times New Roman"/>
                <w:kern w:val="0"/>
                <w:sz w:val="24"/>
                <w:szCs w:val="24"/>
                <w:lang w:val="ru-RU" w:eastAsia="ru-RU" w:bidi="ar-SA"/>
              </w:rPr>
              <w:t>полное</w:t>
            </w:r>
          </w:p>
        </w:tc>
        <w:tc>
          <w:tcPr>
            <w:tcW w:w="18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28" w:right="0" w:hanging="0"/>
              <w:contextualSpacing/>
              <w:jc w:val="center"/>
              <w:rPr>
                <w:sz w:val="24"/>
                <w:szCs w:val="24"/>
              </w:rPr>
            </w:pPr>
            <w:r>
              <w:rPr>
                <w:rFonts w:eastAsia="Times New Roman" w:cs="Times New Roman" w:ascii="Times New Roman" w:hAnsi="Times New Roman"/>
                <w:kern w:val="0"/>
                <w:sz w:val="24"/>
                <w:szCs w:val="24"/>
                <w:lang w:val="ru-RU" w:eastAsia="ru-RU" w:bidi="ar-SA"/>
              </w:rPr>
              <w:t>сокращённое</w:t>
            </w:r>
          </w:p>
        </w:tc>
        <w:tc>
          <w:tcPr>
            <w:tcW w:w="2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28" w:right="0" w:hanging="0"/>
              <w:contextualSpacing/>
              <w:jc w:val="center"/>
              <w:rPr>
                <w:sz w:val="24"/>
                <w:szCs w:val="24"/>
              </w:rPr>
            </w:pPr>
            <w:r>
              <w:rPr>
                <w:rFonts w:eastAsia="Times New Roman" w:cs="Times New Roman" w:ascii="Times New Roman" w:hAnsi="Times New Roman"/>
                <w:kern w:val="0"/>
                <w:sz w:val="24"/>
                <w:szCs w:val="24"/>
                <w:lang w:val="ru-RU" w:eastAsia="ru-RU" w:bidi="ar-SA"/>
              </w:rPr>
              <w:t>установленное</w:t>
            </w:r>
          </w:p>
        </w:tc>
      </w:tr>
      <w:tr>
        <w:trPr>
          <w:trHeight w:val="340" w:hRule="atLeast"/>
        </w:trPr>
        <w:tc>
          <w:tcPr>
            <w:tcW w:w="9076"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Дамба верхнего бассейна</w:t>
            </w:r>
          </w:p>
        </w:tc>
      </w:tr>
      <w:tr>
        <w:trPr>
          <w:trHeight w:val="340" w:hRule="atLeast"/>
        </w:trPr>
        <w:tc>
          <w:tcPr>
            <w:tcW w:w="45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28" w:right="0" w:hanging="0"/>
              <w:contextualSpacing/>
              <w:jc w:val="center"/>
              <w:rPr>
                <w:sz w:val="24"/>
                <w:szCs w:val="24"/>
              </w:rPr>
            </w:pPr>
            <w:r>
              <w:rPr>
                <w:rFonts w:eastAsia="Times New Roman" w:cs="Times New Roman" w:ascii="Times New Roman" w:hAnsi="Times New Roman"/>
                <w:kern w:val="0"/>
                <w:sz w:val="24"/>
                <w:szCs w:val="24"/>
                <w:lang w:val="ru-RU" w:eastAsia="ru-RU" w:bidi="ar-SA"/>
              </w:rPr>
              <w:t>Пьезометр опускной</w:t>
            </w:r>
          </w:p>
        </w:tc>
        <w:tc>
          <w:tcPr>
            <w:tcW w:w="18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28" w:right="0" w:hanging="0"/>
              <w:contextualSpacing/>
              <w:jc w:val="center"/>
              <w:rPr>
                <w:sz w:val="24"/>
                <w:szCs w:val="24"/>
              </w:rPr>
            </w:pPr>
            <w:r>
              <w:rPr>
                <w:rFonts w:eastAsia="Times New Roman" w:cs="Times New Roman" w:ascii="Times New Roman" w:hAnsi="Times New Roman"/>
                <w:kern w:val="0"/>
                <w:sz w:val="24"/>
                <w:szCs w:val="24"/>
                <w:lang w:val="ru-RU" w:eastAsia="ru-RU" w:bidi="ar-SA"/>
              </w:rPr>
              <w:t>ПО</w:t>
            </w:r>
          </w:p>
        </w:tc>
        <w:tc>
          <w:tcPr>
            <w:tcW w:w="2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28" w:right="0" w:hanging="0"/>
              <w:contextualSpacing/>
              <w:jc w:val="center"/>
              <w:rPr>
                <w:sz w:val="24"/>
                <w:szCs w:val="24"/>
              </w:rPr>
            </w:pPr>
            <w:r>
              <w:rPr>
                <w:rFonts w:eastAsia="Times New Roman" w:cs="Times New Roman" w:ascii="Times New Roman" w:hAnsi="Times New Roman"/>
                <w:kern w:val="0"/>
                <w:sz w:val="24"/>
                <w:szCs w:val="24"/>
                <w:lang w:val="ru-RU" w:eastAsia="ru-RU" w:bidi="ar-SA"/>
              </w:rPr>
              <w:t>32</w:t>
            </w:r>
          </w:p>
        </w:tc>
      </w:tr>
      <w:tr>
        <w:trPr>
          <w:trHeight w:val="340" w:hRule="atLeast"/>
        </w:trPr>
        <w:tc>
          <w:tcPr>
            <w:tcW w:w="45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28" w:right="0" w:hanging="0"/>
              <w:contextualSpacing/>
              <w:jc w:val="center"/>
              <w:rPr>
                <w:sz w:val="24"/>
                <w:szCs w:val="24"/>
              </w:rPr>
            </w:pPr>
            <w:r>
              <w:rPr>
                <w:rFonts w:eastAsia="Times New Roman" w:cs="Times New Roman" w:ascii="Times New Roman" w:hAnsi="Times New Roman"/>
                <w:kern w:val="0"/>
                <w:sz w:val="24"/>
                <w:szCs w:val="24"/>
                <w:lang w:val="ru-RU" w:eastAsia="ru-RU" w:bidi="ar-SA"/>
              </w:rPr>
              <w:t>Мерный водослив</w:t>
            </w:r>
          </w:p>
        </w:tc>
        <w:tc>
          <w:tcPr>
            <w:tcW w:w="18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28" w:right="0" w:hanging="0"/>
              <w:contextualSpacing/>
              <w:jc w:val="center"/>
              <w:rPr>
                <w:sz w:val="24"/>
                <w:szCs w:val="24"/>
              </w:rPr>
            </w:pPr>
            <w:r>
              <w:rPr>
                <w:rFonts w:eastAsia="Times New Roman" w:cs="Times New Roman" w:ascii="Times New Roman" w:hAnsi="Times New Roman"/>
                <w:kern w:val="0"/>
                <w:sz w:val="24"/>
                <w:szCs w:val="24"/>
                <w:lang w:val="ru-RU" w:eastAsia="ru-RU" w:bidi="ar-SA"/>
              </w:rPr>
              <w:t>МВ</w:t>
            </w:r>
          </w:p>
        </w:tc>
        <w:tc>
          <w:tcPr>
            <w:tcW w:w="2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28" w:right="0" w:hanging="0"/>
              <w:contextualSpacing/>
              <w:jc w:val="center"/>
              <w:rPr>
                <w:sz w:val="24"/>
                <w:szCs w:val="24"/>
              </w:rPr>
            </w:pPr>
            <w:r>
              <w:rPr>
                <w:rFonts w:eastAsia="Times New Roman" w:cs="Times New Roman" w:ascii="Times New Roman" w:hAnsi="Times New Roman"/>
                <w:kern w:val="0"/>
                <w:sz w:val="24"/>
                <w:szCs w:val="24"/>
                <w:lang w:val="ru-RU" w:eastAsia="ru-RU" w:bidi="ar-SA"/>
              </w:rPr>
              <w:t>7</w:t>
            </w:r>
          </w:p>
        </w:tc>
      </w:tr>
      <w:tr>
        <w:trPr>
          <w:trHeight w:val="340" w:hRule="atLeast"/>
        </w:trPr>
        <w:tc>
          <w:tcPr>
            <w:tcW w:w="45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28" w:right="0" w:hanging="0"/>
              <w:contextualSpacing/>
              <w:jc w:val="center"/>
              <w:rPr>
                <w:sz w:val="24"/>
                <w:szCs w:val="24"/>
              </w:rPr>
            </w:pPr>
            <w:r>
              <w:rPr>
                <w:rFonts w:eastAsia="Times New Roman" w:cs="Times New Roman" w:ascii="Times New Roman" w:hAnsi="Times New Roman"/>
                <w:kern w:val="0"/>
                <w:sz w:val="24"/>
                <w:szCs w:val="24"/>
                <w:lang w:val="ru-RU" w:eastAsia="ru-RU" w:bidi="ar-SA"/>
              </w:rPr>
              <w:t>Преобразователь давления струнный</w:t>
            </w:r>
          </w:p>
        </w:tc>
        <w:tc>
          <w:tcPr>
            <w:tcW w:w="18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28" w:right="0" w:hanging="0"/>
              <w:contextualSpacing/>
              <w:jc w:val="center"/>
              <w:rPr>
                <w:sz w:val="24"/>
                <w:szCs w:val="24"/>
              </w:rPr>
            </w:pPr>
            <w:r>
              <w:rPr>
                <w:rFonts w:eastAsia="Times New Roman" w:cs="Times New Roman" w:ascii="Times New Roman" w:hAnsi="Times New Roman"/>
                <w:kern w:val="0"/>
                <w:sz w:val="24"/>
                <w:szCs w:val="24"/>
                <w:lang w:val="ru-RU" w:eastAsia="ru-RU" w:bidi="ar-SA"/>
              </w:rPr>
              <w:t>ПДС</w:t>
            </w:r>
          </w:p>
        </w:tc>
        <w:tc>
          <w:tcPr>
            <w:tcW w:w="2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28" w:right="0" w:hanging="0"/>
              <w:contextualSpacing/>
              <w:jc w:val="center"/>
              <w:rPr>
                <w:sz w:val="24"/>
                <w:szCs w:val="24"/>
              </w:rPr>
            </w:pPr>
            <w:r>
              <w:rPr>
                <w:rFonts w:eastAsia="Times New Roman" w:cs="Times New Roman" w:ascii="Times New Roman" w:hAnsi="Times New Roman"/>
                <w:kern w:val="0"/>
                <w:sz w:val="24"/>
                <w:szCs w:val="24"/>
                <w:lang w:val="ru-RU" w:eastAsia="ru-RU" w:bidi="ar-SA"/>
              </w:rPr>
              <w:t>32</w:t>
            </w:r>
          </w:p>
        </w:tc>
      </w:tr>
      <w:tr>
        <w:trPr>
          <w:trHeight w:val="340" w:hRule="atLeast"/>
        </w:trPr>
        <w:tc>
          <w:tcPr>
            <w:tcW w:w="45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28" w:right="0" w:hanging="0"/>
              <w:contextualSpacing/>
              <w:jc w:val="center"/>
              <w:rPr>
                <w:sz w:val="24"/>
                <w:szCs w:val="24"/>
              </w:rPr>
            </w:pPr>
            <w:r>
              <w:rPr>
                <w:rFonts w:eastAsia="Times New Roman" w:cs="Times New Roman" w:ascii="Times New Roman" w:hAnsi="Times New Roman"/>
                <w:kern w:val="0"/>
                <w:sz w:val="24"/>
                <w:szCs w:val="24"/>
                <w:lang w:val="ru-RU" w:eastAsia="ru-RU" w:bidi="ar-SA"/>
              </w:rPr>
              <w:t>Преобразователь температуры струнный</w:t>
            </w:r>
          </w:p>
        </w:tc>
        <w:tc>
          <w:tcPr>
            <w:tcW w:w="18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28" w:right="0" w:hanging="0"/>
              <w:contextualSpacing/>
              <w:jc w:val="center"/>
              <w:rPr>
                <w:sz w:val="24"/>
                <w:szCs w:val="24"/>
              </w:rPr>
            </w:pPr>
            <w:r>
              <w:rPr>
                <w:rFonts w:eastAsia="Times New Roman" w:cs="Times New Roman" w:ascii="Times New Roman" w:hAnsi="Times New Roman"/>
                <w:kern w:val="0"/>
                <w:sz w:val="24"/>
                <w:szCs w:val="24"/>
                <w:lang w:val="ru-RU" w:eastAsia="ru-RU" w:bidi="ar-SA"/>
              </w:rPr>
              <w:t>ПТС</w:t>
            </w:r>
          </w:p>
        </w:tc>
        <w:tc>
          <w:tcPr>
            <w:tcW w:w="2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28" w:right="0" w:hanging="0"/>
              <w:contextualSpacing/>
              <w:jc w:val="center"/>
              <w:rPr>
                <w:sz w:val="24"/>
                <w:szCs w:val="24"/>
              </w:rPr>
            </w:pPr>
            <w:r>
              <w:rPr>
                <w:rFonts w:eastAsia="Times New Roman" w:cs="Times New Roman" w:ascii="Times New Roman" w:hAnsi="Times New Roman"/>
                <w:kern w:val="0"/>
                <w:sz w:val="24"/>
                <w:szCs w:val="24"/>
                <w:lang w:val="ru-RU" w:eastAsia="ru-RU" w:bidi="ar-SA"/>
              </w:rPr>
              <w:t>23</w:t>
            </w:r>
          </w:p>
        </w:tc>
      </w:tr>
      <w:tr>
        <w:trPr>
          <w:trHeight w:val="340" w:hRule="atLeast"/>
        </w:trPr>
        <w:tc>
          <w:tcPr>
            <w:tcW w:w="45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28" w:right="0" w:hanging="0"/>
              <w:contextualSpacing/>
              <w:jc w:val="center"/>
              <w:rPr>
                <w:sz w:val="24"/>
                <w:szCs w:val="24"/>
              </w:rPr>
            </w:pPr>
            <w:r>
              <w:rPr>
                <w:rFonts w:eastAsia="Times New Roman" w:cs="Times New Roman" w:ascii="Times New Roman" w:hAnsi="Times New Roman"/>
                <w:kern w:val="0"/>
                <w:sz w:val="24"/>
                <w:szCs w:val="24"/>
                <w:lang w:val="ru-RU" w:eastAsia="ru-RU" w:bidi="ar-SA"/>
              </w:rPr>
              <w:t>Плита-марка</w:t>
            </w:r>
          </w:p>
        </w:tc>
        <w:tc>
          <w:tcPr>
            <w:tcW w:w="18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28" w:right="0" w:hanging="0"/>
              <w:contextualSpacing/>
              <w:jc w:val="center"/>
              <w:rPr>
                <w:sz w:val="24"/>
                <w:szCs w:val="24"/>
              </w:rPr>
            </w:pPr>
            <w:r>
              <w:rPr>
                <w:rFonts w:eastAsia="Times New Roman" w:cs="Times New Roman" w:ascii="Times New Roman" w:hAnsi="Times New Roman"/>
                <w:kern w:val="0"/>
                <w:sz w:val="24"/>
                <w:szCs w:val="24"/>
                <w:lang w:val="ru-RU" w:eastAsia="ru-RU" w:bidi="ar-SA"/>
              </w:rPr>
              <w:t>ПЛМ</w:t>
            </w:r>
          </w:p>
        </w:tc>
        <w:tc>
          <w:tcPr>
            <w:tcW w:w="2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28" w:right="0" w:hanging="0"/>
              <w:contextualSpacing/>
              <w:jc w:val="center"/>
              <w:rPr>
                <w:sz w:val="24"/>
                <w:szCs w:val="24"/>
              </w:rPr>
            </w:pPr>
            <w:r>
              <w:rPr>
                <w:rFonts w:eastAsia="Times New Roman" w:cs="Times New Roman" w:ascii="Times New Roman" w:hAnsi="Times New Roman"/>
                <w:kern w:val="0"/>
                <w:sz w:val="24"/>
                <w:szCs w:val="24"/>
                <w:lang w:val="ru-RU" w:eastAsia="ru-RU" w:bidi="ar-SA"/>
              </w:rPr>
              <w:t>4*</w:t>
            </w:r>
          </w:p>
        </w:tc>
      </w:tr>
      <w:tr>
        <w:trPr>
          <w:trHeight w:val="340" w:hRule="atLeast"/>
        </w:trPr>
        <w:tc>
          <w:tcPr>
            <w:tcW w:w="9076"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Задамбовая территория</w:t>
            </w:r>
          </w:p>
        </w:tc>
      </w:tr>
      <w:tr>
        <w:trPr>
          <w:trHeight w:val="340" w:hRule="atLeast"/>
        </w:trPr>
        <w:tc>
          <w:tcPr>
            <w:tcW w:w="45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28" w:right="0" w:hanging="0"/>
              <w:contextualSpacing/>
              <w:jc w:val="center"/>
              <w:rPr>
                <w:sz w:val="24"/>
                <w:szCs w:val="24"/>
              </w:rPr>
            </w:pPr>
            <w:r>
              <w:rPr>
                <w:rFonts w:eastAsia="Times New Roman" w:cs="Times New Roman" w:ascii="Times New Roman" w:hAnsi="Times New Roman"/>
                <w:kern w:val="0"/>
                <w:sz w:val="24"/>
                <w:szCs w:val="24"/>
                <w:lang w:val="ru-RU" w:eastAsia="ru-RU" w:bidi="ar-SA"/>
              </w:rPr>
              <w:t>Пьезометр опускной</w:t>
            </w:r>
          </w:p>
        </w:tc>
        <w:tc>
          <w:tcPr>
            <w:tcW w:w="18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28" w:right="0" w:hanging="0"/>
              <w:contextualSpacing/>
              <w:jc w:val="center"/>
              <w:rPr>
                <w:sz w:val="24"/>
                <w:szCs w:val="24"/>
              </w:rPr>
            </w:pPr>
            <w:r>
              <w:rPr>
                <w:rFonts w:eastAsia="Times New Roman" w:cs="Times New Roman" w:ascii="Times New Roman" w:hAnsi="Times New Roman"/>
                <w:kern w:val="0"/>
                <w:sz w:val="24"/>
                <w:szCs w:val="24"/>
                <w:lang w:val="ru-RU" w:eastAsia="ru-RU" w:bidi="ar-SA"/>
              </w:rPr>
              <w:t>ПО</w:t>
            </w:r>
          </w:p>
        </w:tc>
        <w:tc>
          <w:tcPr>
            <w:tcW w:w="2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28" w:right="0" w:hanging="0"/>
              <w:contextualSpacing/>
              <w:jc w:val="center"/>
              <w:rPr>
                <w:sz w:val="24"/>
                <w:szCs w:val="24"/>
              </w:rPr>
            </w:pPr>
            <w:r>
              <w:rPr>
                <w:rFonts w:eastAsia="Times New Roman" w:cs="Times New Roman" w:ascii="Times New Roman" w:hAnsi="Times New Roman"/>
                <w:kern w:val="0"/>
                <w:sz w:val="24"/>
                <w:szCs w:val="24"/>
                <w:lang w:val="ru-RU" w:eastAsia="ru-RU" w:bidi="ar-SA"/>
              </w:rPr>
              <w:t>21</w:t>
            </w:r>
          </w:p>
        </w:tc>
      </w:tr>
      <w:tr>
        <w:trPr>
          <w:trHeight w:val="340" w:hRule="atLeast"/>
        </w:trPr>
        <w:tc>
          <w:tcPr>
            <w:tcW w:w="637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28" w:right="0" w:hanging="0"/>
              <w:contextualSpacing/>
              <w:jc w:val="right"/>
              <w:rPr>
                <w:sz w:val="24"/>
                <w:szCs w:val="24"/>
              </w:rPr>
            </w:pPr>
            <w:r>
              <w:rPr>
                <w:rFonts w:eastAsia="Times New Roman" w:cs="Times New Roman" w:ascii="Times New Roman" w:hAnsi="Times New Roman"/>
                <w:kern w:val="0"/>
                <w:sz w:val="24"/>
                <w:szCs w:val="24"/>
                <w:lang w:val="ru-RU" w:eastAsia="ru-RU" w:bidi="ar-SA"/>
              </w:rPr>
              <w:t xml:space="preserve">Итого: </w:t>
            </w:r>
          </w:p>
        </w:tc>
        <w:tc>
          <w:tcPr>
            <w:tcW w:w="2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28" w:right="0" w:hanging="0"/>
              <w:contextualSpacing/>
              <w:jc w:val="center"/>
              <w:rPr>
                <w:sz w:val="24"/>
                <w:szCs w:val="24"/>
              </w:rPr>
            </w:pPr>
            <w:r>
              <w:rPr>
                <w:rFonts w:eastAsia="Times New Roman" w:cs="Times New Roman" w:ascii="Times New Roman" w:hAnsi="Times New Roman"/>
                <w:kern w:val="0"/>
                <w:sz w:val="24"/>
                <w:szCs w:val="24"/>
                <w:lang w:val="ru-RU" w:eastAsia="ru-RU" w:bidi="ar-SA"/>
              </w:rPr>
              <w:t>119</w:t>
            </w:r>
          </w:p>
        </w:tc>
      </w:tr>
    </w:tbl>
    <w:p>
      <w:pPr>
        <w:pStyle w:val="Normal"/>
        <w:spacing w:lineRule="auto" w:line="240"/>
        <w:ind w:left="284" w:right="0" w:hanging="0"/>
        <w:rPr>
          <w:rFonts w:ascii="Times New Roman" w:hAnsi="Times New Roman" w:eastAsia="Times New Roman" w:cs="Times New Roman"/>
          <w:sz w:val="24"/>
          <w:szCs w:val="20"/>
          <w:lang w:eastAsia="ru-RU"/>
        </w:rPr>
      </w:pPr>
      <w:r>
        <w:rPr>
          <w:rFonts w:eastAsia="Times New Roman" w:cs="Times New Roman" w:ascii="Times New Roman" w:hAnsi="Times New Roman"/>
          <w:sz w:val="24"/>
          <w:szCs w:val="20"/>
          <w:lang w:eastAsia="ru-RU"/>
        </w:rPr>
        <w:t xml:space="preserve">* - выполнен только </w:t>
      </w:r>
      <w:r>
        <w:rPr>
          <w:rFonts w:eastAsia="Times New Roman" w:cs="Times New Roman" w:ascii="Times New Roman" w:hAnsi="Times New Roman"/>
          <w:sz w:val="24"/>
          <w:szCs w:val="20"/>
          <w:lang w:val="en-US" w:eastAsia="ru-RU"/>
        </w:rPr>
        <w:t>I</w:t>
      </w:r>
      <w:r>
        <w:rPr>
          <w:rFonts w:eastAsia="Times New Roman" w:cs="Times New Roman" w:ascii="Times New Roman" w:hAnsi="Times New Roman"/>
          <w:sz w:val="24"/>
          <w:szCs w:val="20"/>
          <w:lang w:eastAsia="ru-RU"/>
        </w:rPr>
        <w:t xml:space="preserve"> этап по установке опорных плит. </w:t>
      </w:r>
      <w:r>
        <w:rPr>
          <w:rFonts w:eastAsia="Times New Roman" w:cs="Times New Roman" w:ascii="Times New Roman" w:hAnsi="Times New Roman"/>
          <w:sz w:val="24"/>
          <w:szCs w:val="20"/>
          <w:lang w:val="en-US" w:eastAsia="ru-RU"/>
        </w:rPr>
        <w:t>II</w:t>
      </w:r>
      <w:r>
        <w:rPr>
          <w:rFonts w:eastAsia="Times New Roman" w:cs="Times New Roman" w:ascii="Times New Roman" w:hAnsi="Times New Roman"/>
          <w:sz w:val="24"/>
          <w:szCs w:val="20"/>
          <w:lang w:eastAsia="ru-RU"/>
        </w:rPr>
        <w:t xml:space="preserve"> этап – установка измерительных штанг не выполнен по причине строительной неготовности гребня ДВБ.</w:t>
      </w:r>
    </w:p>
    <w:p>
      <w:pPr>
        <w:pStyle w:val="Heading2"/>
        <w:numPr>
          <w:ilvl w:val="0"/>
        </w:numPr>
        <w:ind w:left="0" w:right="0" w:hanging="0"/>
        <w:rPr>
          <w:rFonts w:ascii="Times New Roman" w:hAnsi="Times New Roman"/>
        </w:rPr>
      </w:pPr>
      <w:bookmarkStart w:id="4" w:name="__RefHeading___Toc39866_2889022187"/>
      <w:bookmarkEnd w:id="4"/>
      <w:r>
        <w:rPr>
          <w:rFonts w:ascii="Times New Roman" w:hAnsi="Times New Roman"/>
        </w:rPr>
        <w:t>1</w:t>
      </w:r>
      <w:bookmarkStart w:id="5" w:name="_Toc215650170"/>
      <w:r>
        <w:rPr>
          <w:rFonts w:ascii="Times New Roman" w:hAnsi="Times New Roman"/>
        </w:rPr>
        <w:t>.1.2 Сведения о состоянии КИА, размещённой на сооружениях водоприёмника</w:t>
      </w:r>
      <w:bookmarkEnd w:id="5"/>
    </w:p>
    <w:p>
      <w:pPr>
        <w:pStyle w:val="Normal"/>
        <w:rPr>
          <w:rFonts w:ascii="Times New Roman" w:hAnsi="Times New Roman"/>
          <w:sz w:val="24"/>
        </w:rPr>
      </w:pPr>
      <w:r>
        <w:rPr>
          <w:rFonts w:ascii="Times New Roman" w:hAnsi="Times New Roman"/>
          <w:sz w:val="24"/>
        </w:rPr>
        <w:t>Для контроля состояния сооружений водоприёмника предусмотрена следующая КИА:</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марка поверхностная бетонная (МПБ);</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марка бетонная стеновая (МБС);</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труба-марка (ТМ);</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трёхмарочный щелемер модернизированный (ЩМ);</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обратный отвес (ОО);</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светодальномерный знак (СДЗ);</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водомерная рейка (ВР);</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пьезометр опускной (ПО);</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пьезометр закладной (ПЗ);</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пьезометр закладной напорный (ПЗН);</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преобразователь давления струнный (ПДС);</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преобразователь температуры струнный (ПТС);</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преобразователь силы арматурный струнный (ПСАС);</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преобразователь линейных перемещений струнный (ПЛПС).</w:t>
      </w:r>
    </w:p>
    <w:p>
      <w:pPr>
        <w:pStyle w:val="Normal"/>
        <w:rPr>
          <w:rFonts w:ascii="Times New Roman" w:hAnsi="Times New Roman"/>
          <w:sz w:val="24"/>
        </w:rPr>
      </w:pPr>
      <w:r>
        <w:rPr>
          <w:rFonts w:ascii="Times New Roman" w:hAnsi="Times New Roman"/>
          <w:sz w:val="24"/>
        </w:rPr>
        <w:t>Сведения о количестве и состоянии КИА, на сооружениях водоприёмника, по состоянию на конец 2025 года, представлено в таблице 1.1.2.</w:t>
      </w:r>
    </w:p>
    <w:p>
      <w:pPr>
        <w:pStyle w:val="Normal"/>
        <w:spacing w:lineRule="auto" w:line="240" w:before="0" w:after="120"/>
        <w:ind w:left="0" w:right="0" w:hanging="0"/>
        <w:rPr>
          <w:rFonts w:ascii="Times New Roman" w:hAnsi="Times New Roman"/>
          <w:sz w:val="24"/>
        </w:rPr>
      </w:pPr>
      <w:r>
        <w:rPr>
          <w:rFonts w:ascii="Times New Roman" w:hAnsi="Times New Roman"/>
          <w:sz w:val="24"/>
        </w:rPr>
        <w:t>Таблица 1.1.2 – Сведения о количестве и состоянию КИА на сооружениях водоприёмника</w:t>
      </w:r>
    </w:p>
    <w:tbl>
      <w:tblPr>
        <w:tblW w:w="9303" w:type="dxa"/>
        <w:jc w:val="left"/>
        <w:tblInd w:w="-147" w:type="dxa"/>
        <w:tblLayout w:type="fixed"/>
        <w:tblCellMar>
          <w:top w:w="0" w:type="dxa"/>
          <w:left w:w="5" w:type="dxa"/>
          <w:bottom w:w="0" w:type="dxa"/>
          <w:right w:w="5" w:type="dxa"/>
        </w:tblCellMar>
      </w:tblPr>
      <w:tblGrid>
        <w:gridCol w:w="1401"/>
        <w:gridCol w:w="2345"/>
        <w:gridCol w:w="3683"/>
        <w:gridCol w:w="1071"/>
        <w:gridCol w:w="803"/>
      </w:tblGrid>
      <w:tr>
        <w:trPr>
          <w:tblHeader w:val="true"/>
          <w:trHeight w:val="449" w:hRule="atLeast"/>
        </w:trPr>
        <w:tc>
          <w:tcPr>
            <w:tcW w:w="140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Наимено-</w:t>
            </w:r>
          </w:p>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вание объекта</w:t>
            </w:r>
          </w:p>
        </w:tc>
        <w:tc>
          <w:tcPr>
            <w:tcW w:w="7099" w:type="dxa"/>
            <w:gridSpan w:val="3"/>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Наименование КИА</w:t>
            </w:r>
          </w:p>
        </w:tc>
        <w:tc>
          <w:tcPr>
            <w:tcW w:w="80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Кол-во КИА</w:t>
            </w:r>
          </w:p>
        </w:tc>
      </w:tr>
      <w:tr>
        <w:trPr>
          <w:tblHeader w:val="true"/>
          <w:trHeight w:val="1578" w:hRule="atLeast"/>
          <w:cantSplit w:val="true"/>
        </w:trPr>
        <w:tc>
          <w:tcPr>
            <w:tcW w:w="1401" w:type="dxa"/>
            <w:vMerge w:val="continu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2345" w:type="dxa"/>
            <w:tcBorders>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w:t>
            </w:r>
          </w:p>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функциональному назначению</w:t>
            </w:r>
          </w:p>
        </w:tc>
        <w:tc>
          <w:tcPr>
            <w:tcW w:w="3683" w:type="dxa"/>
            <w:tcBorders>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полное</w:t>
            </w:r>
          </w:p>
        </w:tc>
        <w:tc>
          <w:tcPr>
            <w:tcW w:w="1071" w:type="dxa"/>
            <w:tcBorders>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сокра-щённое</w:t>
            </w:r>
          </w:p>
        </w:tc>
        <w:tc>
          <w:tcPr>
            <w:tcW w:w="803" w:type="dxa"/>
            <w:tcBorders>
              <w:bottom w:val="single" w:sz="4" w:space="0" w:color="000000"/>
              <w:right w:val="single" w:sz="4" w:space="0" w:color="000000"/>
            </w:tcBorders>
            <w:vAlign w:val="center"/>
          </w:tcPr>
          <w:p>
            <w:pPr>
              <w:pStyle w:val="Normal"/>
              <w:widowControl w:val="false"/>
              <w:spacing w:lineRule="auto" w:line="240"/>
              <w:ind w:left="113" w:right="113"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установ-ле</w:t>
            </w:r>
            <w:r>
              <w:rPr>
                <w:rFonts w:eastAsia="Times New Roman" w:cs="Times New Roman" w:ascii="Times New Roman" w:hAnsi="Times New Roman"/>
                <w:color w:val="auto"/>
                <w:kern w:val="0"/>
                <w:sz w:val="24"/>
                <w:szCs w:val="24"/>
                <w:lang w:val="ru-RU" w:eastAsia="ru-RU" w:bidi="ar-SA"/>
              </w:rPr>
              <w:t>нное</w:t>
            </w:r>
          </w:p>
        </w:tc>
      </w:tr>
      <w:tr>
        <w:trPr>
          <w:trHeight w:val="345" w:hRule="atLeast"/>
        </w:trPr>
        <w:tc>
          <w:tcPr>
            <w:tcW w:w="140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Здание водоприём-ника</w:t>
            </w:r>
          </w:p>
        </w:tc>
        <w:tc>
          <w:tcPr>
            <w:tcW w:w="2345"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КИА за осадками и перемеще-ниями</w:t>
            </w:r>
          </w:p>
        </w:tc>
        <w:tc>
          <w:tcPr>
            <w:tcW w:w="3683" w:type="dxa"/>
            <w:tcBorders>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Марка поверхностная бетонная</w:t>
            </w:r>
          </w:p>
        </w:tc>
        <w:tc>
          <w:tcPr>
            <w:tcW w:w="1071" w:type="dxa"/>
            <w:tcBorders>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МПБ</w:t>
            </w:r>
          </w:p>
        </w:tc>
        <w:tc>
          <w:tcPr>
            <w:tcW w:w="803" w:type="dxa"/>
            <w:tcBorders>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30</w:t>
            </w:r>
          </w:p>
        </w:tc>
      </w:tr>
      <w:tr>
        <w:trPr>
          <w:trHeight w:val="353" w:hRule="atLeast"/>
        </w:trPr>
        <w:tc>
          <w:tcPr>
            <w:tcW w:w="1401" w:type="dxa"/>
            <w:vMerge w:val="continu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2345" w:type="dxa"/>
            <w:vMerge w:val="continu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3683" w:type="dxa"/>
            <w:tcBorders>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Марка бетонная стеновая</w:t>
            </w:r>
          </w:p>
        </w:tc>
        <w:tc>
          <w:tcPr>
            <w:tcW w:w="1071" w:type="dxa"/>
            <w:tcBorders>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МБС</w:t>
            </w:r>
          </w:p>
        </w:tc>
        <w:tc>
          <w:tcPr>
            <w:tcW w:w="803" w:type="dxa"/>
            <w:tcBorders>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5*</w:t>
            </w:r>
          </w:p>
        </w:tc>
      </w:tr>
      <w:tr>
        <w:trPr>
          <w:trHeight w:val="161" w:hRule="atLeast"/>
        </w:trPr>
        <w:tc>
          <w:tcPr>
            <w:tcW w:w="1401" w:type="dxa"/>
            <w:vMerge w:val="continu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2345" w:type="dxa"/>
            <w:vMerge w:val="continu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368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Труба-марка</w:t>
            </w:r>
          </w:p>
        </w:tc>
        <w:tc>
          <w:tcPr>
            <w:tcW w:w="1071"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ТМ</w:t>
            </w:r>
          </w:p>
        </w:tc>
        <w:tc>
          <w:tcPr>
            <w:tcW w:w="80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6</w:t>
            </w:r>
          </w:p>
        </w:tc>
      </w:tr>
      <w:tr>
        <w:trPr>
          <w:trHeight w:val="630" w:hRule="atLeast"/>
        </w:trPr>
        <w:tc>
          <w:tcPr>
            <w:tcW w:w="1401" w:type="dxa"/>
            <w:vMerge w:val="continu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2345" w:type="dxa"/>
            <w:vMerge w:val="continu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3683" w:type="dxa"/>
            <w:tcBorders>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Трёхмарочный щелемер модернизированный</w:t>
            </w:r>
          </w:p>
        </w:tc>
        <w:tc>
          <w:tcPr>
            <w:tcW w:w="1071" w:type="dxa"/>
            <w:tcBorders>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ЩМ</w:t>
            </w:r>
          </w:p>
        </w:tc>
        <w:tc>
          <w:tcPr>
            <w:tcW w:w="803" w:type="dxa"/>
            <w:tcBorders>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22</w:t>
            </w:r>
          </w:p>
        </w:tc>
      </w:tr>
      <w:tr>
        <w:trPr>
          <w:trHeight w:val="223" w:hRule="atLeast"/>
        </w:trPr>
        <w:tc>
          <w:tcPr>
            <w:tcW w:w="1401" w:type="dxa"/>
            <w:vMerge w:val="continu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2345" w:type="dxa"/>
            <w:vMerge w:val="continu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368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Обратный отвес</w:t>
            </w:r>
          </w:p>
        </w:tc>
        <w:tc>
          <w:tcPr>
            <w:tcW w:w="1071"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ОО</w:t>
            </w:r>
          </w:p>
        </w:tc>
        <w:tc>
          <w:tcPr>
            <w:tcW w:w="80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w:t>
            </w:r>
          </w:p>
        </w:tc>
      </w:tr>
      <w:tr>
        <w:trPr>
          <w:trHeight w:val="324" w:hRule="atLeast"/>
        </w:trPr>
        <w:tc>
          <w:tcPr>
            <w:tcW w:w="1401" w:type="dxa"/>
            <w:vMerge w:val="continu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2345" w:type="dxa"/>
            <w:vMerge w:val="continu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368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Светодальномерный знак</w:t>
            </w:r>
          </w:p>
        </w:tc>
        <w:tc>
          <w:tcPr>
            <w:tcW w:w="1071"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СДЗ</w:t>
            </w:r>
          </w:p>
        </w:tc>
        <w:tc>
          <w:tcPr>
            <w:tcW w:w="80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w:t>
            </w:r>
          </w:p>
        </w:tc>
      </w:tr>
      <w:tr>
        <w:trPr>
          <w:trHeight w:val="448" w:hRule="atLeast"/>
        </w:trPr>
        <w:tc>
          <w:tcPr>
            <w:tcW w:w="1401" w:type="dxa"/>
            <w:vMerge w:val="continu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2345"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КИА фильтраци-онного режима</w:t>
            </w:r>
          </w:p>
        </w:tc>
        <w:tc>
          <w:tcPr>
            <w:tcW w:w="368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Преобразователь давления струнный</w:t>
            </w:r>
          </w:p>
        </w:tc>
        <w:tc>
          <w:tcPr>
            <w:tcW w:w="1071"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ПДС</w:t>
            </w:r>
          </w:p>
        </w:tc>
        <w:tc>
          <w:tcPr>
            <w:tcW w:w="80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16</w:t>
            </w:r>
          </w:p>
        </w:tc>
      </w:tr>
      <w:tr>
        <w:trPr>
          <w:trHeight w:val="246" w:hRule="atLeast"/>
        </w:trPr>
        <w:tc>
          <w:tcPr>
            <w:tcW w:w="1401" w:type="dxa"/>
            <w:vMerge w:val="continu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2345" w:type="dxa"/>
            <w:vMerge w:val="continu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368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Пьезометр закладной напорный</w:t>
            </w:r>
          </w:p>
        </w:tc>
        <w:tc>
          <w:tcPr>
            <w:tcW w:w="1071"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ПЗН</w:t>
            </w:r>
          </w:p>
        </w:tc>
        <w:tc>
          <w:tcPr>
            <w:tcW w:w="80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8</w:t>
            </w:r>
          </w:p>
        </w:tc>
      </w:tr>
      <w:tr>
        <w:trPr>
          <w:trHeight w:val="184" w:hRule="atLeast"/>
        </w:trPr>
        <w:tc>
          <w:tcPr>
            <w:tcW w:w="1401" w:type="dxa"/>
            <w:vMerge w:val="continu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2345" w:type="dxa"/>
            <w:vMerge w:val="continu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368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Водомерная рейка</w:t>
            </w:r>
          </w:p>
        </w:tc>
        <w:tc>
          <w:tcPr>
            <w:tcW w:w="1071"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ВР</w:t>
            </w:r>
          </w:p>
        </w:tc>
        <w:tc>
          <w:tcPr>
            <w:tcW w:w="80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r>
      <w:tr>
        <w:trPr>
          <w:trHeight w:val="623" w:hRule="atLeast"/>
        </w:trPr>
        <w:tc>
          <w:tcPr>
            <w:tcW w:w="1401" w:type="dxa"/>
            <w:vMerge w:val="continu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2345"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КИА напряжённо-деформиро-ванного состояния</w:t>
            </w:r>
          </w:p>
        </w:tc>
        <w:tc>
          <w:tcPr>
            <w:tcW w:w="368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Преобразователь температуры струнный</w:t>
            </w:r>
          </w:p>
        </w:tc>
        <w:tc>
          <w:tcPr>
            <w:tcW w:w="1071"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ПТС</w:t>
            </w:r>
          </w:p>
        </w:tc>
        <w:tc>
          <w:tcPr>
            <w:tcW w:w="80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33</w:t>
            </w:r>
          </w:p>
        </w:tc>
      </w:tr>
      <w:tr>
        <w:trPr>
          <w:trHeight w:val="494" w:hRule="atLeast"/>
        </w:trPr>
        <w:tc>
          <w:tcPr>
            <w:tcW w:w="1401" w:type="dxa"/>
            <w:vMerge w:val="continu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2345" w:type="dxa"/>
            <w:vMerge w:val="continu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368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Преобразователь силы арматурный струнный</w:t>
            </w:r>
          </w:p>
        </w:tc>
        <w:tc>
          <w:tcPr>
            <w:tcW w:w="1071"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ПСАС</w:t>
            </w:r>
          </w:p>
        </w:tc>
        <w:tc>
          <w:tcPr>
            <w:tcW w:w="80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77</w:t>
            </w:r>
          </w:p>
        </w:tc>
      </w:tr>
      <w:tr>
        <w:trPr>
          <w:trHeight w:val="553" w:hRule="atLeast"/>
        </w:trPr>
        <w:tc>
          <w:tcPr>
            <w:tcW w:w="1401" w:type="dxa"/>
            <w:vMerge w:val="continu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2345" w:type="dxa"/>
            <w:vMerge w:val="continu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368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Преобразователь линейных перемещений струнный</w:t>
            </w:r>
          </w:p>
        </w:tc>
        <w:tc>
          <w:tcPr>
            <w:tcW w:w="1071"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ПЛПС</w:t>
            </w:r>
          </w:p>
        </w:tc>
        <w:tc>
          <w:tcPr>
            <w:tcW w:w="80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6</w:t>
            </w:r>
          </w:p>
        </w:tc>
      </w:tr>
      <w:tr>
        <w:trPr>
          <w:trHeight w:val="506" w:hRule="atLeast"/>
        </w:trPr>
        <w:tc>
          <w:tcPr>
            <w:tcW w:w="1401" w:type="dxa"/>
            <w:vMerge w:val="continu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2345" w:type="dxa"/>
            <w:vMerge w:val="continu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368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Преобразователь линейных деформаций струнный</w:t>
            </w:r>
          </w:p>
        </w:tc>
        <w:tc>
          <w:tcPr>
            <w:tcW w:w="1071"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ПЛДС</w:t>
            </w:r>
          </w:p>
        </w:tc>
        <w:tc>
          <w:tcPr>
            <w:tcW w:w="80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9</w:t>
            </w:r>
          </w:p>
        </w:tc>
      </w:tr>
      <w:tr>
        <w:trPr>
          <w:trHeight w:val="747" w:hRule="atLeast"/>
        </w:trPr>
        <w:tc>
          <w:tcPr>
            <w:tcW w:w="1401"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Понур</w:t>
            </w:r>
          </w:p>
        </w:tc>
        <w:tc>
          <w:tcPr>
            <w:tcW w:w="2345"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КИА фильтраци-онного режима</w:t>
            </w:r>
          </w:p>
        </w:tc>
        <w:tc>
          <w:tcPr>
            <w:tcW w:w="368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Преобразователь давления струнный</w:t>
            </w:r>
          </w:p>
        </w:tc>
        <w:tc>
          <w:tcPr>
            <w:tcW w:w="1071"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ПДС</w:t>
            </w:r>
          </w:p>
        </w:tc>
        <w:tc>
          <w:tcPr>
            <w:tcW w:w="80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12</w:t>
            </w:r>
          </w:p>
        </w:tc>
      </w:tr>
      <w:tr>
        <w:trPr>
          <w:trHeight w:val="1200" w:hRule="atLeast"/>
        </w:trPr>
        <w:tc>
          <w:tcPr>
            <w:tcW w:w="1401" w:type="dxa"/>
            <w:vMerge w:val="continue"/>
            <w:tcBorders>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2345" w:type="dxa"/>
            <w:vMerge w:val="restart"/>
            <w:tcBorders>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КИА напряжённо-деформиро-ванного состояния</w:t>
            </w:r>
          </w:p>
        </w:tc>
        <w:tc>
          <w:tcPr>
            <w:tcW w:w="3683" w:type="dxa"/>
            <w:tcBorders>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Преобразователь температуры струнный</w:t>
            </w:r>
          </w:p>
        </w:tc>
        <w:tc>
          <w:tcPr>
            <w:tcW w:w="1071" w:type="dxa"/>
            <w:tcBorders>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ПТС</w:t>
            </w:r>
          </w:p>
        </w:tc>
        <w:tc>
          <w:tcPr>
            <w:tcW w:w="803" w:type="dxa"/>
            <w:tcBorders>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16</w:t>
            </w:r>
          </w:p>
        </w:tc>
      </w:tr>
      <w:tr>
        <w:trPr>
          <w:trHeight w:val="572" w:hRule="atLeast"/>
        </w:trPr>
        <w:tc>
          <w:tcPr>
            <w:tcW w:w="1401" w:type="dxa"/>
            <w:vMerge w:val="continue"/>
            <w:tcBorders>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2345" w:type="dxa"/>
            <w:vMerge w:val="continue"/>
            <w:tcBorders>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3683" w:type="dxa"/>
            <w:tcBorders>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Преобразователь линейных перемещений струнный</w:t>
            </w:r>
          </w:p>
        </w:tc>
        <w:tc>
          <w:tcPr>
            <w:tcW w:w="1071" w:type="dxa"/>
            <w:tcBorders>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ПЛПС</w:t>
            </w:r>
          </w:p>
        </w:tc>
        <w:tc>
          <w:tcPr>
            <w:tcW w:w="803" w:type="dxa"/>
            <w:tcBorders>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12</w:t>
            </w:r>
          </w:p>
        </w:tc>
      </w:tr>
      <w:tr>
        <w:trPr>
          <w:trHeight w:val="814" w:hRule="atLeast"/>
        </w:trPr>
        <w:tc>
          <w:tcPr>
            <w:tcW w:w="1401"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Верхние подпор-ные стены</w:t>
            </w:r>
          </w:p>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ПВ</w:t>
              <w:noBreakHyphen/>
              <w:t>1… ПВ-4 и</w:t>
            </w:r>
          </w:p>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ЛВ</w:t>
              <w:noBreakHyphen/>
              <w:t>1… ЛВ</w:t>
              <w:noBreakHyphen/>
              <w:t>4</w:t>
            </w:r>
          </w:p>
        </w:tc>
        <w:tc>
          <w:tcPr>
            <w:tcW w:w="2345"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КИА фильтраци-онного режима</w:t>
            </w:r>
          </w:p>
        </w:tc>
        <w:tc>
          <w:tcPr>
            <w:tcW w:w="368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Преобразователь давления струнный</w:t>
            </w:r>
          </w:p>
        </w:tc>
        <w:tc>
          <w:tcPr>
            <w:tcW w:w="1071"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ПДС</w:t>
            </w:r>
          </w:p>
        </w:tc>
        <w:tc>
          <w:tcPr>
            <w:tcW w:w="80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40</w:t>
            </w:r>
          </w:p>
        </w:tc>
      </w:tr>
      <w:tr>
        <w:trPr>
          <w:trHeight w:val="610" w:hRule="atLeast"/>
        </w:trPr>
        <w:tc>
          <w:tcPr>
            <w:tcW w:w="1401" w:type="dxa"/>
            <w:vMerge w:val="continu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2345"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КИА напряжённо-деформиро-ванного состояния</w:t>
            </w:r>
          </w:p>
        </w:tc>
        <w:tc>
          <w:tcPr>
            <w:tcW w:w="368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Преобразователь температуры струнный</w:t>
            </w:r>
          </w:p>
        </w:tc>
        <w:tc>
          <w:tcPr>
            <w:tcW w:w="1071"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ПТС</w:t>
            </w:r>
          </w:p>
        </w:tc>
        <w:tc>
          <w:tcPr>
            <w:tcW w:w="80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29</w:t>
            </w:r>
          </w:p>
        </w:tc>
      </w:tr>
      <w:tr>
        <w:trPr>
          <w:trHeight w:val="618" w:hRule="atLeast"/>
        </w:trPr>
        <w:tc>
          <w:tcPr>
            <w:tcW w:w="1401" w:type="dxa"/>
            <w:vMerge w:val="continu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2345" w:type="dxa"/>
            <w:vMerge w:val="continu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368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Преобразователь силы арматурный струнный</w:t>
            </w:r>
          </w:p>
        </w:tc>
        <w:tc>
          <w:tcPr>
            <w:tcW w:w="1071"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ПСАС</w:t>
            </w:r>
          </w:p>
        </w:tc>
        <w:tc>
          <w:tcPr>
            <w:tcW w:w="80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w:t>
            </w:r>
          </w:p>
        </w:tc>
      </w:tr>
      <w:tr>
        <w:trPr>
          <w:trHeight w:val="1260" w:hRule="atLeast"/>
        </w:trPr>
        <w:tc>
          <w:tcPr>
            <w:tcW w:w="1401"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lang w:eastAsia="ru-RU"/>
              </w:rPr>
            </w:pPr>
            <w:r>
              <w:rPr>
                <w:rFonts w:eastAsia="Times New Roman" w:cs="Times New Roman" w:ascii="Times New Roman" w:hAnsi="Times New Roman"/>
                <w:sz w:val="24"/>
                <w:lang w:eastAsia="ru-RU"/>
              </w:rPr>
              <w:t>Верхние подпор-ные стены</w:t>
            </w:r>
          </w:p>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lang w:eastAsia="ru-RU"/>
              </w:rPr>
              <w:t>ПВ</w:t>
              <w:noBreakHyphen/>
              <w:t>1… ПВ</w:t>
              <w:noBreakHyphen/>
              <w:t>4 и ЛВ</w:t>
              <w:noBreakHyphen/>
              <w:t>1… ЛВ</w:t>
              <w:noBreakHyphen/>
              <w:t>4</w:t>
            </w:r>
          </w:p>
        </w:tc>
        <w:tc>
          <w:tcPr>
            <w:tcW w:w="234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КИА напряжённо-деформиро-ванного состояния</w:t>
            </w:r>
          </w:p>
        </w:tc>
        <w:tc>
          <w:tcPr>
            <w:tcW w:w="368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Преобразователь линейных перемещений струнный</w:t>
            </w:r>
          </w:p>
        </w:tc>
        <w:tc>
          <w:tcPr>
            <w:tcW w:w="1071"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ПЛПС</w:t>
            </w:r>
          </w:p>
        </w:tc>
        <w:tc>
          <w:tcPr>
            <w:tcW w:w="80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4</w:t>
            </w:r>
          </w:p>
        </w:tc>
      </w:tr>
      <w:tr>
        <w:trPr>
          <w:trHeight w:val="367" w:hRule="atLeast"/>
        </w:trPr>
        <w:tc>
          <w:tcPr>
            <w:tcW w:w="1401" w:type="dxa"/>
            <w:vMerge w:val="restart"/>
            <w:tcBorders>
              <w:top w:val="single" w:sz="4" w:space="0" w:color="000000"/>
              <w:left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Нижние подпор-ные стены</w:t>
            </w:r>
          </w:p>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ПН</w:t>
              <w:noBreakHyphen/>
              <w:t>1… ПН</w:t>
              <w:noBreakHyphen/>
              <w:t>5 и ЛН</w:t>
              <w:noBreakHyphen/>
              <w:t>1… ЛН</w:t>
              <w:noBreakHyphen/>
              <w:t>5</w:t>
            </w:r>
          </w:p>
        </w:tc>
        <w:tc>
          <w:tcPr>
            <w:tcW w:w="2345"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КИА за осадками и перемещениями</w:t>
            </w:r>
          </w:p>
        </w:tc>
        <w:tc>
          <w:tcPr>
            <w:tcW w:w="368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Марка поверхностная бетонная</w:t>
            </w:r>
          </w:p>
        </w:tc>
        <w:tc>
          <w:tcPr>
            <w:tcW w:w="1071"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МПБ</w:t>
            </w:r>
          </w:p>
        </w:tc>
        <w:tc>
          <w:tcPr>
            <w:tcW w:w="80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val="en-US" w:eastAsia="ru-RU"/>
              </w:rPr>
            </w:pPr>
            <w:r>
              <w:rPr>
                <w:rFonts w:eastAsia="Times New Roman" w:cs="Times New Roman" w:ascii="Times New Roman" w:hAnsi="Times New Roman"/>
                <w:sz w:val="24"/>
                <w:szCs w:val="24"/>
                <w:lang w:val="en-US" w:eastAsia="ru-RU"/>
              </w:rPr>
              <w:t>20</w:t>
            </w:r>
          </w:p>
        </w:tc>
      </w:tr>
      <w:tr>
        <w:trPr>
          <w:trHeight w:val="752" w:hRule="atLeast"/>
        </w:trPr>
        <w:tc>
          <w:tcPr>
            <w:tcW w:w="1401" w:type="dxa"/>
            <w:vMerge w:val="continue"/>
            <w:tcBorders>
              <w:left w:val="single" w:sz="4" w:space="0" w:color="000000"/>
              <w:right w:val="single" w:sz="4" w:space="0" w:color="000000"/>
            </w:tcBorders>
            <w:tcMar>
              <w:left w:w="108" w:type="dxa"/>
              <w:right w:w="108" w:type="dxa"/>
            </w:tcMar>
            <w:vAlign w:val="center"/>
          </w:tcPr>
          <w:p>
            <w:pPr>
              <w:pStyle w:val="Normal"/>
              <w:widowControl w:val="false"/>
              <w:rPr/>
            </w:pPr>
            <w:r>
              <w:rPr/>
            </w:r>
          </w:p>
        </w:tc>
        <w:tc>
          <w:tcPr>
            <w:tcW w:w="2345" w:type="dxa"/>
            <w:vMerge w:val="continu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368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Трёхмарочный щелемер модернизированный</w:t>
            </w:r>
          </w:p>
        </w:tc>
        <w:tc>
          <w:tcPr>
            <w:tcW w:w="1071"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ЩМ</w:t>
            </w:r>
          </w:p>
        </w:tc>
        <w:tc>
          <w:tcPr>
            <w:tcW w:w="80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10</w:t>
            </w:r>
          </w:p>
        </w:tc>
      </w:tr>
      <w:tr>
        <w:trPr>
          <w:trHeight w:val="549" w:hRule="atLeast"/>
        </w:trPr>
        <w:tc>
          <w:tcPr>
            <w:tcW w:w="1401" w:type="dxa"/>
            <w:vMerge w:val="continue"/>
            <w:tcBorders>
              <w:left w:val="single" w:sz="4" w:space="0" w:color="000000"/>
              <w:right w:val="single" w:sz="4" w:space="0" w:color="000000"/>
            </w:tcBorders>
            <w:tcMar>
              <w:left w:w="108" w:type="dxa"/>
              <w:right w:w="108" w:type="dxa"/>
            </w:tcMar>
            <w:vAlign w:val="center"/>
          </w:tcPr>
          <w:p>
            <w:pPr>
              <w:pStyle w:val="Normal"/>
              <w:widowControl w:val="false"/>
              <w:rPr/>
            </w:pPr>
            <w:r>
              <w:rPr/>
            </w:r>
          </w:p>
        </w:tc>
        <w:tc>
          <w:tcPr>
            <w:tcW w:w="2345" w:type="dxa"/>
            <w:tcBorders>
              <w:top w:val="single" w:sz="4" w:space="0" w:color="000000"/>
              <w:left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КИА фильтраци-онного режима</w:t>
            </w:r>
          </w:p>
        </w:tc>
        <w:tc>
          <w:tcPr>
            <w:tcW w:w="368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Преобразователь давления струнный</w:t>
            </w:r>
          </w:p>
        </w:tc>
        <w:tc>
          <w:tcPr>
            <w:tcW w:w="1071"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ПДС</w:t>
            </w:r>
          </w:p>
        </w:tc>
        <w:tc>
          <w:tcPr>
            <w:tcW w:w="80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16</w:t>
            </w:r>
          </w:p>
        </w:tc>
      </w:tr>
      <w:tr>
        <w:trPr>
          <w:trHeight w:val="405" w:hRule="atLeast"/>
        </w:trPr>
        <w:tc>
          <w:tcPr>
            <w:tcW w:w="1401"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Нижние подпор-ные стены</w:t>
            </w:r>
          </w:p>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ПН</w:t>
              <w:noBreakHyphen/>
              <w:t>1… ПН</w:t>
              <w:noBreakHyphen/>
              <w:t>5 и ЛН</w:t>
              <w:noBreakHyphen/>
              <w:t>1… ЛН</w:t>
              <w:noBreakHyphen/>
              <w:t>5</w:t>
            </w:r>
          </w:p>
        </w:tc>
        <w:tc>
          <w:tcPr>
            <w:tcW w:w="2345"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КИА напряжённо-деформиро-ванного состояния</w:t>
            </w:r>
          </w:p>
        </w:tc>
        <w:tc>
          <w:tcPr>
            <w:tcW w:w="368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Преобразователь температуры струнный</w:t>
            </w:r>
          </w:p>
        </w:tc>
        <w:tc>
          <w:tcPr>
            <w:tcW w:w="1071"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ПТС</w:t>
            </w:r>
          </w:p>
        </w:tc>
        <w:tc>
          <w:tcPr>
            <w:tcW w:w="80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25</w:t>
            </w:r>
          </w:p>
        </w:tc>
      </w:tr>
      <w:tr>
        <w:trPr>
          <w:trHeight w:val="495" w:hRule="atLeast"/>
        </w:trPr>
        <w:tc>
          <w:tcPr>
            <w:tcW w:w="1401" w:type="dxa"/>
            <w:vMerge w:val="continue"/>
            <w:tcBorders>
              <w:left w:val="single" w:sz="4" w:space="0" w:color="000000"/>
              <w:right w:val="single" w:sz="4" w:space="0" w:color="000000"/>
            </w:tcBorders>
            <w:tcMar>
              <w:left w:w="108" w:type="dxa"/>
              <w:right w:w="108" w:type="dxa"/>
            </w:tcMar>
            <w:vAlign w:val="center"/>
          </w:tcPr>
          <w:p>
            <w:pPr>
              <w:pStyle w:val="Normal"/>
              <w:widowControl w:val="false"/>
              <w:rPr/>
            </w:pPr>
            <w:r>
              <w:rPr/>
            </w:r>
          </w:p>
        </w:tc>
        <w:tc>
          <w:tcPr>
            <w:tcW w:w="2345" w:type="dxa"/>
            <w:vMerge w:val="continue"/>
            <w:tcBorders>
              <w:left w:val="single" w:sz="4" w:space="0" w:color="000000"/>
              <w:right w:val="single" w:sz="4" w:space="0" w:color="000000"/>
            </w:tcBorders>
            <w:tcMar>
              <w:left w:w="108" w:type="dxa"/>
              <w:right w:w="108" w:type="dxa"/>
            </w:tcMar>
            <w:vAlign w:val="center"/>
          </w:tcPr>
          <w:p>
            <w:pPr>
              <w:pStyle w:val="Normal"/>
              <w:widowControl w:val="false"/>
              <w:rPr/>
            </w:pPr>
            <w:r>
              <w:rPr/>
            </w:r>
          </w:p>
        </w:tc>
        <w:tc>
          <w:tcPr>
            <w:tcW w:w="368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Преобразователь силы арматурный струнный</w:t>
            </w:r>
          </w:p>
        </w:tc>
        <w:tc>
          <w:tcPr>
            <w:tcW w:w="1071"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ПСАС</w:t>
            </w:r>
          </w:p>
        </w:tc>
        <w:tc>
          <w:tcPr>
            <w:tcW w:w="80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31</w:t>
            </w:r>
          </w:p>
        </w:tc>
      </w:tr>
      <w:tr>
        <w:trPr>
          <w:trHeight w:val="743" w:hRule="atLeast"/>
        </w:trPr>
        <w:tc>
          <w:tcPr>
            <w:tcW w:w="1401" w:type="dxa"/>
            <w:vMerge w:val="continue"/>
            <w:tcBorders>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2345" w:type="dxa"/>
            <w:vMerge w:val="continue"/>
            <w:tcBorders>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368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Преобразователь линейных перемещений струнный</w:t>
            </w:r>
          </w:p>
        </w:tc>
        <w:tc>
          <w:tcPr>
            <w:tcW w:w="1071"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ПЛПС</w:t>
            </w:r>
          </w:p>
        </w:tc>
        <w:tc>
          <w:tcPr>
            <w:tcW w:w="80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8</w:t>
            </w:r>
          </w:p>
        </w:tc>
      </w:tr>
      <w:tr>
        <w:trPr>
          <w:trHeight w:val="730" w:hRule="atLeast"/>
        </w:trPr>
        <w:tc>
          <w:tcPr>
            <w:tcW w:w="1401" w:type="dxa"/>
            <w:vMerge w:val="restart"/>
            <w:tcBorders>
              <w:top w:val="single" w:sz="4" w:space="0" w:color="000000"/>
              <w:left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Подпор-ные стены </w:t>
            </w:r>
          </w:p>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II-ого</w:t>
            </w:r>
          </w:p>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яруса</w:t>
            </w:r>
          </w:p>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ПС</w:t>
              <w:noBreakHyphen/>
              <w:t>1… ПС</w:t>
              <w:noBreakHyphen/>
              <w:t>3 и ЛС</w:t>
              <w:noBreakHyphen/>
              <w:t>1… ЛС</w:t>
              <w:noBreakHyphen/>
              <w:t>3</w:t>
            </w:r>
          </w:p>
        </w:tc>
        <w:tc>
          <w:tcPr>
            <w:tcW w:w="2345"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КИА за осадками и перемещени-ями</w:t>
            </w:r>
          </w:p>
        </w:tc>
        <w:tc>
          <w:tcPr>
            <w:tcW w:w="368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Трёхмарочный щелемер модернизированный</w:t>
            </w:r>
          </w:p>
        </w:tc>
        <w:tc>
          <w:tcPr>
            <w:tcW w:w="1071"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ЩМ</w:t>
            </w:r>
          </w:p>
        </w:tc>
        <w:tc>
          <w:tcPr>
            <w:tcW w:w="80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12</w:t>
            </w:r>
          </w:p>
        </w:tc>
      </w:tr>
      <w:tr>
        <w:trPr>
          <w:trHeight w:val="315" w:hRule="atLeast"/>
        </w:trPr>
        <w:tc>
          <w:tcPr>
            <w:tcW w:w="1401" w:type="dxa"/>
            <w:vMerge w:val="continu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2345" w:type="dxa"/>
            <w:vMerge w:val="restart"/>
            <w:tcBorders>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КИА фильтраци-онного режима</w:t>
            </w:r>
          </w:p>
        </w:tc>
        <w:tc>
          <w:tcPr>
            <w:tcW w:w="3683" w:type="dxa"/>
            <w:tcBorders>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Пьезометр закладной</w:t>
            </w:r>
          </w:p>
        </w:tc>
        <w:tc>
          <w:tcPr>
            <w:tcW w:w="1071" w:type="dxa"/>
            <w:tcBorders>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ПЗ</w:t>
            </w:r>
          </w:p>
        </w:tc>
        <w:tc>
          <w:tcPr>
            <w:tcW w:w="803" w:type="dxa"/>
            <w:tcBorders>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12</w:t>
            </w:r>
          </w:p>
        </w:tc>
      </w:tr>
      <w:tr>
        <w:trPr>
          <w:trHeight w:val="630" w:hRule="atLeast"/>
        </w:trPr>
        <w:tc>
          <w:tcPr>
            <w:tcW w:w="1401" w:type="dxa"/>
            <w:vMerge w:val="continue"/>
            <w:tcBorders>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2345" w:type="dxa"/>
            <w:vMerge w:val="continue"/>
            <w:tcBorders>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3683" w:type="dxa"/>
            <w:tcBorders>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Преобразователь давления струнный</w:t>
            </w:r>
          </w:p>
        </w:tc>
        <w:tc>
          <w:tcPr>
            <w:tcW w:w="1071" w:type="dxa"/>
            <w:tcBorders>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ПДС</w:t>
            </w:r>
          </w:p>
        </w:tc>
        <w:tc>
          <w:tcPr>
            <w:tcW w:w="803" w:type="dxa"/>
            <w:tcBorders>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36</w:t>
            </w:r>
          </w:p>
        </w:tc>
      </w:tr>
      <w:tr>
        <w:trPr>
          <w:trHeight w:val="799" w:hRule="atLeast"/>
        </w:trPr>
        <w:tc>
          <w:tcPr>
            <w:tcW w:w="1401" w:type="dxa"/>
            <w:vMerge w:val="continue"/>
            <w:tcBorders>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2345"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КИА напряженно-деформиро-ванного состояния</w:t>
            </w:r>
          </w:p>
        </w:tc>
        <w:tc>
          <w:tcPr>
            <w:tcW w:w="368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Преобразователь температуры струнный</w:t>
            </w:r>
          </w:p>
        </w:tc>
        <w:tc>
          <w:tcPr>
            <w:tcW w:w="1071"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ПТС</w:t>
            </w:r>
          </w:p>
        </w:tc>
        <w:tc>
          <w:tcPr>
            <w:tcW w:w="80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8</w:t>
            </w:r>
          </w:p>
        </w:tc>
      </w:tr>
      <w:tr>
        <w:trPr>
          <w:trHeight w:val="828" w:hRule="atLeast"/>
        </w:trPr>
        <w:tc>
          <w:tcPr>
            <w:tcW w:w="1401" w:type="dxa"/>
            <w:vMerge w:val="continue"/>
            <w:tcBorders>
              <w:left w:val="single" w:sz="4" w:space="0" w:color="000000"/>
              <w:right w:val="single" w:sz="4" w:space="0" w:color="000000"/>
            </w:tcBorders>
            <w:tcMar>
              <w:left w:w="108" w:type="dxa"/>
              <w:right w:w="108" w:type="dxa"/>
            </w:tcMar>
            <w:vAlign w:val="center"/>
          </w:tcPr>
          <w:p>
            <w:pPr>
              <w:pStyle w:val="Normal"/>
              <w:widowControl w:val="false"/>
              <w:rPr/>
            </w:pPr>
            <w:r>
              <w:rPr/>
            </w:r>
          </w:p>
        </w:tc>
        <w:tc>
          <w:tcPr>
            <w:tcW w:w="2345" w:type="dxa"/>
            <w:vMerge w:val="continu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368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Преобразователь силы арматурный струнный</w:t>
            </w:r>
          </w:p>
        </w:tc>
        <w:tc>
          <w:tcPr>
            <w:tcW w:w="1071"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ПСАС</w:t>
            </w:r>
          </w:p>
        </w:tc>
        <w:tc>
          <w:tcPr>
            <w:tcW w:w="80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8</w:t>
            </w:r>
          </w:p>
        </w:tc>
      </w:tr>
      <w:tr>
        <w:trPr>
          <w:trHeight w:val="422" w:hRule="atLeast"/>
        </w:trPr>
        <w:tc>
          <w:tcPr>
            <w:tcW w:w="8500"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Итого по сооружениям водоприёмника:</w:t>
            </w:r>
          </w:p>
        </w:tc>
        <w:tc>
          <w:tcPr>
            <w:tcW w:w="80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537</w:t>
            </w:r>
          </w:p>
        </w:tc>
      </w:tr>
    </w:tbl>
    <w:p>
      <w:pPr>
        <w:pStyle w:val="Normal"/>
        <w:spacing w:lineRule="auto" w:line="240"/>
        <w:ind w:left="0" w:right="0" w:hanging="0"/>
        <w:rPr>
          <w:rFonts w:ascii="Times New Roman" w:hAnsi="Times New Roman" w:eastAsia="Times New Roman" w:cs="Times New Roman"/>
          <w:sz w:val="24"/>
          <w:lang w:eastAsia="ru-RU"/>
        </w:rPr>
      </w:pPr>
      <w:r>
        <w:rPr>
          <w:rFonts w:eastAsia="Times New Roman" w:cs="Times New Roman" w:ascii="Times New Roman" w:hAnsi="Times New Roman"/>
          <w:sz w:val="24"/>
          <w:lang w:eastAsia="ru-RU"/>
        </w:rPr>
        <w:t>* непроектные марки №№ 1МСБ.вр1, 1МСБ.вр2, 1МСБ.вр3, 1МСБ.вр4, 1МСБ.вр5, установленные на парапете водоприемника на отм. 244,500 м;</w:t>
      </w:r>
    </w:p>
    <w:p>
      <w:pPr>
        <w:pStyle w:val="Normal"/>
        <w:spacing w:lineRule="auto" w:line="240"/>
        <w:ind w:left="0" w:right="0" w:hanging="0"/>
        <w:rPr>
          <w:highlight w:val="none"/>
          <w:shd w:fill="FFFF00" w:val="clear"/>
        </w:rPr>
      </w:pPr>
      <w:r>
        <w:rPr>
          <w:shd w:fill="FFFF00" w:val="clear"/>
        </w:rPr>
      </w:r>
    </w:p>
    <w:p>
      <w:pPr>
        <w:pStyle w:val="Heading2"/>
        <w:numPr>
          <w:ilvl w:val="0"/>
        </w:numPr>
        <w:ind w:left="0" w:right="0" w:hanging="0"/>
        <w:rPr>
          <w:rFonts w:ascii="Times New Roman" w:hAnsi="Times New Roman"/>
        </w:rPr>
      </w:pPr>
      <w:bookmarkStart w:id="6" w:name="__RefHeading___Toc39868_2889022187"/>
      <w:bookmarkEnd w:id="6"/>
      <w:r>
        <w:rPr>
          <w:rFonts w:ascii="Times New Roman" w:hAnsi="Times New Roman"/>
        </w:rPr>
        <w:t>1</w:t>
      </w:r>
      <w:bookmarkStart w:id="7" w:name="_Toc215650171"/>
      <w:r>
        <w:rPr>
          <w:rFonts w:ascii="Times New Roman" w:hAnsi="Times New Roman"/>
        </w:rPr>
        <w:t>.1.3 Сведения о состоянии КИА, размещённой на напорных водоводах</w:t>
      </w:r>
      <w:bookmarkEnd w:id="7"/>
    </w:p>
    <w:p>
      <w:pPr>
        <w:pStyle w:val="Normal"/>
        <w:rPr>
          <w:rFonts w:ascii="Times New Roman" w:hAnsi="Times New Roman"/>
          <w:sz w:val="24"/>
        </w:rPr>
      </w:pPr>
      <w:r>
        <w:rPr>
          <w:rFonts w:ascii="Times New Roman" w:hAnsi="Times New Roman"/>
          <w:sz w:val="24"/>
        </w:rPr>
        <w:t>Для контроля состояния напорных водоводов предусмотрена следующая КИА:</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марка поверхностная бетонная (МПБ);</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марка бетонная стеновая (МБС);</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трёхмарочный щелемер модернизированный (ЩМ);</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светодальномерный знак (СДЗ);</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преобразователь температуры струнный (ПТС);</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преобразователь силы арматурный струнный (ПСАС);</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преобразователь линейных деформаций струнный (ПЛДС).</w:t>
      </w:r>
    </w:p>
    <w:p>
      <w:pPr>
        <w:pStyle w:val="Normal"/>
        <w:rPr>
          <w:rFonts w:ascii="Times New Roman" w:hAnsi="Times New Roman"/>
          <w:sz w:val="24"/>
        </w:rPr>
      </w:pPr>
      <w:r>
        <w:rPr>
          <w:rFonts w:ascii="Times New Roman" w:hAnsi="Times New Roman"/>
          <w:sz w:val="24"/>
        </w:rPr>
        <w:t>Сведения о составе и количестве КИА, размещённой на напорных водоводах, по состоянию на конец 2025 года, представлены в таблице 1.1.3.</w:t>
      </w:r>
    </w:p>
    <w:p>
      <w:pPr>
        <w:pStyle w:val="Normal"/>
        <w:spacing w:lineRule="auto" w:line="240" w:before="0" w:after="120"/>
        <w:ind w:left="0" w:right="0" w:hanging="0"/>
        <w:rPr>
          <w:rFonts w:ascii="Times New Roman" w:hAnsi="Times New Roman"/>
          <w:sz w:val="24"/>
        </w:rPr>
      </w:pPr>
      <w:r>
        <w:rPr>
          <w:rFonts w:ascii="Times New Roman" w:hAnsi="Times New Roman"/>
          <w:sz w:val="24"/>
        </w:rPr>
        <w:t>Таблица 1.1.3 – Перечень и количество КИА, размещённой на напорных водоводах</w:t>
      </w:r>
    </w:p>
    <w:tbl>
      <w:tblPr>
        <w:tblW w:w="9076" w:type="dxa"/>
        <w:jc w:val="left"/>
        <w:tblInd w:w="0" w:type="dxa"/>
        <w:tblLayout w:type="fixed"/>
        <w:tblCellMar>
          <w:top w:w="0" w:type="dxa"/>
          <w:left w:w="108" w:type="dxa"/>
          <w:bottom w:w="0" w:type="dxa"/>
          <w:right w:w="108" w:type="dxa"/>
        </w:tblCellMar>
      </w:tblPr>
      <w:tblGrid>
        <w:gridCol w:w="4939"/>
        <w:gridCol w:w="1681"/>
        <w:gridCol w:w="2456"/>
      </w:tblGrid>
      <w:tr>
        <w:trPr>
          <w:tblHeader w:val="true"/>
          <w:trHeight w:val="418" w:hRule="atLeast"/>
        </w:trPr>
        <w:tc>
          <w:tcPr>
            <w:tcW w:w="662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Наименование КИА</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Количество КИА, шт.</w:t>
            </w:r>
          </w:p>
        </w:tc>
      </w:tr>
      <w:tr>
        <w:trPr>
          <w:tblHeader w:val="true"/>
          <w:trHeight w:val="403" w:hRule="atLeast"/>
        </w:trPr>
        <w:tc>
          <w:tcPr>
            <w:tcW w:w="49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полное</w:t>
            </w:r>
          </w:p>
        </w:tc>
        <w:tc>
          <w:tcPr>
            <w:tcW w:w="16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сокращённое</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установленное</w:t>
            </w:r>
          </w:p>
        </w:tc>
      </w:tr>
      <w:tr>
        <w:trPr>
          <w:trHeight w:val="20" w:hRule="atLeast"/>
        </w:trPr>
        <w:tc>
          <w:tcPr>
            <w:tcW w:w="49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Марка поверхностная бетонная</w:t>
            </w:r>
          </w:p>
        </w:tc>
        <w:tc>
          <w:tcPr>
            <w:tcW w:w="16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МПБ</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101</w:t>
            </w:r>
          </w:p>
        </w:tc>
      </w:tr>
      <w:tr>
        <w:trPr>
          <w:trHeight w:val="20" w:hRule="atLeast"/>
        </w:trPr>
        <w:tc>
          <w:tcPr>
            <w:tcW w:w="49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Марка бетонная стеновая</w:t>
            </w:r>
          </w:p>
        </w:tc>
        <w:tc>
          <w:tcPr>
            <w:tcW w:w="16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МБС</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12</w:t>
            </w:r>
          </w:p>
        </w:tc>
      </w:tr>
      <w:tr>
        <w:trPr>
          <w:trHeight w:val="20" w:hRule="atLeast"/>
        </w:trPr>
        <w:tc>
          <w:tcPr>
            <w:tcW w:w="49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Times New Roman" w:cs="Times New Roman" w:ascii="Times New Roman" w:hAnsi="Times New Roman"/>
                <w:sz w:val="24"/>
                <w:szCs w:val="24"/>
                <w:lang w:eastAsia="ru-RU"/>
              </w:rPr>
              <w:t>Трёхмарочный щелемер модернизированный</w:t>
            </w:r>
          </w:p>
        </w:tc>
        <w:tc>
          <w:tcPr>
            <w:tcW w:w="16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ЩМ</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lang w:val="en-US"/>
              </w:rPr>
            </w:pPr>
            <w:r>
              <w:rPr>
                <w:rFonts w:eastAsia="Calibri" w:cs="Times New Roman" w:ascii="Times New Roman" w:hAnsi="Times New Roman"/>
                <w:sz w:val="24"/>
                <w:szCs w:val="24"/>
              </w:rPr>
              <w:t>73</w:t>
            </w:r>
          </w:p>
        </w:tc>
      </w:tr>
      <w:tr>
        <w:trPr>
          <w:trHeight w:val="20" w:hRule="atLeast"/>
        </w:trPr>
        <w:tc>
          <w:tcPr>
            <w:tcW w:w="49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Преобразователь температуры струнный</w:t>
            </w:r>
          </w:p>
        </w:tc>
        <w:tc>
          <w:tcPr>
            <w:tcW w:w="16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ПТС</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392</w:t>
            </w:r>
          </w:p>
        </w:tc>
      </w:tr>
      <w:tr>
        <w:trPr>
          <w:trHeight w:val="414" w:hRule="atLeast"/>
        </w:trPr>
        <w:tc>
          <w:tcPr>
            <w:tcW w:w="49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Преобразователь силы арматурный струнный</w:t>
            </w:r>
          </w:p>
        </w:tc>
        <w:tc>
          <w:tcPr>
            <w:tcW w:w="16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ПСАС</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432</w:t>
            </w:r>
          </w:p>
        </w:tc>
      </w:tr>
      <w:tr>
        <w:trPr>
          <w:trHeight w:val="379" w:hRule="atLeast"/>
        </w:trPr>
        <w:tc>
          <w:tcPr>
            <w:tcW w:w="49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Преобразователь линейных деформаций</w:t>
            </w:r>
          </w:p>
        </w:tc>
        <w:tc>
          <w:tcPr>
            <w:tcW w:w="16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ПЛДС</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lang w:val="en-US"/>
              </w:rPr>
            </w:pPr>
            <w:r>
              <w:rPr>
                <w:rFonts w:eastAsia="Calibri" w:cs="Times New Roman" w:ascii="Times New Roman" w:hAnsi="Times New Roman"/>
                <w:sz w:val="24"/>
                <w:szCs w:val="24"/>
              </w:rPr>
              <w:t>475</w:t>
            </w:r>
          </w:p>
        </w:tc>
      </w:tr>
      <w:tr>
        <w:trPr>
          <w:trHeight w:val="394" w:hRule="atLeast"/>
        </w:trPr>
        <w:tc>
          <w:tcPr>
            <w:tcW w:w="49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Светодальномерный знак</w:t>
            </w:r>
          </w:p>
        </w:tc>
        <w:tc>
          <w:tcPr>
            <w:tcW w:w="16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СДЗ</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20</w:t>
            </w:r>
          </w:p>
        </w:tc>
      </w:tr>
      <w:tr>
        <w:trPr>
          <w:trHeight w:val="374" w:hRule="atLeast"/>
        </w:trPr>
        <w:tc>
          <w:tcPr>
            <w:tcW w:w="662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Итого:</w:t>
            </w:r>
          </w:p>
        </w:tc>
        <w:tc>
          <w:tcPr>
            <w:tcW w:w="2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lang w:val="en-US"/>
              </w:rPr>
            </w:pPr>
            <w:r>
              <w:rPr>
                <w:rFonts w:eastAsia="Calibri" w:cs="Times New Roman" w:ascii="Times New Roman" w:hAnsi="Times New Roman"/>
                <w:sz w:val="24"/>
                <w:szCs w:val="24"/>
              </w:rPr>
              <w:t>15</w:t>
            </w:r>
            <w:r>
              <w:rPr>
                <w:rFonts w:eastAsia="Calibri" w:cs="Times New Roman" w:ascii="Times New Roman" w:hAnsi="Times New Roman"/>
                <w:sz w:val="24"/>
                <w:szCs w:val="24"/>
                <w:lang w:val="en-US"/>
              </w:rPr>
              <w:t>05</w:t>
            </w:r>
          </w:p>
        </w:tc>
      </w:tr>
    </w:tbl>
    <w:p>
      <w:pPr>
        <w:pStyle w:val="Heading2"/>
        <w:numPr>
          <w:ilvl w:val="0"/>
        </w:numPr>
        <w:ind w:left="0" w:right="0" w:hanging="0"/>
        <w:rPr>
          <w:rFonts w:ascii="Times New Roman" w:hAnsi="Times New Roman"/>
        </w:rPr>
      </w:pPr>
      <w:bookmarkStart w:id="8" w:name="__RefHeading___Toc39870_2889022187"/>
      <w:bookmarkEnd w:id="8"/>
      <w:r>
        <w:rPr>
          <w:rFonts w:ascii="Times New Roman" w:hAnsi="Times New Roman"/>
        </w:rPr>
        <w:t>1</w:t>
      </w:r>
      <w:bookmarkStart w:id="9" w:name="_Toc215650172"/>
      <w:r>
        <w:rPr>
          <w:rFonts w:ascii="Times New Roman" w:hAnsi="Times New Roman"/>
        </w:rPr>
        <w:t>.1.4 Сведения о состоянии КИА, размещённой на склоне напорных водоводов</w:t>
      </w:r>
      <w:bookmarkEnd w:id="9"/>
    </w:p>
    <w:p>
      <w:pPr>
        <w:pStyle w:val="Normal"/>
        <w:rPr>
          <w:rFonts w:ascii="Times New Roman" w:hAnsi="Times New Roman"/>
          <w:sz w:val="24"/>
        </w:rPr>
      </w:pPr>
      <w:r>
        <w:rPr>
          <w:rFonts w:ascii="Times New Roman" w:hAnsi="Times New Roman"/>
          <w:sz w:val="24"/>
        </w:rPr>
        <w:t>Для контроля состояния склона напорных водоводов предусмотрена следующая КИА:</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пьезометр опускной (ПО);</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обратный отвес (ОО);</w:t>
      </w:r>
    </w:p>
    <w:p>
      <w:pPr>
        <w:pStyle w:val="Normal"/>
        <w:rPr>
          <w:rFonts w:ascii="Times New Roman" w:hAnsi="Times New Roman"/>
          <w:sz w:val="24"/>
        </w:rPr>
      </w:pPr>
      <w:r>
        <w:rPr>
          <w:rFonts w:ascii="Times New Roman" w:hAnsi="Times New Roman"/>
          <w:sz w:val="24"/>
        </w:rPr>
        <w:t>Сведения о составе и количестве КИА, размещённой на склоне напорных водоводов, по состоянию на конец 2025 года, представлены в таблице 1.1.4.</w:t>
      </w:r>
    </w:p>
    <w:p>
      <w:pPr>
        <w:pStyle w:val="Normal"/>
        <w:rPr>
          <w:rFonts w:ascii="Times New Roman" w:hAnsi="Times New Roman"/>
          <w:sz w:val="24"/>
        </w:rPr>
      </w:pPr>
      <w:r>
        <w:rPr>
          <w:rFonts w:ascii="Times New Roman" w:hAnsi="Times New Roman"/>
          <w:sz w:val="24"/>
        </w:rPr>
      </w:r>
    </w:p>
    <w:p>
      <w:pPr>
        <w:pStyle w:val="Normal"/>
        <w:rPr>
          <w:rFonts w:ascii="Times New Roman" w:hAnsi="Times New Roman"/>
          <w:sz w:val="24"/>
        </w:rPr>
      </w:pPr>
      <w:r>
        <w:rPr>
          <w:rFonts w:ascii="Times New Roman" w:hAnsi="Times New Roman"/>
          <w:sz w:val="24"/>
        </w:rPr>
      </w:r>
    </w:p>
    <w:p>
      <w:pPr>
        <w:pStyle w:val="Normal"/>
        <w:rPr>
          <w:rFonts w:ascii="Times New Roman" w:hAnsi="Times New Roman"/>
          <w:sz w:val="24"/>
        </w:rPr>
      </w:pPr>
      <w:r>
        <w:rPr>
          <w:rFonts w:ascii="Times New Roman" w:hAnsi="Times New Roman"/>
          <w:sz w:val="24"/>
        </w:rPr>
      </w:r>
    </w:p>
    <w:p>
      <w:pPr>
        <w:pStyle w:val="Normal"/>
        <w:rPr>
          <w:rFonts w:ascii="Times New Roman" w:hAnsi="Times New Roman"/>
          <w:sz w:val="24"/>
        </w:rPr>
      </w:pPr>
      <w:r>
        <w:rPr>
          <w:rFonts w:ascii="Times New Roman" w:hAnsi="Times New Roman"/>
          <w:sz w:val="24"/>
        </w:rPr>
      </w:r>
    </w:p>
    <w:p>
      <w:pPr>
        <w:pStyle w:val="Normal"/>
        <w:spacing w:lineRule="auto" w:line="240" w:before="0" w:after="120"/>
        <w:ind w:left="0" w:right="0" w:hanging="0"/>
        <w:rPr>
          <w:rFonts w:ascii="Times New Roman" w:hAnsi="Times New Roman"/>
          <w:sz w:val="24"/>
        </w:rPr>
      </w:pPr>
      <w:r>
        <w:rPr>
          <w:rFonts w:ascii="Times New Roman" w:hAnsi="Times New Roman"/>
          <w:sz w:val="24"/>
        </w:rPr>
        <w:t>Таблица 1.1.4 – Перечень и количество КИА, размещённой на склоне напорных водоводов</w:t>
      </w:r>
    </w:p>
    <w:tbl>
      <w:tblPr>
        <w:tblW w:w="9076" w:type="dxa"/>
        <w:jc w:val="left"/>
        <w:tblInd w:w="0" w:type="dxa"/>
        <w:tblLayout w:type="fixed"/>
        <w:tblCellMar>
          <w:top w:w="0" w:type="dxa"/>
          <w:left w:w="28" w:type="dxa"/>
          <w:bottom w:w="0" w:type="dxa"/>
          <w:right w:w="28" w:type="dxa"/>
        </w:tblCellMar>
      </w:tblPr>
      <w:tblGrid>
        <w:gridCol w:w="3712"/>
        <w:gridCol w:w="2436"/>
        <w:gridCol w:w="2928"/>
      </w:tblGrid>
      <w:tr>
        <w:trPr>
          <w:tblHeader w:val="true"/>
          <w:trHeight w:val="383" w:hRule="atLeast"/>
        </w:trPr>
        <w:tc>
          <w:tcPr>
            <w:tcW w:w="614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Наименование КИА</w:t>
            </w:r>
          </w:p>
        </w:tc>
        <w:tc>
          <w:tcPr>
            <w:tcW w:w="29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Количество КИА, шт.</w:t>
            </w:r>
          </w:p>
        </w:tc>
      </w:tr>
      <w:tr>
        <w:trPr>
          <w:tblHeader w:val="true"/>
          <w:trHeight w:val="308" w:hRule="atLeast"/>
        </w:trPr>
        <w:tc>
          <w:tcPr>
            <w:tcW w:w="37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полное</w:t>
            </w:r>
          </w:p>
        </w:tc>
        <w:tc>
          <w:tcPr>
            <w:tcW w:w="243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сокращённое</w:t>
            </w:r>
          </w:p>
        </w:tc>
        <w:tc>
          <w:tcPr>
            <w:tcW w:w="29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установленное</w:t>
            </w:r>
          </w:p>
        </w:tc>
      </w:tr>
      <w:tr>
        <w:trPr>
          <w:trHeight w:val="407" w:hRule="atLeast"/>
        </w:trPr>
        <w:tc>
          <w:tcPr>
            <w:tcW w:w="37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Пьезометр опускной</w:t>
            </w:r>
          </w:p>
        </w:tc>
        <w:tc>
          <w:tcPr>
            <w:tcW w:w="243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ПО</w:t>
            </w:r>
          </w:p>
        </w:tc>
        <w:tc>
          <w:tcPr>
            <w:tcW w:w="29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5</w:t>
            </w:r>
          </w:p>
        </w:tc>
      </w:tr>
      <w:tr>
        <w:trPr>
          <w:trHeight w:val="397" w:hRule="atLeast"/>
        </w:trPr>
        <w:tc>
          <w:tcPr>
            <w:tcW w:w="37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Обратный отвес</w:t>
            </w:r>
          </w:p>
        </w:tc>
        <w:tc>
          <w:tcPr>
            <w:tcW w:w="243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ОО</w:t>
            </w:r>
          </w:p>
        </w:tc>
        <w:tc>
          <w:tcPr>
            <w:tcW w:w="29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5</w:t>
            </w:r>
          </w:p>
        </w:tc>
      </w:tr>
      <w:tr>
        <w:trPr>
          <w:trHeight w:val="454" w:hRule="atLeast"/>
        </w:trPr>
        <w:tc>
          <w:tcPr>
            <w:tcW w:w="6148"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Итого:</w:t>
            </w:r>
          </w:p>
        </w:tc>
        <w:tc>
          <w:tcPr>
            <w:tcW w:w="29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10</w:t>
            </w:r>
          </w:p>
        </w:tc>
      </w:tr>
    </w:tbl>
    <w:p>
      <w:pPr>
        <w:pStyle w:val="Heading2"/>
        <w:numPr>
          <w:ilvl w:val="0"/>
        </w:numPr>
        <w:ind w:left="0" w:right="0" w:hanging="0"/>
        <w:rPr>
          <w:rFonts w:ascii="Times New Roman" w:hAnsi="Times New Roman"/>
        </w:rPr>
      </w:pPr>
      <w:bookmarkStart w:id="10" w:name="__RefHeading___Toc39874_2889022187"/>
      <w:bookmarkEnd w:id="10"/>
      <w:r>
        <w:rPr>
          <w:rFonts w:ascii="Times New Roman" w:hAnsi="Times New Roman"/>
        </w:rPr>
        <w:t>1</w:t>
      </w:r>
      <w:bookmarkStart w:id="11" w:name="_Toc215650174"/>
      <w:r>
        <w:rPr>
          <w:rFonts w:ascii="Times New Roman" w:hAnsi="Times New Roman"/>
        </w:rPr>
        <w:t>.1.6 Сведения о состоянии КИА, размещённой на сооружениях станционного узла, для проведения наблюдений за деформациями и перемещениями</w:t>
      </w:r>
      <w:bookmarkEnd w:id="11"/>
    </w:p>
    <w:p>
      <w:pPr>
        <w:pStyle w:val="Normal"/>
        <w:rPr>
          <w:rFonts w:ascii="Times New Roman" w:hAnsi="Times New Roman"/>
          <w:sz w:val="24"/>
        </w:rPr>
      </w:pPr>
      <w:r>
        <w:rPr>
          <w:rFonts w:ascii="Times New Roman" w:hAnsi="Times New Roman"/>
          <w:sz w:val="24"/>
        </w:rPr>
        <w:t>Для контроля деформаций и перемещений сооружений станционного узла предусмотрена следующая КИА:</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труба-марка (ТМ);</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марка поверхностная бетонная (МПБ);</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марка бетонная стеновая (МБС);</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марка поверхностная грунтовая временная (МПГв);</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светодальномерный знак (СДЗ);</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марка плановая (анкер) (AN);</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марка автоматизированного тахеометра (МТ);</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марка автоматизированного тахеометра на мостовом переходе КС-19 (МР);</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трёхмарочный щелемер модернизированный (ЩМ);</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пункт GPS (GPS).</w:t>
      </w:r>
    </w:p>
    <w:p>
      <w:pPr>
        <w:pStyle w:val="Normal"/>
        <w:rPr>
          <w:rFonts w:ascii="Times New Roman" w:hAnsi="Times New Roman"/>
          <w:sz w:val="24"/>
        </w:rPr>
      </w:pPr>
      <w:r>
        <w:rPr>
          <w:rFonts w:ascii="Times New Roman" w:hAnsi="Times New Roman"/>
          <w:sz w:val="24"/>
        </w:rPr>
        <w:t>Сведения о составе и количестве КИА, установленной по проекту КИА для наблюдений за деформациями и перемещениями на сооружениях станционного узла, по состоянию на конец 2025 года, представлены в таблице 1.1.6.</w:t>
      </w:r>
    </w:p>
    <w:p>
      <w:pPr>
        <w:pStyle w:val="Normal"/>
        <w:spacing w:lineRule="auto" w:line="240" w:before="0" w:after="120"/>
        <w:ind w:left="0" w:right="0" w:hanging="0"/>
        <w:rPr>
          <w:rFonts w:ascii="Times New Roman" w:hAnsi="Times New Roman"/>
          <w:sz w:val="24"/>
        </w:rPr>
      </w:pPr>
      <w:r>
        <w:rPr>
          <w:rFonts w:ascii="Times New Roman" w:hAnsi="Times New Roman"/>
          <w:sz w:val="24"/>
        </w:rPr>
        <w:t xml:space="preserve">Таблица 1.1.6 – </w:t>
      </w:r>
      <w:bookmarkStart w:id="12" w:name="_Hlk210052282"/>
      <w:r>
        <w:rPr>
          <w:rFonts w:ascii="Times New Roman" w:hAnsi="Times New Roman"/>
          <w:sz w:val="24"/>
        </w:rPr>
        <w:t>Перечень и количество КИА для контроля за деформациями и перемещениями, запроектированной на сооружениях станционного узла</w:t>
      </w:r>
      <w:bookmarkEnd w:id="12"/>
    </w:p>
    <w:tbl>
      <w:tblPr>
        <w:tblW w:w="9061" w:type="dxa"/>
        <w:jc w:val="left"/>
        <w:tblInd w:w="0" w:type="dxa"/>
        <w:tblLayout w:type="fixed"/>
        <w:tblCellMar>
          <w:top w:w="0" w:type="dxa"/>
          <w:left w:w="5" w:type="dxa"/>
          <w:bottom w:w="0" w:type="dxa"/>
          <w:right w:w="5" w:type="dxa"/>
        </w:tblCellMar>
      </w:tblPr>
      <w:tblGrid>
        <w:gridCol w:w="1803"/>
        <w:gridCol w:w="2788"/>
        <w:gridCol w:w="1633"/>
        <w:gridCol w:w="1698"/>
        <w:gridCol w:w="1139"/>
      </w:tblGrid>
      <w:tr>
        <w:trPr>
          <w:tblHeader w:val="true"/>
          <w:trHeight w:val="20" w:hRule="atLeast"/>
          <w:cantSplit w:val="true"/>
        </w:trPr>
        <w:tc>
          <w:tcPr>
            <w:tcW w:w="180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Наименование объекта</w:t>
            </w:r>
          </w:p>
        </w:tc>
        <w:tc>
          <w:tcPr>
            <w:tcW w:w="4421" w:type="dxa"/>
            <w:gridSpan w:val="2"/>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Наименование КИА</w:t>
            </w:r>
          </w:p>
        </w:tc>
        <w:tc>
          <w:tcPr>
            <w:tcW w:w="1698"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Количество КИА, шт.</w:t>
            </w:r>
          </w:p>
        </w:tc>
        <w:tc>
          <w:tcPr>
            <w:tcW w:w="1139" w:type="dxa"/>
            <w:vMerge w:val="restart"/>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Приме-чание</w:t>
            </w:r>
          </w:p>
        </w:tc>
      </w:tr>
      <w:tr>
        <w:trPr>
          <w:tblHeader w:val="true"/>
          <w:trHeight w:val="20" w:hRule="atLeast"/>
          <w:cantSplit w:val="true"/>
        </w:trPr>
        <w:tc>
          <w:tcPr>
            <w:tcW w:w="1803" w:type="dxa"/>
            <w:vMerge w:val="continu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2788"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полное</w:t>
            </w:r>
          </w:p>
        </w:tc>
        <w:tc>
          <w:tcPr>
            <w:tcW w:w="1633"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w w:val="85"/>
                <w:sz w:val="24"/>
                <w:szCs w:val="24"/>
                <w:lang w:eastAsia="ru-RU"/>
              </w:rPr>
              <w:t>сокращённое</w:t>
            </w:r>
          </w:p>
        </w:tc>
        <w:tc>
          <w:tcPr>
            <w:tcW w:w="1698"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установленное</w:t>
            </w:r>
          </w:p>
        </w:tc>
        <w:tc>
          <w:tcPr>
            <w:tcW w:w="1139" w:type="dxa"/>
            <w:vMerge w:val="continue"/>
            <w:tcBorders>
              <w:bottom w:val="single" w:sz="4" w:space="0" w:color="000000"/>
              <w:right w:val="single" w:sz="4" w:space="0" w:color="000000"/>
            </w:tcBorders>
            <w:tcMar>
              <w:left w:w="108" w:type="dxa"/>
              <w:right w:w="108" w:type="dxa"/>
            </w:tcMar>
            <w:vAlign w:val="center"/>
          </w:tcPr>
          <w:p>
            <w:pPr>
              <w:pStyle w:val="Normal"/>
              <w:widowControl w:val="false"/>
              <w:rPr/>
            </w:pPr>
            <w:r>
              <w:rPr/>
            </w:r>
          </w:p>
        </w:tc>
      </w:tr>
      <w:tr>
        <w:trPr>
          <w:trHeight w:val="20" w:hRule="atLeast"/>
          <w:cantSplit w:val="true"/>
        </w:trPr>
        <w:tc>
          <w:tcPr>
            <w:tcW w:w="1803" w:type="dxa"/>
            <w:vMerge w:val="restart"/>
            <w:tcBorders>
              <w:top w:val="single" w:sz="4" w:space="0" w:color="000000"/>
              <w:left w:val="single" w:sz="4" w:space="0" w:color="000000"/>
              <w:right w:val="single" w:sz="4" w:space="0" w:color="000000"/>
            </w:tcBorders>
            <w:tcMar>
              <w:left w:w="108" w:type="dxa"/>
              <w:right w:w="108" w:type="dxa"/>
            </w:tcMa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bookmarkStart w:id="13" w:name="_Hlk210051150"/>
            <w:bookmarkEnd w:id="13"/>
            <w:r>
              <w:rPr>
                <w:rFonts w:eastAsia="Times New Roman" w:cs="Times New Roman" w:ascii="Times New Roman" w:hAnsi="Times New Roman"/>
                <w:sz w:val="24"/>
                <w:szCs w:val="24"/>
                <w:lang w:eastAsia="ru-RU"/>
              </w:rPr>
              <w:t>Здание ГАЭС</w:t>
              <w:noBreakHyphen/>
              <w:t>2</w:t>
            </w:r>
          </w:p>
        </w:tc>
        <w:tc>
          <w:tcPr>
            <w:tcW w:w="2788"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Труба-марка</w:t>
            </w:r>
          </w:p>
        </w:tc>
        <w:tc>
          <w:tcPr>
            <w:tcW w:w="163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ТМ</w:t>
            </w:r>
          </w:p>
        </w:tc>
        <w:tc>
          <w:tcPr>
            <w:tcW w:w="1698"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9</w:t>
            </w:r>
          </w:p>
        </w:tc>
        <w:tc>
          <w:tcPr>
            <w:tcW w:w="1139"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rHeight w:val="20" w:hRule="atLeast"/>
          <w:cantSplit w:val="true"/>
        </w:trPr>
        <w:tc>
          <w:tcPr>
            <w:tcW w:w="1803" w:type="dxa"/>
            <w:vMerge w:val="continue"/>
            <w:tcBorders>
              <w:left w:val="single" w:sz="4" w:space="0" w:color="000000"/>
              <w:right w:val="single" w:sz="4" w:space="0" w:color="000000"/>
            </w:tcBorders>
            <w:tcMar>
              <w:left w:w="108" w:type="dxa"/>
              <w:right w:w="108" w:type="dxa"/>
            </w:tcMar>
            <w:vAlign w:val="center"/>
          </w:tcPr>
          <w:p>
            <w:pPr>
              <w:pStyle w:val="Normal"/>
              <w:widowControl w:val="false"/>
              <w:rPr/>
            </w:pPr>
            <w:r>
              <w:rPr/>
            </w:r>
          </w:p>
        </w:tc>
        <w:tc>
          <w:tcPr>
            <w:tcW w:w="2788"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Марка поверхност-ная бетонная</w:t>
            </w:r>
          </w:p>
        </w:tc>
        <w:tc>
          <w:tcPr>
            <w:tcW w:w="163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МПБ</w:t>
            </w:r>
          </w:p>
        </w:tc>
        <w:tc>
          <w:tcPr>
            <w:tcW w:w="1698"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30</w:t>
            </w:r>
          </w:p>
        </w:tc>
        <w:tc>
          <w:tcPr>
            <w:tcW w:w="1139"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rHeight w:val="20" w:hRule="atLeast"/>
          <w:cantSplit w:val="true"/>
        </w:trPr>
        <w:tc>
          <w:tcPr>
            <w:tcW w:w="1803" w:type="dxa"/>
            <w:vMerge w:val="continue"/>
            <w:tcBorders>
              <w:left w:val="single" w:sz="4" w:space="0" w:color="000000"/>
              <w:right w:val="single" w:sz="4" w:space="0" w:color="000000"/>
            </w:tcBorders>
            <w:tcMar>
              <w:left w:w="108" w:type="dxa"/>
              <w:right w:w="108" w:type="dxa"/>
            </w:tcMar>
            <w:vAlign w:val="center"/>
          </w:tcPr>
          <w:p>
            <w:pPr>
              <w:pStyle w:val="Normal"/>
              <w:widowControl w:val="false"/>
              <w:rPr/>
            </w:pPr>
            <w:r>
              <w:rPr/>
            </w:r>
          </w:p>
        </w:tc>
        <w:tc>
          <w:tcPr>
            <w:tcW w:w="2788"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Светодаль-номерный знак</w:t>
            </w:r>
          </w:p>
        </w:tc>
        <w:tc>
          <w:tcPr>
            <w:tcW w:w="163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СДЗ</w:t>
            </w:r>
          </w:p>
        </w:tc>
        <w:tc>
          <w:tcPr>
            <w:tcW w:w="1698"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w:t>
            </w:r>
          </w:p>
        </w:tc>
        <w:tc>
          <w:tcPr>
            <w:tcW w:w="1139"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rHeight w:val="20" w:hRule="atLeast"/>
          <w:cantSplit w:val="true"/>
        </w:trPr>
        <w:tc>
          <w:tcPr>
            <w:tcW w:w="1803" w:type="dxa"/>
            <w:vMerge w:val="continue"/>
            <w:tcBorders>
              <w:left w:val="single" w:sz="4" w:space="0" w:color="000000"/>
              <w:right w:val="single" w:sz="4" w:space="0" w:color="000000"/>
            </w:tcBorders>
            <w:tcMar>
              <w:left w:w="108" w:type="dxa"/>
              <w:right w:w="108" w:type="dxa"/>
            </w:tcMar>
            <w:vAlign w:val="center"/>
          </w:tcPr>
          <w:p>
            <w:pPr>
              <w:pStyle w:val="Normal"/>
              <w:widowControl w:val="false"/>
              <w:rPr/>
            </w:pPr>
            <w:r>
              <w:rPr/>
            </w:r>
          </w:p>
        </w:tc>
        <w:tc>
          <w:tcPr>
            <w:tcW w:w="2788" w:type="dxa"/>
            <w:tcBorders>
              <w:top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Марка плановая (анкер)</w:t>
            </w:r>
          </w:p>
        </w:tc>
        <w:tc>
          <w:tcPr>
            <w:tcW w:w="1633" w:type="dxa"/>
            <w:tcBorders>
              <w:top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AN</w:t>
            </w:r>
          </w:p>
        </w:tc>
        <w:tc>
          <w:tcPr>
            <w:tcW w:w="1698" w:type="dxa"/>
            <w:tcBorders>
              <w:top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w:t>
            </w:r>
          </w:p>
        </w:tc>
        <w:tc>
          <w:tcPr>
            <w:tcW w:w="1139" w:type="dxa"/>
            <w:tcBorders>
              <w:top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r>
      <w:tr>
        <w:trPr>
          <w:trHeight w:val="20" w:hRule="atLeast"/>
          <w:cantSplit w:val="true"/>
        </w:trPr>
        <w:tc>
          <w:tcPr>
            <w:tcW w:w="1803" w:type="dxa"/>
            <w:vMerge w:val="continue"/>
            <w:tcBorders>
              <w:left w:val="single" w:sz="4" w:space="0" w:color="000000"/>
              <w:right w:val="single" w:sz="4" w:space="0" w:color="000000"/>
            </w:tcBorders>
            <w:tcMar>
              <w:left w:w="108" w:type="dxa"/>
              <w:right w:w="108" w:type="dxa"/>
            </w:tcMar>
            <w:vAlign w:val="center"/>
          </w:tcPr>
          <w:p>
            <w:pPr>
              <w:pStyle w:val="Normal"/>
              <w:widowControl w:val="false"/>
              <w:rPr/>
            </w:pPr>
            <w:r>
              <w:rPr/>
            </w:r>
          </w:p>
        </w:tc>
        <w:tc>
          <w:tcPr>
            <w:tcW w:w="2788"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Марка автоматизи-рованного тахеометра</w:t>
            </w:r>
          </w:p>
        </w:tc>
        <w:tc>
          <w:tcPr>
            <w:tcW w:w="163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МТ</w:t>
            </w:r>
          </w:p>
        </w:tc>
        <w:tc>
          <w:tcPr>
            <w:tcW w:w="1698"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42</w:t>
            </w:r>
          </w:p>
        </w:tc>
        <w:tc>
          <w:tcPr>
            <w:tcW w:w="1139"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shd w:fill="FF0000" w:val="clear"/>
                <w:lang w:eastAsia="ru-RU"/>
              </w:rPr>
            </w:pPr>
            <w:r>
              <w:rPr>
                <w:rFonts w:eastAsia="Times New Roman" w:cs="Times New Roman" w:ascii="Times New Roman" w:hAnsi="Times New Roman"/>
                <w:sz w:val="24"/>
                <w:szCs w:val="24"/>
                <w:shd w:fill="FF0000" w:val="clear"/>
                <w:lang w:eastAsia="ru-RU"/>
              </w:rPr>
            </w:r>
            <w:bookmarkStart w:id="14" w:name="_Hlk210051208_Копия_1"/>
            <w:bookmarkStart w:id="15" w:name="_Hlk210051208_Копия_1"/>
            <w:bookmarkEnd w:id="15"/>
          </w:p>
        </w:tc>
      </w:tr>
      <w:tr>
        <w:trPr>
          <w:trHeight w:val="20" w:hRule="atLeast"/>
          <w:cantSplit w:val="true"/>
        </w:trPr>
        <w:tc>
          <w:tcPr>
            <w:tcW w:w="1803"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Монтажная площадка</w:t>
            </w:r>
          </w:p>
        </w:tc>
        <w:tc>
          <w:tcPr>
            <w:tcW w:w="2788"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Марка поверхност-ная бетонная</w:t>
            </w:r>
          </w:p>
        </w:tc>
        <w:tc>
          <w:tcPr>
            <w:tcW w:w="163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МПБ</w:t>
            </w:r>
          </w:p>
        </w:tc>
        <w:tc>
          <w:tcPr>
            <w:tcW w:w="1698"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4</w:t>
            </w:r>
          </w:p>
        </w:tc>
        <w:tc>
          <w:tcPr>
            <w:tcW w:w="1139"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rHeight w:val="20" w:hRule="atLeast"/>
          <w:cantSplit w:val="true"/>
        </w:trPr>
        <w:tc>
          <w:tcPr>
            <w:tcW w:w="1803" w:type="dxa"/>
            <w:vMerge w:val="continue"/>
            <w:tcBorders>
              <w:left w:val="single" w:sz="4" w:space="0" w:color="000000"/>
              <w:right w:val="single" w:sz="4" w:space="0" w:color="000000"/>
            </w:tcBorders>
            <w:tcMar>
              <w:left w:w="108" w:type="dxa"/>
              <w:right w:w="108" w:type="dxa"/>
            </w:tcMar>
            <w:vAlign w:val="center"/>
          </w:tcPr>
          <w:p>
            <w:pPr>
              <w:pStyle w:val="Normal"/>
              <w:widowControl w:val="false"/>
              <w:rPr/>
            </w:pPr>
            <w:r>
              <w:rPr/>
            </w:r>
          </w:p>
        </w:tc>
        <w:tc>
          <w:tcPr>
            <w:tcW w:w="2788"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Светодаль-номерный знак</w:t>
            </w:r>
          </w:p>
        </w:tc>
        <w:tc>
          <w:tcPr>
            <w:tcW w:w="163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СДЗ</w:t>
            </w:r>
          </w:p>
        </w:tc>
        <w:tc>
          <w:tcPr>
            <w:tcW w:w="1698"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139"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rHeight w:val="20" w:hRule="atLeast"/>
          <w:cantSplit w:val="true"/>
        </w:trPr>
        <w:tc>
          <w:tcPr>
            <w:tcW w:w="1803" w:type="dxa"/>
            <w:vMerge w:val="continue"/>
            <w:tcBorders>
              <w:left w:val="single" w:sz="4" w:space="0" w:color="000000"/>
              <w:right w:val="single" w:sz="4" w:space="0" w:color="000000"/>
            </w:tcBorders>
            <w:tcMar>
              <w:left w:w="108" w:type="dxa"/>
              <w:right w:w="108" w:type="dxa"/>
            </w:tcMar>
            <w:vAlign w:val="center"/>
          </w:tcPr>
          <w:p>
            <w:pPr>
              <w:pStyle w:val="Normal"/>
              <w:widowControl w:val="false"/>
              <w:rPr/>
            </w:pPr>
            <w:r>
              <w:rPr/>
            </w:r>
          </w:p>
        </w:tc>
        <w:tc>
          <w:tcPr>
            <w:tcW w:w="2788" w:type="dxa"/>
            <w:tcBorders>
              <w:top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Марка плановая (анкер)</w:t>
            </w:r>
          </w:p>
        </w:tc>
        <w:tc>
          <w:tcPr>
            <w:tcW w:w="1633" w:type="dxa"/>
            <w:tcBorders>
              <w:top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AN</w:t>
            </w:r>
          </w:p>
        </w:tc>
        <w:tc>
          <w:tcPr>
            <w:tcW w:w="1698" w:type="dxa"/>
            <w:tcBorders>
              <w:top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4</w:t>
            </w:r>
          </w:p>
        </w:tc>
        <w:tc>
          <w:tcPr>
            <w:tcW w:w="1139" w:type="dxa"/>
            <w:tcBorders>
              <w:top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r>
      <w:tr>
        <w:trPr>
          <w:trHeight w:val="20" w:hRule="atLeast"/>
          <w:cantSplit w:val="true"/>
        </w:trPr>
        <w:tc>
          <w:tcPr>
            <w:tcW w:w="1803" w:type="dxa"/>
            <w:vMerge w:val="continue"/>
            <w:tcBorders>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2788"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Марка автоматизи-рованного тахеометра</w:t>
            </w:r>
          </w:p>
        </w:tc>
        <w:tc>
          <w:tcPr>
            <w:tcW w:w="163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МТ</w:t>
            </w:r>
          </w:p>
        </w:tc>
        <w:tc>
          <w:tcPr>
            <w:tcW w:w="1698"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15</w:t>
            </w:r>
          </w:p>
        </w:tc>
        <w:tc>
          <w:tcPr>
            <w:tcW w:w="1139"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rHeight w:val="20" w:hRule="atLeast"/>
          <w:cantSplit w:val="true"/>
        </w:trPr>
        <w:tc>
          <w:tcPr>
            <w:tcW w:w="1803" w:type="dxa"/>
            <w:vMerge w:val="restart"/>
            <w:tcBorders>
              <w:top w:val="single" w:sz="4" w:space="0" w:color="000000"/>
              <w:left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Служебно-производ-ственный корпус</w:t>
            </w:r>
          </w:p>
        </w:tc>
        <w:tc>
          <w:tcPr>
            <w:tcW w:w="2788"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Марка бетонная стеновая</w:t>
            </w:r>
          </w:p>
        </w:tc>
        <w:tc>
          <w:tcPr>
            <w:tcW w:w="163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МБС</w:t>
            </w:r>
          </w:p>
        </w:tc>
        <w:tc>
          <w:tcPr>
            <w:tcW w:w="1698"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7</w:t>
            </w:r>
          </w:p>
        </w:tc>
        <w:tc>
          <w:tcPr>
            <w:tcW w:w="1139"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rHeight w:val="20" w:hRule="atLeast"/>
          <w:cantSplit w:val="true"/>
        </w:trPr>
        <w:tc>
          <w:tcPr>
            <w:tcW w:w="1803" w:type="dxa"/>
            <w:vMerge w:val="continue"/>
            <w:tcBorders>
              <w:left w:val="single" w:sz="4" w:space="0" w:color="000000"/>
              <w:right w:val="single" w:sz="4" w:space="0" w:color="000000"/>
            </w:tcBorders>
            <w:tcMar>
              <w:left w:w="108" w:type="dxa"/>
              <w:right w:w="108" w:type="dxa"/>
            </w:tcMar>
            <w:vAlign w:val="center"/>
          </w:tcPr>
          <w:p>
            <w:pPr>
              <w:pStyle w:val="Normal"/>
              <w:widowControl w:val="false"/>
              <w:rPr/>
            </w:pPr>
            <w:r>
              <w:rPr/>
            </w:r>
          </w:p>
        </w:tc>
        <w:tc>
          <w:tcPr>
            <w:tcW w:w="2788"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Труба-марка</w:t>
            </w:r>
          </w:p>
        </w:tc>
        <w:tc>
          <w:tcPr>
            <w:tcW w:w="1633" w:type="dxa"/>
            <w:tcBorders>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ТМ</w:t>
            </w:r>
          </w:p>
        </w:tc>
        <w:tc>
          <w:tcPr>
            <w:tcW w:w="1698" w:type="dxa"/>
            <w:tcBorders>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6</w:t>
            </w:r>
          </w:p>
        </w:tc>
        <w:tc>
          <w:tcPr>
            <w:tcW w:w="1139" w:type="dxa"/>
            <w:tcBorders>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rHeight w:val="20" w:hRule="atLeast"/>
          <w:cantSplit w:val="true"/>
        </w:trPr>
        <w:tc>
          <w:tcPr>
            <w:tcW w:w="1803"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Подпорные стены</w:t>
            </w:r>
          </w:p>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ПС-3, ПС-4, ПС-5, ПС-6, ПС-9, ПС-10</w:t>
            </w:r>
          </w:p>
        </w:tc>
        <w:tc>
          <w:tcPr>
            <w:tcW w:w="2788"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Марка поверхност-ная бетонная</w:t>
            </w:r>
          </w:p>
        </w:tc>
        <w:tc>
          <w:tcPr>
            <w:tcW w:w="1633" w:type="dxa"/>
            <w:tcBorders>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МПБ</w:t>
            </w:r>
          </w:p>
        </w:tc>
        <w:tc>
          <w:tcPr>
            <w:tcW w:w="1698" w:type="dxa"/>
            <w:tcBorders>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11</w:t>
            </w:r>
          </w:p>
        </w:tc>
        <w:tc>
          <w:tcPr>
            <w:tcW w:w="1139" w:type="dxa"/>
            <w:tcBorders>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rHeight w:val="20" w:hRule="atLeast"/>
          <w:cantSplit w:val="true"/>
        </w:trPr>
        <w:tc>
          <w:tcPr>
            <w:tcW w:w="1803" w:type="dxa"/>
            <w:vMerge w:val="continue"/>
            <w:tcBorders>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2788"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Марка автоматизи-рованного тахеометра</w:t>
            </w:r>
          </w:p>
        </w:tc>
        <w:tc>
          <w:tcPr>
            <w:tcW w:w="1633" w:type="dxa"/>
            <w:tcBorders>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МТ</w:t>
            </w:r>
          </w:p>
        </w:tc>
        <w:tc>
          <w:tcPr>
            <w:tcW w:w="1698" w:type="dxa"/>
            <w:tcBorders>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14</w:t>
            </w:r>
          </w:p>
        </w:tc>
        <w:tc>
          <w:tcPr>
            <w:tcW w:w="1139" w:type="dxa"/>
            <w:tcBorders>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rHeight w:val="20" w:hRule="atLeast"/>
          <w:cantSplit w:val="true"/>
        </w:trPr>
        <w:tc>
          <w:tcPr>
            <w:tcW w:w="1803" w:type="dxa"/>
            <w:vMerge w:val="continue"/>
            <w:tcBorders>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2788"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Марка плановая (анкер)</w:t>
            </w:r>
          </w:p>
        </w:tc>
        <w:tc>
          <w:tcPr>
            <w:tcW w:w="163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AN</w:t>
            </w:r>
          </w:p>
        </w:tc>
        <w:tc>
          <w:tcPr>
            <w:tcW w:w="1698"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7</w:t>
            </w:r>
          </w:p>
        </w:tc>
        <w:tc>
          <w:tcPr>
            <w:tcW w:w="1139"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r>
      <w:tr>
        <w:trPr>
          <w:trHeight w:val="20" w:hRule="atLeast"/>
          <w:cantSplit w:val="true"/>
        </w:trPr>
        <w:tc>
          <w:tcPr>
            <w:tcW w:w="1803"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Верховые подпорные стены</w:t>
            </w:r>
          </w:p>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ПВ-1 - ПВ-6 и ЛВ-1-ЛВ-6</w:t>
            </w:r>
          </w:p>
        </w:tc>
        <w:tc>
          <w:tcPr>
            <w:tcW w:w="2788"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Марка поверхностная бетонная</w:t>
            </w:r>
          </w:p>
        </w:tc>
        <w:tc>
          <w:tcPr>
            <w:tcW w:w="163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МПБ</w:t>
            </w:r>
          </w:p>
        </w:tc>
        <w:tc>
          <w:tcPr>
            <w:tcW w:w="1698"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22</w:t>
            </w:r>
          </w:p>
        </w:tc>
        <w:tc>
          <w:tcPr>
            <w:tcW w:w="1139"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rHeight w:val="20" w:hRule="atLeast"/>
          <w:cantSplit w:val="true"/>
        </w:trPr>
        <w:tc>
          <w:tcPr>
            <w:tcW w:w="1803" w:type="dxa"/>
            <w:vMerge w:val="continue"/>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2788"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Трёхмарочный щелемер модернизированный</w:t>
            </w:r>
          </w:p>
        </w:tc>
        <w:tc>
          <w:tcPr>
            <w:tcW w:w="163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ЩМ</w:t>
            </w:r>
          </w:p>
        </w:tc>
        <w:tc>
          <w:tcPr>
            <w:tcW w:w="1698"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11</w:t>
            </w:r>
          </w:p>
        </w:tc>
        <w:tc>
          <w:tcPr>
            <w:tcW w:w="1139"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rHeight w:val="20" w:hRule="atLeast"/>
          <w:cantSplit w:val="true"/>
        </w:trPr>
        <w:tc>
          <w:tcPr>
            <w:tcW w:w="180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ППТУ-4</w:t>
            </w:r>
          </w:p>
        </w:tc>
        <w:tc>
          <w:tcPr>
            <w:tcW w:w="2788"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Марка поверхностная бетонная</w:t>
            </w:r>
          </w:p>
        </w:tc>
        <w:tc>
          <w:tcPr>
            <w:tcW w:w="163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МПБ</w:t>
            </w:r>
          </w:p>
        </w:tc>
        <w:tc>
          <w:tcPr>
            <w:tcW w:w="1698"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0</w:t>
            </w:r>
          </w:p>
        </w:tc>
        <w:tc>
          <w:tcPr>
            <w:tcW w:w="1139"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r>
      <w:tr>
        <w:trPr>
          <w:trHeight w:val="20" w:hRule="atLeast"/>
          <w:cantSplit w:val="true"/>
        </w:trPr>
        <w:tc>
          <w:tcPr>
            <w:tcW w:w="1803"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Подпорная стена ПС-8</w:t>
            </w:r>
          </w:p>
        </w:tc>
        <w:tc>
          <w:tcPr>
            <w:tcW w:w="2788"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Марка поверхностная бетонная</w:t>
            </w:r>
          </w:p>
        </w:tc>
        <w:tc>
          <w:tcPr>
            <w:tcW w:w="163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МПБ</w:t>
            </w:r>
          </w:p>
        </w:tc>
        <w:tc>
          <w:tcPr>
            <w:tcW w:w="1698" w:type="dxa"/>
            <w:tcBorders>
              <w:top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5</w:t>
            </w:r>
          </w:p>
        </w:tc>
        <w:tc>
          <w:tcPr>
            <w:tcW w:w="1139" w:type="dxa"/>
            <w:tcBorders>
              <w:top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rHeight w:val="20" w:hRule="atLeast"/>
          <w:cantSplit w:val="true"/>
        </w:trPr>
        <w:tc>
          <w:tcPr>
            <w:tcW w:w="1803" w:type="dxa"/>
            <w:vMerge w:val="continue"/>
            <w:tcBorders>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2788"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Марка автоматизи-рованного тахеометра</w:t>
            </w:r>
          </w:p>
        </w:tc>
        <w:tc>
          <w:tcPr>
            <w:tcW w:w="163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МТ</w:t>
            </w:r>
          </w:p>
        </w:tc>
        <w:tc>
          <w:tcPr>
            <w:tcW w:w="1698" w:type="dxa"/>
            <w:tcBorders>
              <w:top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5</w:t>
            </w:r>
          </w:p>
        </w:tc>
        <w:tc>
          <w:tcPr>
            <w:tcW w:w="1139" w:type="dxa"/>
            <w:tcBorders>
              <w:top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rHeight w:val="20" w:hRule="atLeast"/>
          <w:cantSplit w:val="true"/>
        </w:trPr>
        <w:tc>
          <w:tcPr>
            <w:tcW w:w="1803" w:type="dxa"/>
            <w:tcBorders>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bookmarkStart w:id="16" w:name="_Hlk210051567"/>
            <w:bookmarkStart w:id="17" w:name="_Hlk210051390"/>
            <w:bookmarkEnd w:id="17"/>
            <w:r>
              <w:rPr>
                <w:rFonts w:eastAsia="Times New Roman" w:cs="Times New Roman" w:ascii="Times New Roman" w:hAnsi="Times New Roman"/>
                <w:sz w:val="24"/>
                <w:szCs w:val="24"/>
                <w:lang w:eastAsia="ru-RU"/>
              </w:rPr>
              <w:t>Мост. пер. КС</w:t>
              <w:noBreakHyphen/>
              <w:t>19</w:t>
            </w:r>
            <w:bookmarkEnd w:id="16"/>
          </w:p>
        </w:tc>
        <w:tc>
          <w:tcPr>
            <w:tcW w:w="2788"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Марка автоматизи-рованного тахеометра</w:t>
            </w:r>
          </w:p>
        </w:tc>
        <w:tc>
          <w:tcPr>
            <w:tcW w:w="163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МР</w:t>
            </w:r>
          </w:p>
        </w:tc>
        <w:tc>
          <w:tcPr>
            <w:tcW w:w="1698" w:type="dxa"/>
            <w:tcBorders>
              <w:top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4</w:t>
            </w:r>
          </w:p>
        </w:tc>
        <w:tc>
          <w:tcPr>
            <w:tcW w:w="1139" w:type="dxa"/>
            <w:tcBorders>
              <w:top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rHeight w:val="20" w:hRule="atLeast"/>
          <w:cantSplit w:val="true"/>
        </w:trPr>
        <w:tc>
          <w:tcPr>
            <w:tcW w:w="180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bookmarkStart w:id="18" w:name="_Hlk210051425"/>
            <w:bookmarkStart w:id="19" w:name="_Hlk210051390_Копия_1"/>
            <w:bookmarkEnd w:id="18"/>
            <w:bookmarkEnd w:id="19"/>
            <w:r>
              <w:rPr>
                <w:rFonts w:eastAsia="Times New Roman" w:cs="Times New Roman" w:ascii="Times New Roman" w:hAnsi="Times New Roman"/>
                <w:sz w:val="24"/>
                <w:szCs w:val="24"/>
                <w:lang w:eastAsia="ru-RU"/>
              </w:rPr>
              <w:t>Прилегающая территория к ГТС станцион-ного узла</w:t>
            </w:r>
          </w:p>
        </w:tc>
        <w:tc>
          <w:tcPr>
            <w:tcW w:w="2788"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Марка поверхностная грунтовая временная</w:t>
            </w:r>
          </w:p>
        </w:tc>
        <w:tc>
          <w:tcPr>
            <w:tcW w:w="1633"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МПГв</w:t>
            </w:r>
          </w:p>
        </w:tc>
        <w:tc>
          <w:tcPr>
            <w:tcW w:w="1698"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12</w:t>
            </w:r>
          </w:p>
        </w:tc>
        <w:tc>
          <w:tcPr>
            <w:tcW w:w="1139"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rHeight w:val="454" w:hRule="atLeast"/>
          <w:cantSplit w:val="true"/>
        </w:trPr>
        <w:tc>
          <w:tcPr>
            <w:tcW w:w="6224"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Всего:</w:t>
            </w:r>
          </w:p>
        </w:tc>
        <w:tc>
          <w:tcPr>
            <w:tcW w:w="1698"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rPr>
            </w:pPr>
            <w:r>
              <w:rPr>
                <w:rFonts w:ascii="Times New Roman" w:hAnsi="Times New Roman"/>
              </w:rPr>
              <w:t>214</w:t>
            </w:r>
          </w:p>
        </w:tc>
        <w:tc>
          <w:tcPr>
            <w:tcW w:w="1139" w:type="dxa"/>
            <w:tcBorders>
              <w:top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bl>
    <w:p>
      <w:pPr>
        <w:pStyle w:val="Normal"/>
        <w:spacing w:lineRule="auto" w:line="240"/>
        <w:ind w:left="0" w:right="0" w:hanging="0"/>
        <w:jc w:val="left"/>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Наблюдения за плановыми перемещениями ГТС станционного узла выполняются по временным 14-ти анкерам;</w:t>
      </w:r>
    </w:p>
    <w:p>
      <w:pPr>
        <w:pStyle w:val="Normal"/>
        <w:ind w:left="0" w:right="0" w:hanging="0"/>
        <w:rPr>
          <w:rFonts w:ascii="Times New Roman" w:hAnsi="Times New Roman" w:eastAsia="Calibri" w:cs="Arial"/>
          <w:sz w:val="24"/>
        </w:rPr>
      </w:pPr>
      <w:r>
        <w:rPr>
          <w:rFonts w:eastAsia="Calibri" w:cs="Arial" w:ascii="Times New Roman" w:hAnsi="Times New Roman"/>
          <w:sz w:val="24"/>
        </w:rPr>
        <w:t>** Наблюдения ведутся по восьми выпускам арматуры.</w:t>
      </w:r>
    </w:p>
    <w:p>
      <w:pPr>
        <w:pStyle w:val="Heading2"/>
        <w:numPr>
          <w:ilvl w:val="0"/>
        </w:numPr>
        <w:ind w:left="0" w:right="0" w:hanging="0"/>
        <w:rPr>
          <w:rFonts w:ascii="Times New Roman" w:hAnsi="Times New Roman"/>
        </w:rPr>
      </w:pPr>
      <w:bookmarkStart w:id="20" w:name="__RefHeading___Toc39876_2889022187"/>
      <w:bookmarkEnd w:id="20"/>
      <w:r>
        <w:rPr>
          <w:rFonts w:ascii="Times New Roman" w:hAnsi="Times New Roman"/>
        </w:rPr>
        <w:t>1</w:t>
      </w:r>
      <w:bookmarkStart w:id="21" w:name="_Toc215650175"/>
      <w:r>
        <w:rPr>
          <w:rFonts w:ascii="Times New Roman" w:hAnsi="Times New Roman"/>
        </w:rPr>
        <w:t>.1.7 Сведения о состоянии КИА, размещённой на сооружениях станционного узла, для проведения наблюдений за фильтрационным режимом</w:t>
      </w:r>
      <w:bookmarkEnd w:id="21"/>
    </w:p>
    <w:p>
      <w:pPr>
        <w:pStyle w:val="Normal"/>
        <w:rPr>
          <w:rFonts w:ascii="Times New Roman" w:hAnsi="Times New Roman"/>
          <w:sz w:val="24"/>
        </w:rPr>
      </w:pPr>
      <w:r>
        <w:rPr>
          <w:rFonts w:ascii="Times New Roman" w:hAnsi="Times New Roman"/>
          <w:sz w:val="24"/>
        </w:rPr>
        <w:t>Для контроля фильтрационного режима сооружений станционного узла предусмотрена следующая КИА:</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пьезометр опускной (ПО);</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пьезометр закладной напорный (ПЗН);</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пьезометр закладной боковой напорный (ПЗБН);</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преобразователь давления струнный (ПДС).</w:t>
      </w:r>
    </w:p>
    <w:p>
      <w:pPr>
        <w:pStyle w:val="Normal"/>
        <w:rPr>
          <w:rFonts w:ascii="Times New Roman" w:hAnsi="Times New Roman"/>
          <w:sz w:val="24"/>
        </w:rPr>
      </w:pPr>
      <w:r>
        <w:rPr>
          <w:rFonts w:ascii="Times New Roman" w:hAnsi="Times New Roman"/>
          <w:sz w:val="24"/>
        </w:rPr>
        <w:t>Сведения о составе и количестве КИА, установленной по проекту КИА для наблюдений за фильтрационным режимом на сооружениях станционного узла, по состоянию на конец 2025 года, представлены в таблице 1.1.7.</w:t>
      </w:r>
    </w:p>
    <w:p>
      <w:pPr>
        <w:pStyle w:val="Normal"/>
        <w:spacing w:lineRule="auto" w:line="240" w:before="0" w:after="120"/>
        <w:ind w:left="0" w:right="0" w:hanging="0"/>
        <w:rPr>
          <w:rFonts w:ascii="Times New Roman" w:hAnsi="Times New Roman"/>
          <w:sz w:val="24"/>
        </w:rPr>
      </w:pPr>
      <w:r>
        <w:rPr>
          <w:rFonts w:ascii="Times New Roman" w:hAnsi="Times New Roman"/>
          <w:sz w:val="24"/>
        </w:rPr>
        <w:t>Таблица 1.1.7 – Перечень и количество КИА для контроля фильтрационного режима, запроектированной на сооружениях станционного узла</w:t>
      </w:r>
    </w:p>
    <w:tbl>
      <w:tblPr>
        <w:tblW w:w="9076" w:type="dxa"/>
        <w:jc w:val="left"/>
        <w:tblInd w:w="0" w:type="dxa"/>
        <w:tblLayout w:type="fixed"/>
        <w:tblCellMar>
          <w:top w:w="0" w:type="dxa"/>
          <w:left w:w="5" w:type="dxa"/>
          <w:bottom w:w="0" w:type="dxa"/>
          <w:right w:w="5" w:type="dxa"/>
        </w:tblCellMar>
      </w:tblPr>
      <w:tblGrid>
        <w:gridCol w:w="1885"/>
        <w:gridCol w:w="4305"/>
        <w:gridCol w:w="1756"/>
        <w:gridCol w:w="1129"/>
      </w:tblGrid>
      <w:tr>
        <w:trPr>
          <w:tblHeader w:val="true"/>
          <w:trHeight w:val="390" w:hRule="atLeast"/>
        </w:trPr>
        <w:tc>
          <w:tcPr>
            <w:tcW w:w="188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Наименование объекта</w:t>
            </w:r>
          </w:p>
        </w:tc>
        <w:tc>
          <w:tcPr>
            <w:tcW w:w="6061" w:type="dxa"/>
            <w:gridSpan w:val="2"/>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Наименование КИА</w:t>
            </w:r>
          </w:p>
        </w:tc>
        <w:tc>
          <w:tcPr>
            <w:tcW w:w="1129"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Количество КИА</w:t>
            </w:r>
          </w:p>
        </w:tc>
      </w:tr>
      <w:tr>
        <w:trPr>
          <w:tblHeader w:val="true"/>
          <w:trHeight w:val="416" w:hRule="atLeast"/>
        </w:trPr>
        <w:tc>
          <w:tcPr>
            <w:tcW w:w="188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4305"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полное</w:t>
            </w:r>
          </w:p>
        </w:tc>
        <w:tc>
          <w:tcPr>
            <w:tcW w:w="1756"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сокращённое</w:t>
            </w:r>
          </w:p>
        </w:tc>
        <w:tc>
          <w:tcPr>
            <w:tcW w:w="1129" w:type="dxa"/>
            <w:tcBorders>
              <w:bottom w:val="single" w:sz="4" w:space="0" w:color="000000"/>
              <w:right w:val="single" w:sz="4" w:space="0" w:color="000000"/>
            </w:tcBorders>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установленное</w:t>
            </w:r>
          </w:p>
        </w:tc>
      </w:tr>
      <w:tr>
        <w:trPr>
          <w:trHeight w:val="560" w:hRule="atLeast"/>
        </w:trPr>
        <w:tc>
          <w:tcPr>
            <w:tcW w:w="1885" w:type="dxa"/>
            <w:vMerge w:val="restart"/>
            <w:tcBorders>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Здание ГАЭС</w:t>
              <w:noBreakHyphen/>
              <w:t>2</w:t>
            </w:r>
          </w:p>
        </w:tc>
        <w:tc>
          <w:tcPr>
            <w:tcW w:w="4305"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Преобразователь давления струнный</w:t>
            </w:r>
          </w:p>
        </w:tc>
        <w:tc>
          <w:tcPr>
            <w:tcW w:w="1756"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ПДС</w:t>
            </w:r>
          </w:p>
        </w:tc>
        <w:tc>
          <w:tcPr>
            <w:tcW w:w="1129"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13</w:t>
            </w:r>
          </w:p>
        </w:tc>
      </w:tr>
      <w:tr>
        <w:trPr>
          <w:trHeight w:val="630" w:hRule="atLeast"/>
        </w:trPr>
        <w:tc>
          <w:tcPr>
            <w:tcW w:w="1885" w:type="dxa"/>
            <w:vMerge w:val="continue"/>
            <w:tcBorders>
              <w:left w:val="single" w:sz="4" w:space="0" w:color="000000"/>
              <w:right w:val="single" w:sz="4" w:space="0" w:color="000000"/>
            </w:tcBorders>
            <w:vAlign w:val="center"/>
          </w:tcPr>
          <w:p>
            <w:pPr>
              <w:pStyle w:val="Normal"/>
              <w:widowControl w:val="false"/>
              <w:rPr/>
            </w:pPr>
            <w:r>
              <w:rPr/>
            </w:r>
          </w:p>
        </w:tc>
        <w:tc>
          <w:tcPr>
            <w:tcW w:w="4305"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Пьезометр закладной напорный</w:t>
            </w:r>
          </w:p>
        </w:tc>
        <w:tc>
          <w:tcPr>
            <w:tcW w:w="1756"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ПЗН</w:t>
            </w:r>
          </w:p>
        </w:tc>
        <w:tc>
          <w:tcPr>
            <w:tcW w:w="1129"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12</w:t>
            </w:r>
          </w:p>
        </w:tc>
      </w:tr>
      <w:tr>
        <w:trPr>
          <w:trHeight w:val="630" w:hRule="atLeast"/>
        </w:trPr>
        <w:tc>
          <w:tcPr>
            <w:tcW w:w="1885" w:type="dxa"/>
            <w:vMerge w:val="continue"/>
            <w:tcBorders>
              <w:left w:val="single" w:sz="4" w:space="0" w:color="000000"/>
              <w:bottom w:val="single" w:sz="4" w:space="0" w:color="000000"/>
              <w:right w:val="single" w:sz="4" w:space="0" w:color="000000"/>
            </w:tcBorders>
            <w:vAlign w:val="center"/>
          </w:tcPr>
          <w:p>
            <w:pPr>
              <w:pStyle w:val="Normal"/>
              <w:widowControl w:val="false"/>
              <w:rPr/>
            </w:pPr>
            <w:r>
              <w:rPr/>
            </w:r>
          </w:p>
        </w:tc>
        <w:tc>
          <w:tcPr>
            <w:tcW w:w="4305"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Пьезометр закладной боковой напорный</w:t>
            </w:r>
          </w:p>
        </w:tc>
        <w:tc>
          <w:tcPr>
            <w:tcW w:w="1756"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ПЗБН</w:t>
            </w:r>
          </w:p>
        </w:tc>
        <w:tc>
          <w:tcPr>
            <w:tcW w:w="1129"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4</w:t>
            </w:r>
          </w:p>
        </w:tc>
      </w:tr>
      <w:tr>
        <w:trPr>
          <w:trHeight w:val="630" w:hRule="atLeast"/>
        </w:trPr>
        <w:tc>
          <w:tcPr>
            <w:tcW w:w="1885" w:type="dxa"/>
            <w:vMerge w:val="restart"/>
            <w:tcBorders>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СПК</w:t>
            </w:r>
          </w:p>
        </w:tc>
        <w:tc>
          <w:tcPr>
            <w:tcW w:w="4305"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Преобразователь давления струнный</w:t>
            </w:r>
          </w:p>
        </w:tc>
        <w:tc>
          <w:tcPr>
            <w:tcW w:w="1756"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ПДС</w:t>
            </w:r>
          </w:p>
        </w:tc>
        <w:tc>
          <w:tcPr>
            <w:tcW w:w="1129"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8</w:t>
            </w:r>
          </w:p>
        </w:tc>
      </w:tr>
      <w:tr>
        <w:trPr>
          <w:trHeight w:val="650" w:hRule="atLeast"/>
        </w:trPr>
        <w:tc>
          <w:tcPr>
            <w:tcW w:w="1885" w:type="dxa"/>
            <w:vMerge w:val="continue"/>
            <w:tcBorders>
              <w:left w:val="single" w:sz="4" w:space="0" w:color="000000"/>
              <w:bottom w:val="single" w:sz="4" w:space="0" w:color="000000"/>
              <w:right w:val="single" w:sz="4" w:space="0" w:color="000000"/>
            </w:tcBorders>
            <w:vAlign w:val="center"/>
          </w:tcPr>
          <w:p>
            <w:pPr>
              <w:pStyle w:val="Normal"/>
              <w:widowControl w:val="false"/>
              <w:rPr/>
            </w:pPr>
            <w:r>
              <w:rPr/>
            </w:r>
          </w:p>
        </w:tc>
        <w:tc>
          <w:tcPr>
            <w:tcW w:w="4305"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Пьезометр закладной напорный</w:t>
            </w:r>
          </w:p>
        </w:tc>
        <w:tc>
          <w:tcPr>
            <w:tcW w:w="1756"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ПЗН</w:t>
            </w:r>
          </w:p>
        </w:tc>
        <w:tc>
          <w:tcPr>
            <w:tcW w:w="1129"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6</w:t>
            </w:r>
          </w:p>
        </w:tc>
      </w:tr>
      <w:tr>
        <w:trPr>
          <w:trHeight w:val="913" w:hRule="atLeast"/>
        </w:trPr>
        <w:tc>
          <w:tcPr>
            <w:tcW w:w="1885" w:type="dxa"/>
            <w:tcBorders>
              <w:left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Верховые подпорные стены</w:t>
              <w:br/>
              <w:t>ПВ-1…ПВ-6 и ЛВ-1…ЛВ-6</w:t>
            </w:r>
          </w:p>
        </w:tc>
        <w:tc>
          <w:tcPr>
            <w:tcW w:w="4305"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Преобразователь давления струнный</w:t>
            </w:r>
          </w:p>
        </w:tc>
        <w:tc>
          <w:tcPr>
            <w:tcW w:w="1756"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ПДС</w:t>
            </w:r>
          </w:p>
        </w:tc>
        <w:tc>
          <w:tcPr>
            <w:tcW w:w="1129"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12</w:t>
            </w:r>
          </w:p>
        </w:tc>
      </w:tr>
      <w:tr>
        <w:trPr>
          <w:trHeight w:val="417" w:hRule="atLeast"/>
        </w:trPr>
        <w:tc>
          <w:tcPr>
            <w:tcW w:w="18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Площадка КРУЭ</w:t>
            </w:r>
          </w:p>
        </w:tc>
        <w:tc>
          <w:tcPr>
            <w:tcW w:w="4305"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Пьезометр опускной</w:t>
            </w:r>
          </w:p>
        </w:tc>
        <w:tc>
          <w:tcPr>
            <w:tcW w:w="1756"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w:t>
            </w:r>
          </w:p>
        </w:tc>
        <w:tc>
          <w:tcPr>
            <w:tcW w:w="1129"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4</w:t>
            </w:r>
          </w:p>
        </w:tc>
      </w:tr>
      <w:tr>
        <w:trPr>
          <w:trHeight w:val="630" w:hRule="atLeast"/>
        </w:trPr>
        <w:tc>
          <w:tcPr>
            <w:tcW w:w="1885" w:type="dxa"/>
            <w:tcBorders>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Прилегающая территория к ГТС</w:t>
            </w:r>
          </w:p>
        </w:tc>
        <w:tc>
          <w:tcPr>
            <w:tcW w:w="4305"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Пьезометр опускной</w:t>
            </w:r>
          </w:p>
        </w:tc>
        <w:tc>
          <w:tcPr>
            <w:tcW w:w="1756"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w:t>
            </w:r>
          </w:p>
        </w:tc>
        <w:tc>
          <w:tcPr>
            <w:tcW w:w="1129"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9</w:t>
            </w:r>
          </w:p>
        </w:tc>
      </w:tr>
      <w:tr>
        <w:trPr>
          <w:trHeight w:val="454" w:hRule="atLeast"/>
        </w:trPr>
        <w:tc>
          <w:tcPr>
            <w:tcW w:w="7946"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Итого:</w:t>
            </w:r>
          </w:p>
        </w:tc>
        <w:tc>
          <w:tcPr>
            <w:tcW w:w="1129"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highlight w:val="none"/>
                <w:shd w:fill="FFFF00" w:val="clear"/>
              </w:rPr>
            </w:pPr>
            <w:r>
              <w:rPr/>
              <w:t>68</w:t>
            </w:r>
          </w:p>
        </w:tc>
      </w:tr>
    </w:tbl>
    <w:p>
      <w:pPr>
        <w:pStyle w:val="Normal"/>
        <w:rPr>
          <w:rFonts w:ascii="Times New Roman" w:hAnsi="Times New Roman"/>
          <w:sz w:val="24"/>
        </w:rPr>
      </w:pPr>
      <w:r>
        <w:rPr>
          <w:rFonts w:ascii="Times New Roman" w:hAnsi="Times New Roman"/>
          <w:sz w:val="24"/>
        </w:rPr>
      </w:r>
    </w:p>
    <w:p>
      <w:pPr>
        <w:pStyle w:val="Heading2"/>
        <w:numPr>
          <w:ilvl w:val="0"/>
        </w:numPr>
        <w:ind w:left="0" w:right="0" w:hanging="0"/>
        <w:rPr>
          <w:rFonts w:ascii="Times New Roman" w:hAnsi="Times New Roman"/>
        </w:rPr>
      </w:pPr>
      <w:bookmarkStart w:id="22" w:name="__RefHeading___Toc39878_2889022187"/>
      <w:bookmarkEnd w:id="22"/>
      <w:r>
        <w:rPr>
          <w:rFonts w:ascii="Times New Roman" w:hAnsi="Times New Roman"/>
        </w:rPr>
        <w:t>1.1</w:t>
      </w:r>
      <w:bookmarkStart w:id="23" w:name="_Toc215650176"/>
      <w:r>
        <w:rPr>
          <w:rFonts w:ascii="Times New Roman" w:hAnsi="Times New Roman"/>
        </w:rPr>
        <w:t>.8 Сведения о состоянии КИА, размещённой на сооружениях станционного узла, для проведения наблюдений за напряжённо-деформированным состоянием</w:t>
      </w:r>
      <w:bookmarkEnd w:id="23"/>
    </w:p>
    <w:p>
      <w:pPr>
        <w:pStyle w:val="Normal"/>
        <w:rPr>
          <w:rFonts w:ascii="Times New Roman" w:hAnsi="Times New Roman"/>
          <w:sz w:val="24"/>
        </w:rPr>
      </w:pPr>
      <w:r>
        <w:rPr>
          <w:rFonts w:ascii="Times New Roman" w:hAnsi="Times New Roman"/>
          <w:sz w:val="24"/>
        </w:rPr>
        <w:t>Для контроля напряжённо-деформированного состояния сооружений станционного узла предусмотрена следующая КИА:</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преобразователь температуры струнный (ПТС);</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преобразователь силы арматурный струнный (ПСАС);</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преобразователь линейных перемещений струнный (ПЛПС);</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преобразователь линейных деформаций струнный (ПЛДС).</w:t>
      </w:r>
    </w:p>
    <w:p>
      <w:pPr>
        <w:pStyle w:val="Normal"/>
        <w:rPr>
          <w:rFonts w:ascii="Times New Roman" w:hAnsi="Times New Roman"/>
          <w:sz w:val="24"/>
        </w:rPr>
      </w:pPr>
      <w:r>
        <w:rPr>
          <w:rFonts w:ascii="Times New Roman" w:hAnsi="Times New Roman"/>
          <w:sz w:val="24"/>
        </w:rPr>
        <w:t>Сведения о составе и количестве КИА, установленной по проекту КИА для наблюдений за напряжённо-деформированным состоянием сооружений станционного узла, по состоянию на конец 2025 года, представлены в таблице 1.1.8.</w:t>
      </w:r>
    </w:p>
    <w:p>
      <w:pPr>
        <w:pStyle w:val="Normal"/>
        <w:spacing w:lineRule="auto" w:line="240" w:before="0" w:after="120"/>
        <w:ind w:left="0" w:right="0" w:hanging="0"/>
        <w:rPr>
          <w:rFonts w:ascii="Times New Roman" w:hAnsi="Times New Roman"/>
          <w:sz w:val="24"/>
        </w:rPr>
      </w:pPr>
      <w:r>
        <w:rPr>
          <w:rFonts w:ascii="Times New Roman" w:hAnsi="Times New Roman"/>
          <w:sz w:val="24"/>
        </w:rPr>
        <w:t xml:space="preserve">Таблица 1.1.8 – Перечень и количество КИА для контроля </w:t>
      </w:r>
      <w:bookmarkStart w:id="24" w:name="_Hlk210055756"/>
      <w:r>
        <w:rPr>
          <w:rFonts w:ascii="Times New Roman" w:hAnsi="Times New Roman"/>
          <w:sz w:val="24"/>
        </w:rPr>
        <w:t>напряжённо</w:t>
        <w:noBreakHyphen/>
        <w:t>деформированного состояния</w:t>
      </w:r>
      <w:bookmarkEnd w:id="24"/>
      <w:r>
        <w:rPr>
          <w:rFonts w:ascii="Times New Roman" w:hAnsi="Times New Roman"/>
          <w:sz w:val="24"/>
        </w:rPr>
        <w:t>, запроектированной на сооружениях станционного узла</w:t>
      </w:r>
    </w:p>
    <w:tbl>
      <w:tblPr>
        <w:tblW w:w="9077" w:type="dxa"/>
        <w:jc w:val="left"/>
        <w:tblInd w:w="0" w:type="dxa"/>
        <w:tblLayout w:type="fixed"/>
        <w:tblCellMar>
          <w:top w:w="0" w:type="dxa"/>
          <w:left w:w="5" w:type="dxa"/>
          <w:bottom w:w="0" w:type="dxa"/>
          <w:right w:w="5" w:type="dxa"/>
        </w:tblCellMar>
      </w:tblPr>
      <w:tblGrid>
        <w:gridCol w:w="2576"/>
        <w:gridCol w:w="3695"/>
        <w:gridCol w:w="1595"/>
        <w:gridCol w:w="1210"/>
      </w:tblGrid>
      <w:tr>
        <w:trPr>
          <w:tblHeader w:val="true"/>
          <w:trHeight w:val="539" w:hRule="atLeast"/>
        </w:trPr>
        <w:tc>
          <w:tcPr>
            <w:tcW w:w="257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Наименование объекта</w:t>
            </w:r>
          </w:p>
        </w:tc>
        <w:tc>
          <w:tcPr>
            <w:tcW w:w="5290" w:type="dxa"/>
            <w:gridSpan w:val="2"/>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Наименование КИА</w:t>
            </w:r>
          </w:p>
        </w:tc>
        <w:tc>
          <w:tcPr>
            <w:tcW w:w="1210"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Количество КИА, шт.</w:t>
            </w:r>
          </w:p>
        </w:tc>
      </w:tr>
      <w:tr>
        <w:trPr>
          <w:tblHeader w:val="true"/>
          <w:trHeight w:val="574" w:hRule="atLeast"/>
        </w:trPr>
        <w:tc>
          <w:tcPr>
            <w:tcW w:w="25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3695"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полное</w:t>
            </w:r>
          </w:p>
        </w:tc>
        <w:tc>
          <w:tcPr>
            <w:tcW w:w="1595"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сокращённое</w:t>
            </w:r>
          </w:p>
        </w:tc>
        <w:tc>
          <w:tcPr>
            <w:tcW w:w="1210"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установленное</w:t>
            </w:r>
          </w:p>
        </w:tc>
      </w:tr>
      <w:tr>
        <w:trPr>
          <w:trHeight w:val="478" w:hRule="atLeast"/>
        </w:trPr>
        <w:tc>
          <w:tcPr>
            <w:tcW w:w="2576" w:type="dxa"/>
            <w:vMerge w:val="restart"/>
            <w:tcBorders>
              <w:top w:val="single" w:sz="4" w:space="0" w:color="000000"/>
              <w:left w:val="single" w:sz="4" w:space="0" w:color="000000"/>
              <w:right w:val="single" w:sz="4" w:space="0" w:color="000000"/>
            </w:tcBorders>
            <w:vAlign w:val="center"/>
          </w:tcPr>
          <w:p>
            <w:pPr>
              <w:pStyle w:val="Normal"/>
              <w:widowControl w:val="false"/>
              <w:spacing w:lineRule="auto" w:line="240"/>
              <w:ind w:left="113" w:right="113"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Здание ГАЭС-2</w:t>
            </w:r>
          </w:p>
        </w:tc>
        <w:tc>
          <w:tcPr>
            <w:tcW w:w="36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Преобразователь температуры струнный</w:t>
            </w:r>
          </w:p>
        </w:tc>
        <w:tc>
          <w:tcPr>
            <w:tcW w:w="1595"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ПТС</w:t>
            </w:r>
          </w:p>
        </w:tc>
        <w:tc>
          <w:tcPr>
            <w:tcW w:w="1210"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70</w:t>
            </w:r>
          </w:p>
        </w:tc>
      </w:tr>
      <w:tr>
        <w:trPr>
          <w:trHeight w:val="659" w:hRule="atLeast"/>
        </w:trPr>
        <w:tc>
          <w:tcPr>
            <w:tcW w:w="2576" w:type="dxa"/>
            <w:vMerge w:val="continue"/>
            <w:tcBorders>
              <w:left w:val="single" w:sz="4" w:space="0" w:color="000000"/>
              <w:right w:val="single" w:sz="4" w:space="0" w:color="000000"/>
            </w:tcBorders>
            <w:vAlign w:val="center"/>
          </w:tcPr>
          <w:p>
            <w:pPr>
              <w:pStyle w:val="Normal"/>
              <w:widowControl w:val="false"/>
              <w:rPr/>
            </w:pPr>
            <w:r>
              <w:rPr/>
            </w:r>
          </w:p>
        </w:tc>
        <w:tc>
          <w:tcPr>
            <w:tcW w:w="36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Преобразователь силы арматурный струнный</w:t>
            </w:r>
          </w:p>
        </w:tc>
        <w:tc>
          <w:tcPr>
            <w:tcW w:w="1595"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ПСАС</w:t>
            </w:r>
          </w:p>
        </w:tc>
        <w:tc>
          <w:tcPr>
            <w:tcW w:w="1210"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287</w:t>
            </w:r>
          </w:p>
        </w:tc>
      </w:tr>
      <w:tr>
        <w:trPr>
          <w:trHeight w:val="393" w:hRule="atLeast"/>
        </w:trPr>
        <w:tc>
          <w:tcPr>
            <w:tcW w:w="2576" w:type="dxa"/>
            <w:vMerge w:val="continue"/>
            <w:tcBorders>
              <w:left w:val="single" w:sz="4" w:space="0" w:color="000000"/>
              <w:right w:val="single" w:sz="4" w:space="0" w:color="000000"/>
            </w:tcBorders>
            <w:vAlign w:val="center"/>
          </w:tcPr>
          <w:p>
            <w:pPr>
              <w:pStyle w:val="Normal"/>
              <w:widowControl w:val="false"/>
              <w:rPr/>
            </w:pPr>
            <w:r>
              <w:rPr/>
            </w:r>
          </w:p>
        </w:tc>
        <w:tc>
          <w:tcPr>
            <w:tcW w:w="36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Преобразователь линейных перемещений струнный</w:t>
            </w:r>
          </w:p>
        </w:tc>
        <w:tc>
          <w:tcPr>
            <w:tcW w:w="1595"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ПЛПС</w:t>
            </w:r>
          </w:p>
        </w:tc>
        <w:tc>
          <w:tcPr>
            <w:tcW w:w="1210"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58</w:t>
            </w:r>
          </w:p>
        </w:tc>
      </w:tr>
      <w:tr>
        <w:trPr>
          <w:trHeight w:val="392" w:hRule="atLeast"/>
        </w:trPr>
        <w:tc>
          <w:tcPr>
            <w:tcW w:w="2576" w:type="dxa"/>
            <w:vMerge w:val="continue"/>
            <w:tcBorders>
              <w:left w:val="single" w:sz="4" w:space="0" w:color="000000"/>
              <w:right w:val="single" w:sz="4" w:space="0" w:color="000000"/>
            </w:tcBorders>
            <w:vAlign w:val="center"/>
          </w:tcPr>
          <w:p>
            <w:pPr>
              <w:pStyle w:val="Normal"/>
              <w:widowControl w:val="false"/>
              <w:rPr/>
            </w:pPr>
            <w:r>
              <w:rPr/>
            </w:r>
          </w:p>
        </w:tc>
        <w:tc>
          <w:tcPr>
            <w:tcW w:w="36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Преобразователь линейных деформаций струнный</w:t>
            </w:r>
          </w:p>
        </w:tc>
        <w:tc>
          <w:tcPr>
            <w:tcW w:w="1595"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ПЛДС</w:t>
            </w:r>
          </w:p>
        </w:tc>
        <w:tc>
          <w:tcPr>
            <w:tcW w:w="1210"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114</w:t>
            </w:r>
          </w:p>
        </w:tc>
      </w:tr>
      <w:tr>
        <w:trPr>
          <w:trHeight w:val="777" w:hRule="atLeast"/>
        </w:trPr>
        <w:tc>
          <w:tcPr>
            <w:tcW w:w="257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113" w:right="113"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Монтажная площадка</w:t>
            </w:r>
          </w:p>
        </w:tc>
        <w:tc>
          <w:tcPr>
            <w:tcW w:w="3695"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Преобразователь силы арматурный</w:t>
            </w:r>
          </w:p>
        </w:tc>
        <w:tc>
          <w:tcPr>
            <w:tcW w:w="1595"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ПСАС</w:t>
            </w:r>
          </w:p>
        </w:tc>
        <w:tc>
          <w:tcPr>
            <w:tcW w:w="1210"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12</w:t>
            </w:r>
          </w:p>
        </w:tc>
      </w:tr>
      <w:tr>
        <w:trPr>
          <w:trHeight w:val="681" w:hRule="atLeast"/>
        </w:trPr>
        <w:tc>
          <w:tcPr>
            <w:tcW w:w="2576" w:type="dxa"/>
            <w:vMerge w:val="continue"/>
            <w:tcBorders>
              <w:left w:val="single" w:sz="4" w:space="0" w:color="000000"/>
              <w:bottom w:val="single" w:sz="4" w:space="0" w:color="000000"/>
              <w:right w:val="single" w:sz="4" w:space="0" w:color="000000"/>
            </w:tcBorders>
            <w:vAlign w:val="center"/>
          </w:tcPr>
          <w:p>
            <w:pPr>
              <w:pStyle w:val="Normal"/>
              <w:widowControl w:val="false"/>
              <w:rPr/>
            </w:pPr>
            <w:r>
              <w:rPr/>
            </w:r>
          </w:p>
        </w:tc>
        <w:tc>
          <w:tcPr>
            <w:tcW w:w="3695"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Преобразователь температуры струнный</w:t>
            </w:r>
          </w:p>
        </w:tc>
        <w:tc>
          <w:tcPr>
            <w:tcW w:w="1595"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ПТС</w:t>
            </w:r>
          </w:p>
        </w:tc>
        <w:tc>
          <w:tcPr>
            <w:tcW w:w="1210"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6</w:t>
            </w:r>
          </w:p>
        </w:tc>
      </w:tr>
      <w:tr>
        <w:trPr>
          <w:trHeight w:val="440" w:hRule="atLeast"/>
        </w:trPr>
        <w:tc>
          <w:tcPr>
            <w:tcW w:w="257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113" w:right="113"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Служебно-производственный корпус</w:t>
            </w:r>
          </w:p>
        </w:tc>
        <w:tc>
          <w:tcPr>
            <w:tcW w:w="3695"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Преобразователь температуры струнный</w:t>
            </w:r>
          </w:p>
        </w:tc>
        <w:tc>
          <w:tcPr>
            <w:tcW w:w="1595"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ПТС</w:t>
            </w:r>
          </w:p>
        </w:tc>
        <w:tc>
          <w:tcPr>
            <w:tcW w:w="1210"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11</w:t>
            </w:r>
          </w:p>
        </w:tc>
      </w:tr>
      <w:tr>
        <w:trPr>
          <w:trHeight w:val="682" w:hRule="atLeast"/>
        </w:trPr>
        <w:tc>
          <w:tcPr>
            <w:tcW w:w="25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3695"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Преобразователь силы арматурный струнный</w:t>
            </w:r>
          </w:p>
        </w:tc>
        <w:tc>
          <w:tcPr>
            <w:tcW w:w="1595"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ПСАС</w:t>
            </w:r>
          </w:p>
        </w:tc>
        <w:tc>
          <w:tcPr>
            <w:tcW w:w="1210"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14</w:t>
            </w:r>
          </w:p>
        </w:tc>
      </w:tr>
      <w:tr>
        <w:trPr>
          <w:trHeight w:val="454" w:hRule="atLeast"/>
        </w:trPr>
        <w:tc>
          <w:tcPr>
            <w:tcW w:w="25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3695"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Преобразователь линейных перемещений струнный</w:t>
            </w:r>
          </w:p>
        </w:tc>
        <w:tc>
          <w:tcPr>
            <w:tcW w:w="1595"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ПЛПС</w:t>
            </w:r>
          </w:p>
        </w:tc>
        <w:tc>
          <w:tcPr>
            <w:tcW w:w="1210"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w:t>
            </w:r>
          </w:p>
        </w:tc>
      </w:tr>
      <w:tr>
        <w:trPr>
          <w:trHeight w:val="574" w:hRule="atLeast"/>
        </w:trPr>
        <w:tc>
          <w:tcPr>
            <w:tcW w:w="257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113" w:right="113"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Подпорные стены ПС-3, ПС-4, ПС-5, ПС-6, ПС-9, ПС-10</w:t>
            </w:r>
          </w:p>
        </w:tc>
        <w:tc>
          <w:tcPr>
            <w:tcW w:w="3695"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Преобразователь температуры струнный</w:t>
            </w:r>
          </w:p>
        </w:tc>
        <w:tc>
          <w:tcPr>
            <w:tcW w:w="1595"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ПТС</w:t>
            </w:r>
          </w:p>
        </w:tc>
        <w:tc>
          <w:tcPr>
            <w:tcW w:w="1210"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w:t>
            </w:r>
          </w:p>
        </w:tc>
      </w:tr>
      <w:tr>
        <w:trPr>
          <w:trHeight w:val="682" w:hRule="atLeast"/>
        </w:trPr>
        <w:tc>
          <w:tcPr>
            <w:tcW w:w="25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3695"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Преобразователь силы арматурный струнный</w:t>
            </w:r>
          </w:p>
        </w:tc>
        <w:tc>
          <w:tcPr>
            <w:tcW w:w="1595"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ПСАС</w:t>
            </w:r>
          </w:p>
        </w:tc>
        <w:tc>
          <w:tcPr>
            <w:tcW w:w="1210"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6</w:t>
            </w:r>
          </w:p>
        </w:tc>
      </w:tr>
      <w:tr>
        <w:trPr>
          <w:trHeight w:val="621" w:hRule="atLeast"/>
        </w:trPr>
        <w:tc>
          <w:tcPr>
            <w:tcW w:w="2576" w:type="dxa"/>
            <w:vMerge w:val="restart"/>
            <w:tcBorders>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Верховые подпорные стены ПВ-1 - ПВ-6 и</w:t>
            </w:r>
          </w:p>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ЛВ-1 - ЛВ-6</w:t>
            </w:r>
          </w:p>
        </w:tc>
        <w:tc>
          <w:tcPr>
            <w:tcW w:w="3695"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Преобразователь температуры струнный</w:t>
            </w:r>
          </w:p>
        </w:tc>
        <w:tc>
          <w:tcPr>
            <w:tcW w:w="1595"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ПТС</w:t>
            </w:r>
          </w:p>
        </w:tc>
        <w:tc>
          <w:tcPr>
            <w:tcW w:w="1210"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15</w:t>
            </w:r>
          </w:p>
        </w:tc>
      </w:tr>
      <w:tr>
        <w:trPr>
          <w:trHeight w:val="455" w:hRule="atLeast"/>
        </w:trPr>
        <w:tc>
          <w:tcPr>
            <w:tcW w:w="2576" w:type="dxa"/>
            <w:vMerge w:val="continue"/>
            <w:tcBorders>
              <w:left w:val="single" w:sz="4" w:space="0" w:color="000000"/>
              <w:bottom w:val="single" w:sz="4" w:space="0" w:color="000000"/>
              <w:right w:val="single" w:sz="4" w:space="0" w:color="000000"/>
            </w:tcBorders>
            <w:textDirection w:val="btLr"/>
            <w:vAlign w:val="center"/>
          </w:tcPr>
          <w:p>
            <w:pPr>
              <w:pStyle w:val="Normal"/>
              <w:widowControl w:val="false"/>
              <w:rPr/>
            </w:pPr>
            <w:r>
              <w:rPr/>
            </w:r>
          </w:p>
        </w:tc>
        <w:tc>
          <w:tcPr>
            <w:tcW w:w="3695"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Преобразователь линейных перемещений струнный</w:t>
            </w:r>
          </w:p>
        </w:tc>
        <w:tc>
          <w:tcPr>
            <w:tcW w:w="1595"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ПЛПС</w:t>
            </w:r>
          </w:p>
        </w:tc>
        <w:tc>
          <w:tcPr>
            <w:tcW w:w="1210"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6</w:t>
            </w:r>
          </w:p>
        </w:tc>
      </w:tr>
      <w:tr>
        <w:trPr>
          <w:trHeight w:val="226" w:hRule="atLeast"/>
        </w:trPr>
        <w:tc>
          <w:tcPr>
            <w:tcW w:w="2576" w:type="dxa"/>
            <w:vMerge w:val="continue"/>
            <w:tcBorders>
              <w:left w:val="single" w:sz="4" w:space="0" w:color="000000"/>
              <w:bottom w:val="single" w:sz="4" w:space="0" w:color="000000"/>
              <w:right w:val="single" w:sz="4" w:space="0" w:color="000000"/>
            </w:tcBorders>
            <w:textDirection w:val="btLr"/>
            <w:vAlign w:val="center"/>
          </w:tcPr>
          <w:p>
            <w:pPr>
              <w:pStyle w:val="Normal"/>
              <w:widowControl w:val="false"/>
              <w:rPr/>
            </w:pPr>
            <w:r>
              <w:rPr/>
            </w:r>
          </w:p>
        </w:tc>
        <w:tc>
          <w:tcPr>
            <w:tcW w:w="3695"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Преобразователь силы арматурный струнный</w:t>
            </w:r>
          </w:p>
        </w:tc>
        <w:tc>
          <w:tcPr>
            <w:tcW w:w="1595"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ПСАС</w:t>
            </w:r>
          </w:p>
        </w:tc>
        <w:tc>
          <w:tcPr>
            <w:tcW w:w="1210"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24</w:t>
            </w:r>
          </w:p>
        </w:tc>
      </w:tr>
      <w:tr>
        <w:trPr>
          <w:trHeight w:val="457" w:hRule="atLeast"/>
        </w:trPr>
        <w:tc>
          <w:tcPr>
            <w:tcW w:w="7866"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Всего:</w:t>
            </w:r>
          </w:p>
        </w:tc>
        <w:tc>
          <w:tcPr>
            <w:tcW w:w="1210"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628</w:t>
            </w:r>
          </w:p>
        </w:tc>
      </w:tr>
    </w:tbl>
    <w:p>
      <w:pPr>
        <w:pStyle w:val="Normal"/>
        <w:spacing w:lineRule="auto" w:line="240"/>
        <w:ind w:left="0" w:right="0" w:hanging="0"/>
        <w:jc w:val="left"/>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Heading2"/>
        <w:numPr>
          <w:ilvl w:val="0"/>
        </w:numPr>
        <w:ind w:left="0" w:right="0" w:hanging="0"/>
        <w:rPr>
          <w:rFonts w:ascii="Times New Roman" w:hAnsi="Times New Roman"/>
        </w:rPr>
      </w:pPr>
      <w:bookmarkStart w:id="25" w:name="__RefHeading___Toc39880_2889022187"/>
      <w:bookmarkEnd w:id="25"/>
      <w:r>
        <w:rPr>
          <w:rFonts w:ascii="Times New Roman" w:hAnsi="Times New Roman"/>
        </w:rPr>
        <w:t>1</w:t>
      </w:r>
      <w:bookmarkStart w:id="26" w:name="_Toc215650177"/>
      <w:r>
        <w:rPr>
          <w:rFonts w:ascii="Times New Roman" w:hAnsi="Times New Roman"/>
        </w:rPr>
        <w:t>.1.9 Сведения о состоянии КИА, размещённой на перемычке реверсивного канала, для проведения наблюдений за деформациями и перемещениями</w:t>
      </w:r>
      <w:bookmarkEnd w:id="26"/>
    </w:p>
    <w:p>
      <w:pPr>
        <w:pStyle w:val="Normal"/>
        <w:rPr>
          <w:rFonts w:ascii="Times New Roman" w:hAnsi="Times New Roman"/>
          <w:sz w:val="24"/>
        </w:rPr>
      </w:pPr>
      <w:r>
        <w:rPr>
          <w:rFonts w:ascii="Times New Roman" w:hAnsi="Times New Roman"/>
          <w:sz w:val="24"/>
        </w:rPr>
        <w:t>Для контроля деформаций и перемещений перемычки реверсивного канала предусмотрена следующая КИА:</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марка поверхностная грунтовая (МПГ);</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марка автоматизированного тахеометра (ПРК).</w:t>
      </w:r>
    </w:p>
    <w:p>
      <w:pPr>
        <w:pStyle w:val="Normal"/>
        <w:rPr>
          <w:rFonts w:ascii="Times New Roman" w:hAnsi="Times New Roman"/>
          <w:sz w:val="24"/>
        </w:rPr>
      </w:pPr>
      <w:r>
        <w:rPr>
          <w:rFonts w:ascii="Times New Roman" w:hAnsi="Times New Roman"/>
          <w:sz w:val="24"/>
        </w:rPr>
        <w:t>Сведения о составе и количестве КИА, установленной по проекту КИА для наблюдений за деформациями и перемещениями перемычки реверсивного канала, по состоянию на конец 2025 года, представлены в таблице 1.1.9.</w:t>
      </w:r>
    </w:p>
    <w:p>
      <w:pPr>
        <w:pStyle w:val="Normal"/>
        <w:spacing w:lineRule="auto" w:line="240" w:before="0" w:after="120"/>
        <w:ind w:left="0" w:right="0" w:hanging="0"/>
        <w:rPr>
          <w:rFonts w:ascii="Times New Roman" w:hAnsi="Times New Roman"/>
          <w:sz w:val="24"/>
        </w:rPr>
      </w:pPr>
      <w:r>
        <w:rPr>
          <w:rFonts w:ascii="Times New Roman" w:hAnsi="Times New Roman"/>
          <w:sz w:val="24"/>
        </w:rPr>
        <w:t>Таблица 1.1.9 – Перечень и количество КИА для наблюдений за деформациями и перемещениями, запроектированной на перемычке реверсивного канала</w:t>
      </w:r>
    </w:p>
    <w:tbl>
      <w:tblPr>
        <w:tblW w:w="9076" w:type="dxa"/>
        <w:jc w:val="left"/>
        <w:tblInd w:w="0" w:type="dxa"/>
        <w:tblLayout w:type="fixed"/>
        <w:tblCellMar>
          <w:top w:w="0" w:type="dxa"/>
          <w:left w:w="108" w:type="dxa"/>
          <w:bottom w:w="0" w:type="dxa"/>
          <w:right w:w="108" w:type="dxa"/>
        </w:tblCellMar>
      </w:tblPr>
      <w:tblGrid>
        <w:gridCol w:w="3745"/>
        <w:gridCol w:w="1942"/>
        <w:gridCol w:w="1758"/>
        <w:gridCol w:w="1630"/>
      </w:tblGrid>
      <w:tr>
        <w:trPr>
          <w:trHeight w:val="373" w:hRule="atLeast"/>
        </w:trPr>
        <w:tc>
          <w:tcPr>
            <w:tcW w:w="568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t>Наименование КИА</w:t>
            </w:r>
          </w:p>
        </w:tc>
        <w:tc>
          <w:tcPr>
            <w:tcW w:w="175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t>Место установки</w:t>
            </w:r>
          </w:p>
        </w:tc>
        <w:tc>
          <w:tcPr>
            <w:tcW w:w="16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t>Количество КИА, шт.</w:t>
            </w:r>
          </w:p>
        </w:tc>
      </w:tr>
      <w:tr>
        <w:trPr>
          <w:trHeight w:val="20" w:hRule="atLeast"/>
        </w:trPr>
        <w:tc>
          <w:tcPr>
            <w:tcW w:w="37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t>полное</w:t>
            </w:r>
          </w:p>
        </w:tc>
        <w:tc>
          <w:tcPr>
            <w:tcW w:w="19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t>сокращённое</w:t>
            </w:r>
          </w:p>
        </w:tc>
        <w:tc>
          <w:tcPr>
            <w:tcW w:w="175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6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t>установленное</w:t>
            </w:r>
          </w:p>
        </w:tc>
      </w:tr>
      <w:tr>
        <w:trPr>
          <w:trHeight w:val="20" w:hRule="atLeast"/>
        </w:trPr>
        <w:tc>
          <w:tcPr>
            <w:tcW w:w="37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t>Марка поверхностная грунтовая</w:t>
            </w:r>
          </w:p>
        </w:tc>
        <w:tc>
          <w:tcPr>
            <w:tcW w:w="19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t>МПГ</w:t>
            </w:r>
          </w:p>
        </w:tc>
        <w:tc>
          <w:tcPr>
            <w:tcW w:w="17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t>Гребень, бермы</w:t>
            </w:r>
          </w:p>
        </w:tc>
        <w:tc>
          <w:tcPr>
            <w:tcW w:w="16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t>7</w:t>
            </w:r>
          </w:p>
        </w:tc>
      </w:tr>
      <w:tr>
        <w:trPr>
          <w:trHeight w:val="20" w:hRule="atLeast"/>
        </w:trPr>
        <w:tc>
          <w:tcPr>
            <w:tcW w:w="37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t>Марка автоматизированного тахеометра</w:t>
            </w:r>
          </w:p>
        </w:tc>
        <w:tc>
          <w:tcPr>
            <w:tcW w:w="19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t>ПРК</w:t>
            </w:r>
          </w:p>
        </w:tc>
        <w:tc>
          <w:tcPr>
            <w:tcW w:w="17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t>Гребень</w:t>
            </w:r>
          </w:p>
        </w:tc>
        <w:tc>
          <w:tcPr>
            <w:tcW w:w="16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t>5</w:t>
            </w:r>
          </w:p>
        </w:tc>
      </w:tr>
      <w:tr>
        <w:trPr>
          <w:trHeight w:val="448" w:hRule="atLeast"/>
        </w:trPr>
        <w:tc>
          <w:tcPr>
            <w:tcW w:w="7445"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t>Всего:</w:t>
            </w:r>
          </w:p>
        </w:tc>
        <w:tc>
          <w:tcPr>
            <w:tcW w:w="16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t>12</w:t>
            </w:r>
          </w:p>
        </w:tc>
      </w:tr>
    </w:tbl>
    <w:p>
      <w:pPr>
        <w:pStyle w:val="Normal"/>
        <w:rPr>
          <w:rFonts w:ascii="Times New Roman" w:hAnsi="Times New Roman"/>
          <w:sz w:val="24"/>
        </w:rPr>
      </w:pPr>
      <w:r>
        <w:rPr>
          <w:rFonts w:ascii="Times New Roman" w:hAnsi="Times New Roman"/>
          <w:sz w:val="24"/>
        </w:rPr>
      </w:r>
    </w:p>
    <w:p>
      <w:pPr>
        <w:pStyle w:val="Heading2"/>
        <w:numPr>
          <w:ilvl w:val="0"/>
        </w:numPr>
        <w:ind w:left="0" w:right="0" w:hanging="0"/>
        <w:rPr>
          <w:rFonts w:ascii="Times New Roman" w:hAnsi="Times New Roman"/>
        </w:rPr>
      </w:pPr>
      <w:bookmarkStart w:id="27" w:name="__RefHeading___Toc39882_2889022187"/>
      <w:bookmarkEnd w:id="27"/>
      <w:r>
        <w:rPr>
          <w:rFonts w:ascii="Times New Roman" w:hAnsi="Times New Roman"/>
        </w:rPr>
        <w:t>1.1</w:t>
      </w:r>
      <w:bookmarkStart w:id="28" w:name="_Toc215650178"/>
      <w:r>
        <w:rPr>
          <w:rFonts w:ascii="Times New Roman" w:hAnsi="Times New Roman"/>
        </w:rPr>
        <w:t>.10 Сведения о состоянии КИА, размещённой на перемычке реверсивного канала, для проведения наблюдений за фильтрационным режимом</w:t>
      </w:r>
      <w:bookmarkEnd w:id="28"/>
    </w:p>
    <w:p>
      <w:pPr>
        <w:pStyle w:val="Normal"/>
        <w:rPr>
          <w:rFonts w:ascii="Times New Roman" w:hAnsi="Times New Roman"/>
          <w:sz w:val="24"/>
        </w:rPr>
      </w:pPr>
      <w:r>
        <w:rPr>
          <w:rFonts w:ascii="Times New Roman" w:hAnsi="Times New Roman"/>
          <w:sz w:val="24"/>
        </w:rPr>
        <w:t>Для контроля фильтрационного режима перемычки реверсивного канала предусмотрена следующая КИА:</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пьезометр опускной (ПО);</w:t>
      </w:r>
    </w:p>
    <w:p>
      <w:pPr>
        <w:pStyle w:val="ListParagraph"/>
        <w:numPr>
          <w:ilvl w:val="0"/>
          <w:numId w:val="11"/>
        </w:numPr>
        <w:ind w:left="850" w:right="0" w:firstLine="1"/>
        <w:rPr>
          <w:rFonts w:ascii="Times New Roman" w:hAnsi="Times New Roman" w:cs="Times New Roman"/>
          <w:sz w:val="24"/>
        </w:rPr>
      </w:pPr>
      <w:r>
        <w:rPr>
          <w:rFonts w:cs="Times New Roman" w:ascii="Times New Roman" w:hAnsi="Times New Roman"/>
          <w:sz w:val="24"/>
        </w:rPr>
        <w:t>преобразователь давления струнный (ПДС).</w:t>
      </w:r>
    </w:p>
    <w:p>
      <w:pPr>
        <w:pStyle w:val="Normal"/>
        <w:rPr>
          <w:rFonts w:ascii="Times New Roman" w:hAnsi="Times New Roman"/>
          <w:sz w:val="24"/>
        </w:rPr>
      </w:pPr>
      <w:r>
        <w:rPr>
          <w:rFonts w:ascii="Times New Roman" w:hAnsi="Times New Roman"/>
          <w:sz w:val="24"/>
        </w:rPr>
        <w:t>Сведения о составе и количестве КИА, установленной по проекту КИА для наблюдений за фильтрационным режимом перемычки реверсивного канала, по состоянию на конец 2025 года, представлены в таблице 1.1.10.</w:t>
      </w:r>
    </w:p>
    <w:p>
      <w:pPr>
        <w:pStyle w:val="Normal"/>
        <w:spacing w:lineRule="auto" w:line="240" w:before="0" w:after="120"/>
        <w:ind w:left="0" w:right="0" w:hanging="0"/>
        <w:rPr>
          <w:rFonts w:ascii="Times New Roman" w:hAnsi="Times New Roman"/>
          <w:sz w:val="24"/>
        </w:rPr>
      </w:pPr>
      <w:r>
        <w:rPr>
          <w:rFonts w:ascii="Times New Roman" w:hAnsi="Times New Roman"/>
          <w:sz w:val="24"/>
        </w:rPr>
        <w:t>Таблица 1.1.10 – Перечень и количество КИА для контроля фильтрационного режима, запроектированной на перемычке реверсивного канала</w:t>
      </w:r>
    </w:p>
    <w:tbl>
      <w:tblPr>
        <w:tblW w:w="5000" w:type="pct"/>
        <w:jc w:val="center"/>
        <w:tblInd w:w="0" w:type="dxa"/>
        <w:tblLayout w:type="fixed"/>
        <w:tblCellMar>
          <w:top w:w="0" w:type="dxa"/>
          <w:left w:w="108" w:type="dxa"/>
          <w:bottom w:w="0" w:type="dxa"/>
          <w:right w:w="108" w:type="dxa"/>
        </w:tblCellMar>
      </w:tblPr>
      <w:tblGrid>
        <w:gridCol w:w="2108"/>
        <w:gridCol w:w="1961"/>
        <w:gridCol w:w="2994"/>
        <w:gridCol w:w="2007"/>
      </w:tblGrid>
      <w:tr>
        <w:trPr>
          <w:tblHeader w:val="true"/>
          <w:trHeight w:val="414" w:hRule="atLeast"/>
        </w:trPr>
        <w:tc>
          <w:tcPr>
            <w:tcW w:w="406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Наименование КИА</w:t>
            </w:r>
          </w:p>
        </w:tc>
        <w:tc>
          <w:tcPr>
            <w:tcW w:w="299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Место установки</w:t>
            </w:r>
          </w:p>
        </w:tc>
        <w:tc>
          <w:tcPr>
            <w:tcW w:w="20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Количество КИА, шт.</w:t>
            </w:r>
          </w:p>
        </w:tc>
      </w:tr>
      <w:tr>
        <w:trPr>
          <w:tblHeader w:val="true"/>
          <w:trHeight w:val="986" w:hRule="atLeast"/>
        </w:trPr>
        <w:tc>
          <w:tcPr>
            <w:tcW w:w="21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полное</w:t>
            </w:r>
          </w:p>
        </w:tc>
        <w:tc>
          <w:tcPr>
            <w:tcW w:w="1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сокращённое</w:t>
            </w:r>
          </w:p>
        </w:tc>
        <w:tc>
          <w:tcPr>
            <w:tcW w:w="299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0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Calibri" w:cs="Times New Roman" w:ascii="Times New Roman" w:hAnsi="Times New Roman"/>
                <w:sz w:val="24"/>
                <w:szCs w:val="24"/>
                <w:lang w:eastAsia="ru-RU"/>
              </w:rPr>
              <w:t>установленное</w:t>
            </w:r>
          </w:p>
        </w:tc>
      </w:tr>
      <w:tr>
        <w:trPr/>
        <w:tc>
          <w:tcPr>
            <w:tcW w:w="210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Пьезометр опускной</w:t>
            </w:r>
          </w:p>
        </w:tc>
        <w:tc>
          <w:tcPr>
            <w:tcW w:w="196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w:t>
            </w:r>
          </w:p>
        </w:tc>
        <w:tc>
          <w:tcPr>
            <w:tcW w:w="2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Створ № 1. ПК 1+00</w:t>
            </w:r>
          </w:p>
        </w:tc>
        <w:tc>
          <w:tcPr>
            <w:tcW w:w="20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w:t>
            </w:r>
          </w:p>
        </w:tc>
      </w:tr>
      <w:tr>
        <w:trPr/>
        <w:tc>
          <w:tcPr>
            <w:tcW w:w="210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96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Створ № 2. ПК 2+00</w:t>
            </w:r>
          </w:p>
        </w:tc>
        <w:tc>
          <w:tcPr>
            <w:tcW w:w="20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w:t>
            </w:r>
          </w:p>
        </w:tc>
      </w:tr>
      <w:tr>
        <w:trPr/>
        <w:tc>
          <w:tcPr>
            <w:tcW w:w="210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96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Створ № 2. ПК 2+04</w:t>
            </w:r>
          </w:p>
        </w:tc>
        <w:tc>
          <w:tcPr>
            <w:tcW w:w="20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w:t>
            </w:r>
          </w:p>
        </w:tc>
      </w:tr>
      <w:tr>
        <w:trPr/>
        <w:tc>
          <w:tcPr>
            <w:tcW w:w="210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96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Створ № 3. ПК 2+80</w:t>
            </w:r>
          </w:p>
        </w:tc>
        <w:tc>
          <w:tcPr>
            <w:tcW w:w="20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w:t>
            </w:r>
          </w:p>
        </w:tc>
      </w:tr>
      <w:tr>
        <w:trPr/>
        <w:tc>
          <w:tcPr>
            <w:tcW w:w="210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96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Створ № 3. ПК 2+84</w:t>
            </w:r>
          </w:p>
        </w:tc>
        <w:tc>
          <w:tcPr>
            <w:tcW w:w="20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w:t>
            </w:r>
          </w:p>
        </w:tc>
      </w:tr>
      <w:tr>
        <w:trPr/>
        <w:tc>
          <w:tcPr>
            <w:tcW w:w="210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96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Створ № 3. ПК 2+88</w:t>
            </w:r>
          </w:p>
        </w:tc>
        <w:tc>
          <w:tcPr>
            <w:tcW w:w="20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w:t>
            </w:r>
          </w:p>
        </w:tc>
      </w:tr>
      <w:tr>
        <w:trPr/>
        <w:tc>
          <w:tcPr>
            <w:tcW w:w="210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96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Створ № 4. ПК 3+60</w:t>
            </w:r>
          </w:p>
        </w:tc>
        <w:tc>
          <w:tcPr>
            <w:tcW w:w="20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w:t>
            </w:r>
          </w:p>
        </w:tc>
      </w:tr>
      <w:tr>
        <w:trPr>
          <w:trHeight w:val="334" w:hRule="atLeast"/>
        </w:trPr>
        <w:tc>
          <w:tcPr>
            <w:tcW w:w="210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96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ПК 3+90</w:t>
            </w:r>
          </w:p>
        </w:tc>
        <w:tc>
          <w:tcPr>
            <w:tcW w:w="20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w:t>
            </w:r>
          </w:p>
        </w:tc>
      </w:tr>
      <w:tr>
        <w:trPr>
          <w:trHeight w:val="337" w:hRule="atLeast"/>
        </w:trPr>
        <w:tc>
          <w:tcPr>
            <w:tcW w:w="7063"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Всего:</w:t>
            </w:r>
          </w:p>
        </w:tc>
        <w:tc>
          <w:tcPr>
            <w:tcW w:w="20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w:t>
            </w:r>
          </w:p>
        </w:tc>
      </w:tr>
      <w:tr>
        <w:trPr/>
        <w:tc>
          <w:tcPr>
            <w:tcW w:w="210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Преобразователь давления струнный</w:t>
            </w:r>
          </w:p>
        </w:tc>
        <w:tc>
          <w:tcPr>
            <w:tcW w:w="196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ПДС</w:t>
            </w:r>
          </w:p>
        </w:tc>
        <w:tc>
          <w:tcPr>
            <w:tcW w:w="2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Створ № 1. ПК 1+00</w:t>
            </w:r>
          </w:p>
        </w:tc>
        <w:tc>
          <w:tcPr>
            <w:tcW w:w="20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w:t>
            </w:r>
          </w:p>
        </w:tc>
      </w:tr>
      <w:tr>
        <w:trPr/>
        <w:tc>
          <w:tcPr>
            <w:tcW w:w="210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96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Створ № 2. ПК 2+00</w:t>
            </w:r>
          </w:p>
        </w:tc>
        <w:tc>
          <w:tcPr>
            <w:tcW w:w="20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w:t>
            </w:r>
          </w:p>
        </w:tc>
      </w:tr>
      <w:tr>
        <w:trPr/>
        <w:tc>
          <w:tcPr>
            <w:tcW w:w="210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96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Створ № 3. ПК 2+80</w:t>
            </w:r>
          </w:p>
        </w:tc>
        <w:tc>
          <w:tcPr>
            <w:tcW w:w="20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w:t>
            </w:r>
          </w:p>
        </w:tc>
      </w:tr>
      <w:tr>
        <w:trPr/>
        <w:tc>
          <w:tcPr>
            <w:tcW w:w="210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96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9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Створ № 4. ПК 3+60</w:t>
            </w:r>
          </w:p>
        </w:tc>
        <w:tc>
          <w:tcPr>
            <w:tcW w:w="20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w:t>
            </w:r>
          </w:p>
        </w:tc>
      </w:tr>
      <w:tr>
        <w:trPr>
          <w:trHeight w:val="454" w:hRule="atLeast"/>
        </w:trPr>
        <w:tc>
          <w:tcPr>
            <w:tcW w:w="7063"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Всего:</w:t>
            </w:r>
          </w:p>
        </w:tc>
        <w:tc>
          <w:tcPr>
            <w:tcW w:w="20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8</w:t>
            </w:r>
          </w:p>
        </w:tc>
      </w:tr>
      <w:tr>
        <w:trPr>
          <w:trHeight w:val="454" w:hRule="atLeast"/>
        </w:trPr>
        <w:tc>
          <w:tcPr>
            <w:tcW w:w="7063"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Итого:</w:t>
            </w:r>
          </w:p>
        </w:tc>
        <w:tc>
          <w:tcPr>
            <w:tcW w:w="20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28</w:t>
            </w:r>
          </w:p>
        </w:tc>
      </w:tr>
    </w:tbl>
    <w:p>
      <w:pPr>
        <w:pStyle w:val="Heading2"/>
        <w:numPr>
          <w:ilvl w:val="0"/>
        </w:numPr>
        <w:ind w:left="0" w:right="0" w:hanging="0"/>
        <w:rPr>
          <w:rFonts w:ascii="Times New Roman" w:hAnsi="Times New Roman"/>
        </w:rPr>
      </w:pPr>
      <w:bookmarkStart w:id="29" w:name="__RefHeading___Toc39886_2889022187"/>
      <w:bookmarkStart w:id="30" w:name="_Toc7087068_Копия_1"/>
      <w:bookmarkStart w:id="31" w:name="_Toc7087067_Копия_1"/>
      <w:bookmarkEnd w:id="29"/>
      <w:bookmarkEnd w:id="30"/>
      <w:bookmarkEnd w:id="31"/>
      <w:r>
        <w:rPr>
          <w:rFonts w:ascii="Times New Roman" w:hAnsi="Times New Roman"/>
        </w:rPr>
        <w:t xml:space="preserve">1.2 </w:t>
      </w:r>
      <w:bookmarkStart w:id="32" w:name="_Toc215650180"/>
      <w:bookmarkStart w:id="33" w:name="_Toc7087069"/>
      <w:r>
        <w:rPr>
          <w:rFonts w:ascii="Times New Roman" w:hAnsi="Times New Roman"/>
        </w:rPr>
        <w:t xml:space="preserve">Общие решения системы мониторинга ГТС Загорской ГАЭС-2 в </w:t>
      </w:r>
      <w:bookmarkEnd w:id="33"/>
      <w:r>
        <w:rPr>
          <w:rFonts w:ascii="Times New Roman" w:hAnsi="Times New Roman"/>
        </w:rPr>
        <w:t>строительный период</w:t>
      </w:r>
      <w:bookmarkEnd w:id="32"/>
    </w:p>
    <w:p>
      <w:pPr>
        <w:sectPr>
          <w:headerReference w:type="default" r:id="rId3"/>
          <w:footerReference w:type="default" r:id="rId4"/>
          <w:footerReference w:type="first" r:id="rId5"/>
          <w:type w:val="nextPage"/>
          <w:pgSz w:w="11906" w:h="16838"/>
          <w:pgMar w:left="1701" w:right="1134" w:gutter="0" w:header="397" w:top="1018" w:footer="1" w:bottom="1035"/>
          <w:pgNumType w:start="2" w:fmt="decimal"/>
          <w:formProt w:val="false"/>
          <w:textDirection w:val="lrTb"/>
          <w:docGrid w:type="default" w:linePitch="360" w:charSpace="4096"/>
        </w:sectPr>
        <w:pStyle w:val="Normal"/>
        <w:rPr>
          <w:rFonts w:ascii="Times New Roman" w:hAnsi="Times New Roman"/>
          <w:sz w:val="24"/>
        </w:rPr>
      </w:pPr>
      <w:r>
        <w:rPr>
          <w:rFonts w:ascii="Times New Roman" w:hAnsi="Times New Roman"/>
          <w:sz w:val="24"/>
        </w:rPr>
        <w:t>В таблице 2.1 приведена структурная схема мониторинга ГТС Загорской ГАЭС-2 в строительный период.</w:t>
      </w:r>
    </w:p>
    <w:p>
      <w:pPr>
        <w:pStyle w:val="Normal"/>
        <w:spacing w:lineRule="auto" w:line="240" w:before="0" w:after="120"/>
        <w:ind w:left="0" w:right="0" w:hanging="0"/>
        <w:rPr>
          <w:rFonts w:ascii="Times New Roman" w:hAnsi="Times New Roman"/>
          <w:sz w:val="24"/>
        </w:rPr>
      </w:pPr>
      <w:r>
        <w:rPr>
          <w:rFonts w:ascii="Times New Roman" w:hAnsi="Times New Roman"/>
          <w:sz w:val="24"/>
        </w:rPr>
        <w:t xml:space="preserve">Таблица 2.1 – Структурная схема системы мониторинга ГТС Загорской ГАЭС-2 </w:t>
      </w:r>
    </w:p>
    <w:tbl>
      <w:tblPr>
        <w:tblW w:w="5000" w:type="pct"/>
        <w:jc w:val="left"/>
        <w:tblInd w:w="0" w:type="dxa"/>
        <w:tblLayout w:type="fixed"/>
        <w:tblCellMar>
          <w:top w:w="0" w:type="dxa"/>
          <w:left w:w="108" w:type="dxa"/>
          <w:bottom w:w="0" w:type="dxa"/>
          <w:right w:w="108" w:type="dxa"/>
        </w:tblCellMar>
      </w:tblPr>
      <w:tblGrid>
        <w:gridCol w:w="4425"/>
        <w:gridCol w:w="4707"/>
        <w:gridCol w:w="5022"/>
        <w:gridCol w:w="4825"/>
        <w:gridCol w:w="1997"/>
      </w:tblGrid>
      <w:tr>
        <w:trPr>
          <w:tblHeader w:val="true"/>
          <w:trHeight w:val="539" w:hRule="atLeast"/>
        </w:trPr>
        <w:tc>
          <w:tcPr>
            <w:tcW w:w="4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rFonts w:eastAsia="Calibri"/>
                <w:bCs/>
                <w:sz w:val="24"/>
                <w:szCs w:val="24"/>
              </w:rPr>
            </w:pPr>
            <w:r>
              <w:rPr>
                <w:rFonts w:eastAsia="Calibri" w:cs="Times New Roman" w:ascii="Times New Roman" w:hAnsi="Times New Roman"/>
                <w:bCs/>
                <w:kern w:val="0"/>
                <w:sz w:val="24"/>
                <w:szCs w:val="24"/>
                <w:lang w:val="ru-RU" w:eastAsia="ru-RU" w:bidi="ar-SA"/>
              </w:rPr>
              <w:t>Наименование наблюдений</w:t>
            </w:r>
          </w:p>
        </w:tc>
        <w:tc>
          <w:tcPr>
            <w:tcW w:w="4707" w:type="dxa"/>
            <w:tcBorders>
              <w:top w:val="single" w:sz="4" w:space="0" w:color="000000"/>
              <w:left w:val="single" w:sz="4" w:space="0" w:color="000000"/>
              <w:bottom w:val="single" w:sz="4" w:space="0" w:color="000000"/>
              <w:right w:val="single" w:sz="4" w:space="0" w:color="000000"/>
            </w:tcBorders>
            <w:vAlign w:val="center"/>
          </w:tcPr>
          <w:p>
            <w:pPr>
              <w:pStyle w:val="ListParagraph"/>
              <w:widowControl w:val="false"/>
              <w:suppressAutoHyphens w:val="true"/>
              <w:spacing w:lineRule="auto" w:line="240" w:before="0" w:after="0"/>
              <w:contextualSpacing w:val="false"/>
              <w:jc w:val="center"/>
              <w:rPr>
                <w:spacing w:val="-1"/>
                <w:sz w:val="24"/>
                <w:szCs w:val="24"/>
              </w:rPr>
            </w:pPr>
            <w:r>
              <w:rPr>
                <w:rFonts w:eastAsia="Times New Roman" w:cs="Times New Roman" w:ascii="Times New Roman" w:hAnsi="Times New Roman"/>
                <w:spacing w:val="-1"/>
                <w:kern w:val="0"/>
                <w:sz w:val="24"/>
                <w:szCs w:val="24"/>
                <w:lang w:val="ru-RU" w:eastAsia="ru-RU" w:bidi="ar-SA"/>
              </w:rPr>
              <w:t xml:space="preserve">Перечень контролируемых сооружений </w:t>
            </w:r>
          </w:p>
        </w:tc>
        <w:tc>
          <w:tcPr>
            <w:tcW w:w="5022" w:type="dxa"/>
            <w:tcBorders>
              <w:top w:val="single" w:sz="4" w:space="0" w:color="000000"/>
              <w:left w:val="single" w:sz="4" w:space="0" w:color="000000"/>
              <w:bottom w:val="single" w:sz="4" w:space="0" w:color="000000"/>
              <w:right w:val="single" w:sz="4" w:space="0" w:color="000000"/>
            </w:tcBorders>
            <w:vAlign w:val="center"/>
          </w:tcPr>
          <w:p>
            <w:pPr>
              <w:pStyle w:val="ListParagraph"/>
              <w:widowControl w:val="false"/>
              <w:suppressAutoHyphens w:val="true"/>
              <w:spacing w:lineRule="auto" w:line="240" w:before="0" w:after="0"/>
              <w:contextualSpacing w:val="false"/>
              <w:jc w:val="center"/>
              <w:rPr>
                <w:spacing w:val="-1"/>
                <w:sz w:val="24"/>
                <w:szCs w:val="24"/>
              </w:rPr>
            </w:pPr>
            <w:r>
              <w:rPr>
                <w:rFonts w:eastAsia="Times New Roman" w:cs="Times New Roman" w:ascii="Times New Roman" w:hAnsi="Times New Roman"/>
                <w:spacing w:val="-1"/>
                <w:kern w:val="0"/>
                <w:sz w:val="24"/>
                <w:szCs w:val="24"/>
                <w:lang w:val="ru-RU" w:eastAsia="ru-RU" w:bidi="ar-SA"/>
              </w:rPr>
              <w:t>Виды наблюдений</w:t>
            </w:r>
          </w:p>
        </w:tc>
        <w:tc>
          <w:tcPr>
            <w:tcW w:w="4825" w:type="dxa"/>
            <w:tcBorders>
              <w:top w:val="single" w:sz="4" w:space="0" w:color="000000"/>
              <w:left w:val="single" w:sz="4" w:space="0" w:color="000000"/>
              <w:bottom w:val="single" w:sz="4" w:space="0" w:color="000000"/>
              <w:right w:val="single" w:sz="4" w:space="0" w:color="000000"/>
            </w:tcBorders>
            <w:vAlign w:val="center"/>
          </w:tcPr>
          <w:p>
            <w:pPr>
              <w:pStyle w:val="ListParagraph"/>
              <w:widowControl w:val="false"/>
              <w:suppressAutoHyphens w:val="true"/>
              <w:spacing w:lineRule="auto" w:line="240" w:before="0" w:after="0"/>
              <w:contextualSpacing w:val="false"/>
              <w:jc w:val="center"/>
              <w:rPr>
                <w:spacing w:val="-1"/>
                <w:sz w:val="24"/>
                <w:szCs w:val="24"/>
              </w:rPr>
            </w:pPr>
            <w:r>
              <w:rPr>
                <w:rFonts w:eastAsia="Times New Roman" w:cs="Times New Roman" w:ascii="Times New Roman" w:hAnsi="Times New Roman"/>
                <w:spacing w:val="-1"/>
                <w:kern w:val="0"/>
                <w:sz w:val="24"/>
                <w:szCs w:val="24"/>
                <w:lang w:val="ru-RU" w:eastAsia="ru-RU" w:bidi="ar-SA"/>
              </w:rPr>
              <w:t>Перечень КИА</w:t>
            </w:r>
          </w:p>
        </w:tc>
        <w:tc>
          <w:tcPr>
            <w:tcW w:w="1997" w:type="dxa"/>
            <w:tcBorders>
              <w:top w:val="single" w:sz="4" w:space="0" w:color="000000"/>
              <w:left w:val="single" w:sz="4" w:space="0" w:color="000000"/>
              <w:bottom w:val="single" w:sz="4" w:space="0" w:color="000000"/>
              <w:right w:val="single" w:sz="4" w:space="0" w:color="000000"/>
            </w:tcBorders>
            <w:vAlign w:val="center"/>
          </w:tcPr>
          <w:p>
            <w:pPr>
              <w:pStyle w:val="ListParagraph"/>
              <w:widowControl w:val="false"/>
              <w:suppressAutoHyphens w:val="true"/>
              <w:spacing w:lineRule="auto" w:line="240" w:before="0" w:after="0"/>
              <w:contextualSpacing w:val="false"/>
              <w:jc w:val="center"/>
              <w:rPr>
                <w:spacing w:val="-1"/>
                <w:sz w:val="24"/>
                <w:szCs w:val="24"/>
              </w:rPr>
            </w:pPr>
            <w:r>
              <w:rPr>
                <w:rFonts w:eastAsia="Times New Roman" w:cs="Times New Roman" w:ascii="Times New Roman" w:hAnsi="Times New Roman"/>
                <w:spacing w:val="-1"/>
                <w:kern w:val="0"/>
                <w:sz w:val="24"/>
                <w:szCs w:val="24"/>
                <w:lang w:val="ru-RU" w:eastAsia="ru-RU" w:bidi="ar-SA"/>
              </w:rPr>
              <w:t>Наличие автоматизации</w:t>
            </w:r>
          </w:p>
        </w:tc>
      </w:tr>
      <w:tr>
        <w:trPr/>
        <w:tc>
          <w:tcPr>
            <w:tcW w:w="4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rFonts w:eastAsia="Calibri"/>
                <w:bCs/>
                <w:sz w:val="24"/>
                <w:szCs w:val="24"/>
              </w:rPr>
            </w:pPr>
            <w:r>
              <w:rPr>
                <w:rFonts w:eastAsia="Calibri" w:cs="Times New Roman" w:ascii="Times New Roman" w:hAnsi="Times New Roman"/>
                <w:bCs/>
                <w:kern w:val="0"/>
                <w:sz w:val="24"/>
                <w:szCs w:val="24"/>
                <w:lang w:val="ru-RU" w:eastAsia="ru-RU" w:bidi="ar-SA"/>
              </w:rPr>
              <w:t>1 Контрольные наблюдения за показателями состояния ГТС станционного узла Загорской ГАЭС-2 в строительный период</w:t>
            </w:r>
          </w:p>
        </w:tc>
        <w:tc>
          <w:tcPr>
            <w:tcW w:w="4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rFonts w:eastAsia="Calibri"/>
                <w:bCs/>
                <w:sz w:val="24"/>
                <w:szCs w:val="24"/>
              </w:rPr>
            </w:pPr>
            <w:r>
              <w:rPr>
                <w:rFonts w:eastAsia="Calibri" w:cs="Times New Roman" w:ascii="Times New Roman" w:hAnsi="Times New Roman"/>
                <w:bCs/>
                <w:kern w:val="0"/>
                <w:sz w:val="24"/>
                <w:szCs w:val="24"/>
                <w:lang w:val="ru-RU" w:eastAsia="ru-RU" w:bidi="ar-SA"/>
              </w:rPr>
              <w:t>1 Следующие ГТС станционного узла и прилегающие территории данных сооружений:</w:t>
            </w:r>
          </w:p>
          <w:p>
            <w:pPr>
              <w:pStyle w:val="Normal"/>
              <w:widowControl w:val="false"/>
              <w:suppressAutoHyphens w:val="true"/>
              <w:spacing w:lineRule="auto" w:line="240" w:before="0" w:after="0"/>
              <w:ind w:left="0" w:right="0" w:hanging="0"/>
              <w:jc w:val="left"/>
              <w:rPr>
                <w:rFonts w:eastAsia="Calibri"/>
                <w:bCs/>
                <w:sz w:val="24"/>
                <w:szCs w:val="24"/>
              </w:rPr>
            </w:pPr>
            <w:r>
              <w:rPr>
                <w:rFonts w:eastAsia="Calibri" w:cs="Times New Roman" w:ascii="Times New Roman" w:hAnsi="Times New Roman"/>
                <w:bCs/>
                <w:kern w:val="0"/>
                <w:sz w:val="24"/>
                <w:szCs w:val="24"/>
                <w:lang w:val="ru-RU" w:eastAsia="ru-RU" w:bidi="ar-SA"/>
              </w:rPr>
              <w:t>- здание ГАЭС;</w:t>
            </w:r>
          </w:p>
          <w:p>
            <w:pPr>
              <w:pStyle w:val="Normal"/>
              <w:widowControl w:val="false"/>
              <w:suppressAutoHyphens w:val="true"/>
              <w:spacing w:lineRule="auto" w:line="240" w:before="0" w:after="0"/>
              <w:ind w:left="0" w:right="0" w:hanging="0"/>
              <w:jc w:val="left"/>
              <w:rPr>
                <w:rFonts w:eastAsia="Calibri"/>
                <w:bCs/>
                <w:sz w:val="24"/>
                <w:szCs w:val="24"/>
              </w:rPr>
            </w:pPr>
            <w:r>
              <w:rPr>
                <w:rFonts w:eastAsia="Calibri" w:cs="Times New Roman" w:ascii="Times New Roman" w:hAnsi="Times New Roman"/>
                <w:bCs/>
                <w:kern w:val="0"/>
                <w:sz w:val="24"/>
                <w:szCs w:val="24"/>
                <w:lang w:val="ru-RU" w:eastAsia="ru-RU" w:bidi="ar-SA"/>
              </w:rPr>
              <w:t>- монтажная площадка;</w:t>
            </w:r>
          </w:p>
          <w:p>
            <w:pPr>
              <w:pStyle w:val="Normal"/>
              <w:widowControl w:val="false"/>
              <w:suppressAutoHyphens w:val="true"/>
              <w:spacing w:lineRule="auto" w:line="240" w:before="0" w:after="0"/>
              <w:ind w:left="0" w:right="0" w:hanging="0"/>
              <w:jc w:val="left"/>
              <w:rPr>
                <w:rFonts w:eastAsia="Calibri"/>
                <w:bCs/>
                <w:sz w:val="24"/>
                <w:szCs w:val="24"/>
              </w:rPr>
            </w:pPr>
            <w:r>
              <w:rPr>
                <w:rFonts w:eastAsia="Calibri" w:cs="Times New Roman" w:ascii="Times New Roman" w:hAnsi="Times New Roman"/>
                <w:bCs/>
                <w:kern w:val="0"/>
                <w:sz w:val="24"/>
                <w:szCs w:val="24"/>
                <w:lang w:val="ru-RU" w:eastAsia="ru-RU" w:bidi="ar-SA"/>
              </w:rPr>
              <w:t>- служебно-производственный комплекс;</w:t>
            </w:r>
          </w:p>
          <w:p>
            <w:pPr>
              <w:pStyle w:val="Normal"/>
              <w:widowControl w:val="false"/>
              <w:suppressAutoHyphens w:val="true"/>
              <w:spacing w:lineRule="auto" w:line="240" w:before="0" w:after="0"/>
              <w:ind w:left="0" w:right="0" w:hanging="0"/>
              <w:jc w:val="left"/>
              <w:rPr>
                <w:rFonts w:eastAsia="Calibri"/>
                <w:bCs/>
                <w:sz w:val="24"/>
                <w:szCs w:val="24"/>
              </w:rPr>
            </w:pPr>
            <w:r>
              <w:rPr>
                <w:rFonts w:eastAsia="Calibri" w:cs="Times New Roman" w:ascii="Times New Roman" w:hAnsi="Times New Roman"/>
                <w:bCs/>
                <w:kern w:val="0"/>
                <w:sz w:val="24"/>
                <w:szCs w:val="24"/>
                <w:lang w:val="ru-RU" w:eastAsia="ru-RU" w:bidi="ar-SA"/>
              </w:rPr>
              <w:t xml:space="preserve">- подпорные стены №№ ПС-3, ПС-4, ПС-5, ПС-8, ПС-9, ПС-10, ПВ-3 ÷ ПВ-5, </w:t>
              <w:br/>
              <w:t>ЛВ-1 ÷ ЛВ-6;</w:t>
            </w:r>
          </w:p>
          <w:p>
            <w:pPr>
              <w:pStyle w:val="Normal"/>
              <w:widowControl w:val="false"/>
              <w:suppressAutoHyphens w:val="true"/>
              <w:spacing w:lineRule="auto" w:line="240" w:before="0" w:after="0"/>
              <w:ind w:left="0" w:right="0" w:hanging="0"/>
              <w:jc w:val="left"/>
              <w:rPr>
                <w:rFonts w:eastAsia="Calibri"/>
                <w:bCs/>
                <w:sz w:val="24"/>
                <w:szCs w:val="24"/>
              </w:rPr>
            </w:pPr>
            <w:r>
              <w:rPr>
                <w:rFonts w:eastAsia="Calibri" w:cs="Times New Roman" w:ascii="Times New Roman" w:hAnsi="Times New Roman"/>
                <w:bCs/>
                <w:kern w:val="0"/>
                <w:sz w:val="24"/>
                <w:szCs w:val="24"/>
                <w:lang w:val="ru-RU" w:eastAsia="ru-RU" w:bidi="ar-SA"/>
              </w:rPr>
              <w:t>- ППТУ-4;</w:t>
            </w:r>
          </w:p>
          <w:p>
            <w:pPr>
              <w:pStyle w:val="Normal"/>
              <w:widowControl w:val="false"/>
              <w:suppressAutoHyphens w:val="true"/>
              <w:spacing w:lineRule="auto" w:line="240" w:before="0" w:after="0"/>
              <w:ind w:left="0" w:right="0" w:hanging="0"/>
              <w:jc w:val="left"/>
              <w:rPr>
                <w:rFonts w:eastAsia="Calibri"/>
                <w:bCs/>
                <w:sz w:val="24"/>
                <w:szCs w:val="24"/>
              </w:rPr>
            </w:pPr>
            <w:r>
              <w:rPr>
                <w:rFonts w:eastAsia="Calibri" w:cs="Times New Roman" w:ascii="Times New Roman" w:hAnsi="Times New Roman"/>
                <w:bCs/>
                <w:kern w:val="0"/>
                <w:sz w:val="24"/>
                <w:szCs w:val="24"/>
                <w:lang w:val="ru-RU" w:eastAsia="ru-RU" w:bidi="ar-SA"/>
              </w:rPr>
              <w:t>- перемычка реверсивного канала;</w:t>
            </w:r>
          </w:p>
          <w:p>
            <w:pPr>
              <w:pStyle w:val="Normal"/>
              <w:widowControl w:val="false"/>
              <w:suppressAutoHyphens w:val="true"/>
              <w:spacing w:lineRule="auto" w:line="240" w:before="0" w:after="0"/>
              <w:ind w:left="0" w:right="0" w:hanging="0"/>
              <w:jc w:val="left"/>
              <w:rPr>
                <w:rFonts w:eastAsia="Calibri"/>
                <w:bCs/>
                <w:sz w:val="24"/>
                <w:szCs w:val="24"/>
              </w:rPr>
            </w:pPr>
            <w:r>
              <w:rPr>
                <w:rFonts w:eastAsia="Calibri" w:cs="Times New Roman" w:ascii="Times New Roman" w:hAnsi="Times New Roman"/>
                <w:bCs/>
                <w:kern w:val="0"/>
                <w:sz w:val="24"/>
                <w:szCs w:val="24"/>
                <w:lang w:val="ru-RU" w:eastAsia="ru-RU" w:bidi="ar-SA"/>
              </w:rPr>
              <w:t>- площадка размещения КРУЭ-500</w:t>
            </w:r>
          </w:p>
        </w:tc>
        <w:tc>
          <w:tcPr>
            <w:tcW w:w="5022" w:type="dxa"/>
            <w:tcBorders>
              <w:top w:val="single" w:sz="4" w:space="0" w:color="000000"/>
              <w:left w:val="single" w:sz="4" w:space="0" w:color="000000"/>
              <w:bottom w:val="single" w:sz="4" w:space="0" w:color="000000"/>
              <w:right w:val="single" w:sz="4" w:space="0" w:color="000000"/>
            </w:tcBorders>
            <w:vAlign w:val="center"/>
          </w:tcPr>
          <w:p>
            <w:pPr>
              <w:pStyle w:val="ListParagraph"/>
              <w:widowControl w:val="false"/>
              <w:suppressAutoHyphens w:val="true"/>
              <w:spacing w:lineRule="auto" w:line="240" w:before="0" w:after="0"/>
              <w:contextualSpacing w:val="false"/>
              <w:jc w:val="left"/>
              <w:rPr>
                <w:spacing w:val="-1"/>
                <w:sz w:val="24"/>
                <w:szCs w:val="24"/>
              </w:rPr>
            </w:pPr>
            <w:r>
              <w:rPr>
                <w:rFonts w:eastAsia="Times New Roman" w:cs="Times New Roman" w:ascii="Times New Roman" w:hAnsi="Times New Roman"/>
                <w:spacing w:val="-1"/>
                <w:kern w:val="0"/>
                <w:sz w:val="24"/>
                <w:szCs w:val="24"/>
                <w:lang w:val="ru-RU" w:eastAsia="ru-RU" w:bidi="ar-SA"/>
              </w:rPr>
              <w:t>1 Визуальные наблюдения за сооружениями и прилегающей к ним территории;</w:t>
            </w:r>
          </w:p>
          <w:p>
            <w:pPr>
              <w:pStyle w:val="ListParagraph"/>
              <w:widowControl w:val="false"/>
              <w:suppressAutoHyphens w:val="true"/>
              <w:spacing w:lineRule="auto" w:line="240" w:before="0" w:after="0"/>
              <w:contextualSpacing w:val="false"/>
              <w:jc w:val="left"/>
              <w:rPr>
                <w:spacing w:val="-1"/>
                <w:sz w:val="24"/>
                <w:szCs w:val="24"/>
              </w:rPr>
            </w:pPr>
            <w:r>
              <w:rPr>
                <w:rFonts w:eastAsia="Times New Roman" w:cs="Times New Roman" w:ascii="Times New Roman" w:hAnsi="Times New Roman"/>
                <w:spacing w:val="-1"/>
                <w:kern w:val="0"/>
                <w:sz w:val="24"/>
                <w:szCs w:val="24"/>
                <w:lang w:val="ru-RU" w:eastAsia="ru-RU" w:bidi="ar-SA"/>
              </w:rPr>
              <w:t>2 Инструментальные наблюдения:</w:t>
            </w:r>
          </w:p>
          <w:p>
            <w:pPr>
              <w:pStyle w:val="ListParagraph"/>
              <w:widowControl w:val="false"/>
              <w:suppressAutoHyphens w:val="true"/>
              <w:spacing w:lineRule="auto" w:line="240" w:before="0" w:after="0"/>
              <w:contextualSpacing w:val="false"/>
              <w:jc w:val="left"/>
              <w:rPr>
                <w:spacing w:val="-1"/>
                <w:sz w:val="24"/>
                <w:szCs w:val="24"/>
              </w:rPr>
            </w:pPr>
            <w:r>
              <w:rPr>
                <w:rFonts w:eastAsia="Times New Roman" w:cs="Times New Roman" w:ascii="Times New Roman" w:hAnsi="Times New Roman"/>
                <w:spacing w:val="-1"/>
                <w:kern w:val="0"/>
                <w:sz w:val="24"/>
                <w:szCs w:val="24"/>
                <w:lang w:val="ru-RU" w:eastAsia="ru-RU" w:bidi="ar-SA"/>
              </w:rPr>
              <w:t>- по закладной струнной КИА;</w:t>
            </w:r>
          </w:p>
          <w:p>
            <w:pPr>
              <w:pStyle w:val="ListParagraph"/>
              <w:widowControl w:val="false"/>
              <w:suppressAutoHyphens w:val="true"/>
              <w:spacing w:lineRule="auto" w:line="240" w:before="0" w:after="0"/>
              <w:contextualSpacing w:val="false"/>
              <w:jc w:val="left"/>
              <w:rPr>
                <w:spacing w:val="-1"/>
                <w:sz w:val="24"/>
                <w:szCs w:val="24"/>
              </w:rPr>
            </w:pPr>
            <w:r>
              <w:rPr>
                <w:rFonts w:eastAsia="Times New Roman" w:cs="Times New Roman" w:ascii="Times New Roman" w:hAnsi="Times New Roman"/>
                <w:spacing w:val="-1"/>
                <w:kern w:val="0"/>
                <w:sz w:val="24"/>
                <w:szCs w:val="24"/>
                <w:lang w:val="ru-RU" w:eastAsia="ru-RU" w:bidi="ar-SA"/>
              </w:rPr>
              <w:t>- по фильтрационной КИА;</w:t>
            </w:r>
          </w:p>
          <w:p>
            <w:pPr>
              <w:pStyle w:val="ListParagraph"/>
              <w:widowControl w:val="false"/>
              <w:suppressAutoHyphens w:val="true"/>
              <w:spacing w:lineRule="auto" w:line="240" w:before="0" w:after="0"/>
              <w:contextualSpacing w:val="false"/>
              <w:jc w:val="left"/>
              <w:rPr>
                <w:spacing w:val="-1"/>
                <w:sz w:val="24"/>
                <w:szCs w:val="24"/>
              </w:rPr>
            </w:pPr>
            <w:r>
              <w:rPr>
                <w:rFonts w:eastAsia="Times New Roman" w:cs="Times New Roman" w:ascii="Times New Roman" w:hAnsi="Times New Roman"/>
                <w:spacing w:val="-1"/>
                <w:kern w:val="0"/>
                <w:sz w:val="24"/>
                <w:szCs w:val="24"/>
                <w:lang w:val="ru-RU" w:eastAsia="ru-RU" w:bidi="ar-SA"/>
              </w:rPr>
              <w:t>- за вертикальными перемещениями сооружений (нивелирование II и III классов);</w:t>
            </w:r>
          </w:p>
          <w:p>
            <w:pPr>
              <w:pStyle w:val="ListParagraph"/>
              <w:widowControl w:val="false"/>
              <w:suppressAutoHyphens w:val="true"/>
              <w:spacing w:lineRule="auto" w:line="240" w:before="0" w:after="0"/>
              <w:contextualSpacing w:val="false"/>
              <w:jc w:val="left"/>
              <w:rPr>
                <w:spacing w:val="-1"/>
                <w:sz w:val="24"/>
                <w:szCs w:val="24"/>
              </w:rPr>
            </w:pPr>
            <w:r>
              <w:rPr>
                <w:rFonts w:eastAsia="Times New Roman" w:cs="Times New Roman" w:ascii="Times New Roman" w:hAnsi="Times New Roman"/>
                <w:spacing w:val="-1"/>
                <w:kern w:val="0"/>
                <w:sz w:val="24"/>
                <w:szCs w:val="24"/>
                <w:lang w:val="ru-RU" w:eastAsia="ru-RU" w:bidi="ar-SA"/>
              </w:rPr>
              <w:t>- за вертикальными перемещениями грунта в зоне здания ГАЭС (нивелирование III класса);</w:t>
            </w:r>
          </w:p>
          <w:p>
            <w:pPr>
              <w:pStyle w:val="ListParagraph"/>
              <w:widowControl w:val="false"/>
              <w:suppressAutoHyphens w:val="true"/>
              <w:spacing w:lineRule="auto" w:line="240" w:before="0" w:after="0"/>
              <w:contextualSpacing w:val="false"/>
              <w:jc w:val="left"/>
              <w:rPr>
                <w:spacing w:val="-1"/>
                <w:sz w:val="24"/>
                <w:szCs w:val="24"/>
              </w:rPr>
            </w:pPr>
            <w:r>
              <w:rPr>
                <w:rFonts w:eastAsia="Times New Roman" w:cs="Times New Roman" w:ascii="Times New Roman" w:hAnsi="Times New Roman"/>
                <w:spacing w:val="-1"/>
                <w:kern w:val="0"/>
                <w:sz w:val="24"/>
                <w:szCs w:val="24"/>
                <w:lang w:val="ru-RU" w:eastAsia="ru-RU" w:bidi="ar-SA"/>
              </w:rPr>
              <w:t>- по трёхмарочным щелемерам;</w:t>
            </w:r>
          </w:p>
          <w:p>
            <w:pPr>
              <w:pStyle w:val="ListParagraph"/>
              <w:widowControl w:val="false"/>
              <w:suppressAutoHyphens w:val="true"/>
              <w:spacing w:lineRule="auto" w:line="240" w:before="0" w:after="0"/>
              <w:contextualSpacing w:val="false"/>
              <w:jc w:val="left"/>
              <w:rPr>
                <w:spacing w:val="-1"/>
                <w:sz w:val="24"/>
                <w:szCs w:val="24"/>
              </w:rPr>
            </w:pPr>
            <w:r>
              <w:rPr>
                <w:rFonts w:eastAsia="Times New Roman" w:cs="Times New Roman" w:ascii="Times New Roman" w:hAnsi="Times New Roman"/>
                <w:spacing w:val="-1"/>
                <w:kern w:val="0"/>
                <w:sz w:val="24"/>
                <w:szCs w:val="24"/>
                <w:lang w:val="ru-RU" w:eastAsia="ru-RU" w:bidi="ar-SA"/>
              </w:rPr>
              <w:t>- по планово-высотным знакам</w:t>
            </w:r>
          </w:p>
        </w:tc>
        <w:tc>
          <w:tcPr>
            <w:tcW w:w="4825" w:type="dxa"/>
            <w:tcBorders>
              <w:top w:val="single" w:sz="4" w:space="0" w:color="000000"/>
              <w:left w:val="single" w:sz="4" w:space="0" w:color="000000"/>
              <w:bottom w:val="single" w:sz="4" w:space="0" w:color="000000"/>
              <w:right w:val="single" w:sz="4" w:space="0" w:color="000000"/>
            </w:tcBorders>
            <w:vAlign w:val="center"/>
          </w:tcPr>
          <w:p>
            <w:pPr>
              <w:pStyle w:val="ListParagraph"/>
              <w:widowControl w:val="false"/>
              <w:suppressAutoHyphens w:val="true"/>
              <w:spacing w:lineRule="auto" w:line="240" w:before="0" w:after="0"/>
              <w:contextualSpacing w:val="false"/>
              <w:jc w:val="center"/>
              <w:rPr>
                <w:spacing w:val="-1"/>
                <w:sz w:val="24"/>
                <w:szCs w:val="24"/>
              </w:rPr>
            </w:pPr>
            <w:r>
              <w:rPr>
                <w:rFonts w:eastAsia="Times New Roman" w:cs="Times New Roman" w:ascii="Times New Roman" w:hAnsi="Times New Roman"/>
                <w:spacing w:val="-1"/>
                <w:kern w:val="0"/>
                <w:sz w:val="24"/>
                <w:szCs w:val="24"/>
                <w:lang w:val="ru-RU" w:eastAsia="ru-RU" w:bidi="ar-SA"/>
              </w:rPr>
              <w:t>Труба-марки, марки поверхностные бетонные, свето-дальномерные знаки, преобразователи давления струнные, пьезометры закладные, преобразователи температуры струнные, преобразователи силы арматурные струнные, преобразователи линейных деформаций струнные, марки бетонные стеновые, трёхмарочные щелемеры, опускные пьезометры, марки поверхностные грунтовые, планово-высотные знаки</w:t>
            </w:r>
          </w:p>
        </w:tc>
        <w:tc>
          <w:tcPr>
            <w:tcW w:w="1997" w:type="dxa"/>
            <w:tcBorders>
              <w:top w:val="single" w:sz="4" w:space="0" w:color="000000"/>
              <w:left w:val="single" w:sz="4" w:space="0" w:color="000000"/>
              <w:bottom w:val="single" w:sz="4" w:space="0" w:color="000000"/>
              <w:right w:val="single" w:sz="4" w:space="0" w:color="000000"/>
            </w:tcBorders>
            <w:vAlign w:val="center"/>
          </w:tcPr>
          <w:p>
            <w:pPr>
              <w:pStyle w:val="ListParagraph"/>
              <w:widowControl w:val="false"/>
              <w:suppressAutoHyphens w:val="true"/>
              <w:spacing w:lineRule="auto" w:line="240" w:before="0" w:after="0"/>
              <w:contextualSpacing w:val="false"/>
              <w:jc w:val="center"/>
              <w:rPr>
                <w:spacing w:val="-1"/>
                <w:sz w:val="24"/>
                <w:szCs w:val="24"/>
              </w:rPr>
            </w:pPr>
            <w:r>
              <w:rPr>
                <w:rFonts w:eastAsia="Times New Roman" w:cs="Times New Roman" w:ascii="Times New Roman" w:hAnsi="Times New Roman"/>
                <w:spacing w:val="-1"/>
                <w:kern w:val="0"/>
                <w:sz w:val="24"/>
                <w:szCs w:val="24"/>
                <w:lang w:val="ru-RU" w:eastAsia="ru-RU" w:bidi="ar-SA"/>
              </w:rPr>
              <w:t>Предусмотрена частичная</w:t>
            </w:r>
            <w:r>
              <w:rPr>
                <w:rFonts w:eastAsia="Times New Roman" w:cs="Times New Roman" w:ascii="Times New Roman" w:hAnsi="Times New Roman"/>
                <w:kern w:val="0"/>
                <w:sz w:val="24"/>
                <w:szCs w:val="24"/>
                <w:lang w:val="ru-RU" w:eastAsia="ru-RU" w:bidi="ar-SA"/>
              </w:rPr>
              <w:t xml:space="preserve"> АСДК КИА (вся струнная КИА здания ГАЭС кроме спиральных камер ГА № 8 и № 9)</w:t>
            </w:r>
          </w:p>
        </w:tc>
      </w:tr>
      <w:tr>
        <w:trPr/>
        <w:tc>
          <w:tcPr>
            <w:tcW w:w="4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rFonts w:eastAsia="Calibri"/>
                <w:bCs/>
                <w:sz w:val="24"/>
                <w:szCs w:val="24"/>
              </w:rPr>
            </w:pPr>
            <w:r>
              <w:rPr>
                <w:rFonts w:eastAsia="Calibri" w:cs="Times New Roman" w:ascii="Times New Roman" w:hAnsi="Times New Roman"/>
                <w:bCs/>
                <w:kern w:val="0"/>
                <w:sz w:val="24"/>
                <w:szCs w:val="24"/>
                <w:lang w:val="ru-RU" w:eastAsia="ru-RU" w:bidi="ar-SA"/>
              </w:rPr>
              <w:t>2 Специальные наблюдения за напряженно-деформированным состоянием здания ГАЭС-2 в строительный период</w:t>
            </w:r>
          </w:p>
        </w:tc>
        <w:tc>
          <w:tcPr>
            <w:tcW w:w="4707" w:type="dxa"/>
            <w:tcBorders>
              <w:top w:val="single" w:sz="4" w:space="0" w:color="000000"/>
              <w:left w:val="single" w:sz="4" w:space="0" w:color="000000"/>
              <w:bottom w:val="single" w:sz="4" w:space="0" w:color="000000"/>
              <w:right w:val="single" w:sz="4" w:space="0" w:color="000000"/>
            </w:tcBorders>
            <w:vAlign w:val="center"/>
          </w:tcPr>
          <w:p>
            <w:pPr>
              <w:pStyle w:val="ListParagraph"/>
              <w:widowControl w:val="false"/>
              <w:suppressAutoHyphens w:val="true"/>
              <w:spacing w:lineRule="auto" w:line="240" w:before="0" w:after="0"/>
              <w:contextualSpacing w:val="false"/>
              <w:jc w:val="left"/>
              <w:rPr>
                <w:spacing w:val="-1"/>
                <w:sz w:val="24"/>
                <w:szCs w:val="24"/>
              </w:rPr>
            </w:pPr>
            <w:r>
              <w:rPr>
                <w:rFonts w:eastAsia="Times New Roman" w:cs="Times New Roman" w:ascii="Times New Roman" w:hAnsi="Times New Roman"/>
                <w:spacing w:val="-1"/>
                <w:kern w:val="0"/>
                <w:sz w:val="24"/>
                <w:szCs w:val="24"/>
                <w:lang w:val="ru-RU" w:eastAsia="ru-RU" w:bidi="ar-SA"/>
              </w:rPr>
              <w:t>Здание ГАЭС</w:t>
            </w:r>
          </w:p>
        </w:tc>
        <w:tc>
          <w:tcPr>
            <w:tcW w:w="5022" w:type="dxa"/>
            <w:tcBorders>
              <w:top w:val="single" w:sz="4" w:space="0" w:color="000000"/>
              <w:left w:val="single" w:sz="4" w:space="0" w:color="000000"/>
              <w:bottom w:val="single" w:sz="4" w:space="0" w:color="000000"/>
              <w:right w:val="single" w:sz="4" w:space="0" w:color="000000"/>
            </w:tcBorders>
            <w:vAlign w:val="center"/>
          </w:tcPr>
          <w:p>
            <w:pPr>
              <w:pStyle w:val="ListParagraph"/>
              <w:widowControl w:val="false"/>
              <w:suppressAutoHyphens w:val="true"/>
              <w:spacing w:lineRule="auto" w:line="240" w:before="0" w:after="0"/>
              <w:contextualSpacing w:val="false"/>
              <w:jc w:val="left"/>
              <w:rPr>
                <w:spacing w:val="-1"/>
                <w:sz w:val="24"/>
                <w:szCs w:val="24"/>
              </w:rPr>
            </w:pPr>
            <w:r>
              <w:rPr>
                <w:rFonts w:eastAsia="Times New Roman" w:cs="Times New Roman" w:ascii="Times New Roman" w:hAnsi="Times New Roman"/>
                <w:spacing w:val="-1"/>
                <w:kern w:val="0"/>
                <w:sz w:val="24"/>
                <w:szCs w:val="24"/>
                <w:lang w:val="ru-RU" w:eastAsia="ru-RU" w:bidi="ar-SA"/>
              </w:rPr>
              <w:t>1 Визуальные наблюдения за зданием (отм. 166,400, 142,700, 125,400 м);</w:t>
            </w:r>
          </w:p>
          <w:p>
            <w:pPr>
              <w:pStyle w:val="ListParagraph"/>
              <w:widowControl w:val="false"/>
              <w:suppressAutoHyphens w:val="true"/>
              <w:spacing w:lineRule="auto" w:line="240" w:before="0" w:after="0"/>
              <w:contextualSpacing w:val="false"/>
              <w:jc w:val="left"/>
              <w:rPr>
                <w:spacing w:val="-1"/>
                <w:sz w:val="24"/>
                <w:szCs w:val="24"/>
              </w:rPr>
            </w:pPr>
            <w:r>
              <w:rPr>
                <w:rFonts w:eastAsia="Times New Roman" w:cs="Times New Roman" w:ascii="Times New Roman" w:hAnsi="Times New Roman"/>
                <w:spacing w:val="-1"/>
                <w:kern w:val="0"/>
                <w:sz w:val="24"/>
                <w:szCs w:val="24"/>
                <w:lang w:val="ru-RU" w:eastAsia="ru-RU" w:bidi="ar-SA"/>
              </w:rPr>
              <w:t>2 Инструментальные наблюдения по закладной струнной КИА спецконтроля за НДС</w:t>
            </w:r>
          </w:p>
        </w:tc>
        <w:tc>
          <w:tcPr>
            <w:tcW w:w="48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Преобразователи силы арматурные струнные, преобразователи линейных перемещений струнные, преобразователи температуры струнные, преобразователи линейных деформаций струнные</w:t>
            </w:r>
          </w:p>
        </w:tc>
        <w:tc>
          <w:tcPr>
            <w:tcW w:w="199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Предусмотрена АСДК КИА</w:t>
            </w:r>
          </w:p>
        </w:tc>
      </w:tr>
      <w:tr>
        <w:trPr/>
        <w:tc>
          <w:tcPr>
            <w:tcW w:w="4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rFonts w:eastAsia="Calibri"/>
                <w:bCs/>
                <w:sz w:val="24"/>
                <w:szCs w:val="24"/>
              </w:rPr>
            </w:pPr>
            <w:r>
              <w:rPr>
                <w:rFonts w:eastAsia="Calibri" w:cs="Times New Roman" w:ascii="Times New Roman" w:hAnsi="Times New Roman"/>
                <w:bCs/>
                <w:kern w:val="0"/>
                <w:sz w:val="24"/>
                <w:szCs w:val="24"/>
                <w:lang w:val="ru-RU" w:eastAsia="ru-RU" w:bidi="ar-SA"/>
              </w:rPr>
              <w:t>3 Специальные наблюдения за пространственным положением ГТС станционного узла Загорской ГАЭС-2 в строительный период</w:t>
            </w:r>
          </w:p>
        </w:tc>
        <w:tc>
          <w:tcPr>
            <w:tcW w:w="4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rFonts w:eastAsia="Calibri"/>
                <w:bCs/>
                <w:sz w:val="24"/>
                <w:szCs w:val="24"/>
              </w:rPr>
            </w:pPr>
            <w:r>
              <w:rPr>
                <w:rFonts w:eastAsia="Calibri" w:cs="Times New Roman" w:ascii="Times New Roman" w:hAnsi="Times New Roman"/>
                <w:bCs/>
                <w:kern w:val="0"/>
                <w:sz w:val="24"/>
                <w:szCs w:val="24"/>
                <w:lang w:val="ru-RU" w:eastAsia="ru-RU" w:bidi="ar-SA"/>
              </w:rPr>
              <w:t>1 Следующие ГТС станционного узла и прилегающие территории данных сооружений:</w:t>
            </w:r>
          </w:p>
          <w:p>
            <w:pPr>
              <w:pStyle w:val="Normal"/>
              <w:widowControl w:val="false"/>
              <w:suppressAutoHyphens w:val="true"/>
              <w:spacing w:lineRule="auto" w:line="240" w:before="0" w:after="0"/>
              <w:ind w:left="0" w:right="0" w:hanging="0"/>
              <w:jc w:val="left"/>
              <w:rPr>
                <w:rFonts w:eastAsia="Calibri"/>
                <w:bCs/>
                <w:sz w:val="24"/>
                <w:szCs w:val="24"/>
              </w:rPr>
            </w:pPr>
            <w:r>
              <w:rPr>
                <w:rFonts w:eastAsia="Calibri" w:cs="Times New Roman" w:ascii="Times New Roman" w:hAnsi="Times New Roman"/>
                <w:bCs/>
                <w:kern w:val="0"/>
                <w:sz w:val="24"/>
                <w:szCs w:val="24"/>
                <w:lang w:val="ru-RU" w:eastAsia="ru-RU" w:bidi="ar-SA"/>
              </w:rPr>
              <w:t>- здание ГАЭС;</w:t>
            </w:r>
          </w:p>
          <w:p>
            <w:pPr>
              <w:pStyle w:val="Normal"/>
              <w:widowControl w:val="false"/>
              <w:suppressAutoHyphens w:val="true"/>
              <w:spacing w:lineRule="auto" w:line="240" w:before="0" w:after="0"/>
              <w:ind w:left="0" w:right="0" w:hanging="0"/>
              <w:jc w:val="left"/>
              <w:rPr>
                <w:rFonts w:eastAsia="Calibri"/>
                <w:bCs/>
                <w:sz w:val="24"/>
                <w:szCs w:val="24"/>
              </w:rPr>
            </w:pPr>
            <w:r>
              <w:rPr>
                <w:rFonts w:eastAsia="Calibri" w:cs="Times New Roman" w:ascii="Times New Roman" w:hAnsi="Times New Roman"/>
                <w:bCs/>
                <w:kern w:val="0"/>
                <w:sz w:val="24"/>
                <w:szCs w:val="24"/>
                <w:lang w:val="ru-RU" w:eastAsia="ru-RU" w:bidi="ar-SA"/>
              </w:rPr>
              <w:t>- монтажная площадка;</w:t>
            </w:r>
          </w:p>
          <w:p>
            <w:pPr>
              <w:pStyle w:val="Normal"/>
              <w:widowControl w:val="false"/>
              <w:suppressAutoHyphens w:val="true"/>
              <w:spacing w:lineRule="auto" w:line="240" w:before="0" w:after="0"/>
              <w:ind w:left="0" w:right="0" w:hanging="0"/>
              <w:jc w:val="left"/>
              <w:rPr>
                <w:rFonts w:eastAsia="Calibri"/>
                <w:bCs/>
                <w:sz w:val="24"/>
                <w:szCs w:val="24"/>
              </w:rPr>
            </w:pPr>
            <w:r>
              <w:rPr>
                <w:rFonts w:eastAsia="Calibri" w:cs="Times New Roman" w:ascii="Times New Roman" w:hAnsi="Times New Roman"/>
                <w:bCs/>
                <w:kern w:val="0"/>
                <w:sz w:val="24"/>
                <w:szCs w:val="24"/>
                <w:lang w:val="ru-RU" w:eastAsia="ru-RU" w:bidi="ar-SA"/>
              </w:rPr>
              <w:t>- подпорные стены №№ ПС-3, ПС-4, ПС-5, ПС-8, ПВ-3 ÷ ПВ-4, ЛВ-1 ÷ ЛВ-6;</w:t>
            </w:r>
          </w:p>
          <w:p>
            <w:pPr>
              <w:pStyle w:val="Normal"/>
              <w:widowControl w:val="false"/>
              <w:suppressAutoHyphens w:val="true"/>
              <w:spacing w:lineRule="auto" w:line="240" w:before="0" w:after="0"/>
              <w:ind w:left="0" w:right="0" w:hanging="0"/>
              <w:jc w:val="left"/>
              <w:rPr>
                <w:rFonts w:eastAsia="Calibri"/>
                <w:bCs/>
                <w:sz w:val="24"/>
                <w:szCs w:val="24"/>
              </w:rPr>
            </w:pPr>
            <w:r>
              <w:rPr>
                <w:rFonts w:eastAsia="Calibri" w:cs="Times New Roman" w:ascii="Times New Roman" w:hAnsi="Times New Roman"/>
                <w:bCs/>
                <w:kern w:val="0"/>
                <w:sz w:val="24"/>
                <w:szCs w:val="24"/>
                <w:lang w:val="ru-RU" w:eastAsia="ru-RU" w:bidi="ar-SA"/>
              </w:rPr>
              <w:t>- перемычка реверсивного канала;</w:t>
            </w:r>
          </w:p>
          <w:p>
            <w:pPr>
              <w:pStyle w:val="Normal"/>
              <w:widowControl w:val="false"/>
              <w:suppressAutoHyphens w:val="true"/>
              <w:spacing w:lineRule="auto" w:line="240" w:before="0" w:after="0"/>
              <w:ind w:left="0" w:right="0" w:hanging="0"/>
              <w:jc w:val="left"/>
              <w:rPr>
                <w:rFonts w:eastAsia="Calibri"/>
                <w:bCs/>
                <w:sz w:val="24"/>
                <w:szCs w:val="24"/>
              </w:rPr>
            </w:pPr>
            <w:r>
              <w:rPr>
                <w:rFonts w:eastAsia="Calibri" w:cs="Times New Roman" w:ascii="Times New Roman" w:hAnsi="Times New Roman"/>
                <w:bCs/>
                <w:kern w:val="0"/>
                <w:sz w:val="24"/>
                <w:szCs w:val="24"/>
                <w:lang w:val="ru-RU" w:eastAsia="ru-RU" w:bidi="ar-SA"/>
              </w:rPr>
              <w:t>- склон напорных водоводов и прилегающая территория ГТС станционного узла</w:t>
            </w:r>
          </w:p>
        </w:tc>
        <w:tc>
          <w:tcPr>
            <w:tcW w:w="5022" w:type="dxa"/>
            <w:tcBorders>
              <w:top w:val="single" w:sz="4" w:space="0" w:color="000000"/>
              <w:left w:val="single" w:sz="4" w:space="0" w:color="000000"/>
              <w:bottom w:val="single" w:sz="4" w:space="0" w:color="000000"/>
              <w:right w:val="single" w:sz="4" w:space="0" w:color="000000"/>
            </w:tcBorders>
            <w:vAlign w:val="center"/>
          </w:tcPr>
          <w:p>
            <w:pPr>
              <w:pStyle w:val="ListParagraph"/>
              <w:widowControl w:val="false"/>
              <w:suppressAutoHyphens w:val="true"/>
              <w:spacing w:lineRule="auto" w:line="240" w:before="0" w:after="0"/>
              <w:contextualSpacing w:val="false"/>
              <w:jc w:val="left"/>
              <w:rPr>
                <w:spacing w:val="-1"/>
                <w:sz w:val="24"/>
                <w:szCs w:val="24"/>
              </w:rPr>
            </w:pPr>
            <w:r>
              <w:rPr>
                <w:rFonts w:eastAsia="Times New Roman" w:cs="Times New Roman" w:ascii="Times New Roman" w:hAnsi="Times New Roman"/>
                <w:spacing w:val="-1"/>
                <w:kern w:val="0"/>
                <w:sz w:val="24"/>
                <w:szCs w:val="24"/>
                <w:lang w:val="ru-RU" w:eastAsia="ru-RU" w:bidi="ar-SA"/>
              </w:rPr>
              <w:t>1 Инструментальные наблюдения:</w:t>
            </w:r>
          </w:p>
          <w:p>
            <w:pPr>
              <w:pStyle w:val="ListParagraph"/>
              <w:widowControl w:val="false"/>
              <w:suppressAutoHyphens w:val="true"/>
              <w:spacing w:lineRule="auto" w:line="240" w:before="0" w:after="0"/>
              <w:contextualSpacing w:val="false"/>
              <w:jc w:val="left"/>
              <w:rPr>
                <w:spacing w:val="-1"/>
                <w:sz w:val="24"/>
                <w:szCs w:val="24"/>
              </w:rPr>
            </w:pPr>
            <w:r>
              <w:rPr>
                <w:rFonts w:eastAsia="Times New Roman" w:cs="Times New Roman" w:ascii="Times New Roman" w:hAnsi="Times New Roman"/>
                <w:spacing w:val="-1"/>
                <w:kern w:val="0"/>
                <w:sz w:val="24"/>
                <w:szCs w:val="24"/>
                <w:lang w:val="ru-RU" w:eastAsia="ru-RU" w:bidi="ar-SA"/>
              </w:rPr>
              <w:t>- автоматизированными тахеометрами за марками, планово-высотными знаками, гидронивелирами;</w:t>
            </w:r>
          </w:p>
          <w:p>
            <w:pPr>
              <w:pStyle w:val="ListParagraph"/>
              <w:widowControl w:val="false"/>
              <w:suppressAutoHyphens w:val="true"/>
              <w:spacing w:lineRule="auto" w:line="240" w:before="0" w:after="0"/>
              <w:contextualSpacing w:val="false"/>
              <w:jc w:val="left"/>
              <w:rPr>
                <w:spacing w:val="-1"/>
                <w:sz w:val="24"/>
                <w:szCs w:val="24"/>
              </w:rPr>
            </w:pPr>
            <w:r>
              <w:rPr>
                <w:rFonts w:eastAsia="Times New Roman" w:cs="Times New Roman" w:ascii="Times New Roman" w:hAnsi="Times New Roman"/>
                <w:spacing w:val="-1"/>
                <w:kern w:val="0"/>
                <w:sz w:val="24"/>
                <w:szCs w:val="24"/>
                <w:lang w:val="ru-RU" w:eastAsia="ru-RU" w:bidi="ar-SA"/>
              </w:rPr>
              <w:t>- за изменением температуры наружного воздуха и атмосферного давления</w:t>
            </w:r>
          </w:p>
        </w:tc>
        <w:tc>
          <w:tcPr>
            <w:tcW w:w="4825" w:type="dxa"/>
            <w:tcBorders>
              <w:top w:val="single" w:sz="4" w:space="0" w:color="000000"/>
              <w:left w:val="single" w:sz="4" w:space="0" w:color="000000"/>
              <w:bottom w:val="single" w:sz="4" w:space="0" w:color="000000"/>
              <w:right w:val="single" w:sz="4" w:space="0" w:color="000000"/>
            </w:tcBorders>
            <w:vAlign w:val="center"/>
          </w:tcPr>
          <w:p>
            <w:pPr>
              <w:pStyle w:val="ListParagraph"/>
              <w:widowControl w:val="false"/>
              <w:suppressAutoHyphens w:val="true"/>
              <w:spacing w:lineRule="auto" w:line="240" w:before="0" w:after="0"/>
              <w:contextualSpacing w:val="false"/>
              <w:jc w:val="center"/>
              <w:rPr>
                <w:spacing w:val="-1"/>
                <w:sz w:val="24"/>
                <w:szCs w:val="24"/>
              </w:rPr>
            </w:pPr>
            <w:r>
              <w:rPr>
                <w:rFonts w:eastAsia="Times New Roman" w:cs="Times New Roman" w:ascii="Times New Roman" w:hAnsi="Times New Roman"/>
                <w:spacing w:val="-1"/>
                <w:kern w:val="0"/>
                <w:sz w:val="24"/>
                <w:szCs w:val="24"/>
                <w:lang w:val="ru-RU" w:eastAsia="ru-RU" w:bidi="ar-SA"/>
              </w:rPr>
              <w:t xml:space="preserve">Марки автоматизированного тахеометра, планово-высотные знаки, </w:t>
            </w:r>
            <w:r>
              <w:rPr>
                <w:rFonts w:eastAsia="Times New Roman" w:cs="Times New Roman" w:ascii="Times New Roman" w:hAnsi="Times New Roman"/>
                <w:spacing w:val="-1"/>
                <w:kern w:val="0"/>
                <w:sz w:val="24"/>
                <w:szCs w:val="24"/>
                <w:lang w:val="en-US" w:eastAsia="ru-RU" w:bidi="ar-SA"/>
              </w:rPr>
              <w:t>GPS</w:t>
            </w:r>
            <w:r>
              <w:rPr>
                <w:rFonts w:eastAsia="Times New Roman" w:cs="Times New Roman" w:ascii="Times New Roman" w:hAnsi="Times New Roman"/>
                <w:spacing w:val="-1"/>
                <w:kern w:val="0"/>
                <w:sz w:val="24"/>
                <w:szCs w:val="24"/>
                <w:lang w:val="ru-RU" w:eastAsia="ru-RU" w:bidi="ar-SA"/>
              </w:rPr>
              <w:t>, датчики гидростатического нивелирования, метеостанция</w:t>
            </w:r>
          </w:p>
        </w:tc>
        <w:tc>
          <w:tcPr>
            <w:tcW w:w="199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c>
          <w:tcPr>
            <w:tcW w:w="4425" w:type="dxa"/>
            <w:tcBorders>
              <w:top w:val="single" w:sz="4" w:space="0" w:color="000000"/>
              <w:left w:val="single" w:sz="4" w:space="0" w:color="000000"/>
              <w:bottom w:val="single" w:sz="4" w:space="0" w:color="000000"/>
              <w:right w:val="single" w:sz="4" w:space="0" w:color="000000"/>
            </w:tcBorders>
            <w:vAlign w:val="center"/>
          </w:tcPr>
          <w:p>
            <w:pPr>
              <w:pStyle w:val="ListParagraph"/>
              <w:widowControl w:val="false"/>
              <w:suppressAutoHyphens w:val="true"/>
              <w:spacing w:lineRule="auto" w:line="240" w:before="0" w:after="0"/>
              <w:contextualSpacing w:val="false"/>
              <w:jc w:val="left"/>
              <w:rPr>
                <w:spacing w:val="-1"/>
                <w:sz w:val="24"/>
                <w:szCs w:val="24"/>
              </w:rPr>
            </w:pPr>
            <w:r>
              <w:rPr>
                <w:rFonts w:eastAsia="Times New Roman" w:cs="Times New Roman" w:ascii="Times New Roman" w:hAnsi="Times New Roman"/>
                <w:spacing w:val="-1"/>
                <w:kern w:val="0"/>
                <w:sz w:val="24"/>
                <w:szCs w:val="24"/>
                <w:lang w:val="ru-RU" w:eastAsia="ru-RU" w:bidi="ar-SA"/>
              </w:rPr>
              <w:t>4</w:t>
            </w:r>
            <w:r>
              <w:rPr>
                <w:rFonts w:eastAsia="Times New Roman" w:cs="Times New Roman" w:ascii="Times New Roman" w:hAnsi="Times New Roman"/>
                <w:kern w:val="0"/>
                <w:sz w:val="24"/>
                <w:szCs w:val="24"/>
                <w:lang w:val="ru-RU" w:eastAsia="ru-RU" w:bidi="ar-SA"/>
              </w:rPr>
              <w:t xml:space="preserve"> Контрольные наблюдения за состоянием дамбы верхнего бассейна, водоприёмника, напорных водоводов, склона расположения напорных водоводов в </w:t>
            </w:r>
            <w:r>
              <w:rPr>
                <w:rFonts w:eastAsia="Times New Roman" w:cs="Times New Roman" w:ascii="Times New Roman" w:hAnsi="Times New Roman"/>
                <w:bCs/>
                <w:kern w:val="0"/>
                <w:sz w:val="24"/>
                <w:szCs w:val="24"/>
                <w:lang w:val="ru-RU" w:eastAsia="ru-RU" w:bidi="ar-SA"/>
              </w:rPr>
              <w:t>строительный период</w:t>
            </w:r>
          </w:p>
        </w:tc>
        <w:tc>
          <w:tcPr>
            <w:tcW w:w="4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261" w:hanging="0"/>
              <w:jc w:val="left"/>
              <w:rPr>
                <w:rFonts w:eastAsia="Calibri"/>
                <w:bCs/>
                <w:sz w:val="24"/>
                <w:szCs w:val="24"/>
              </w:rPr>
            </w:pPr>
            <w:r>
              <w:rPr>
                <w:rFonts w:eastAsia="Calibri" w:cs="Times New Roman" w:ascii="Times New Roman" w:hAnsi="Times New Roman"/>
                <w:bCs/>
                <w:kern w:val="0"/>
                <w:sz w:val="24"/>
                <w:szCs w:val="24"/>
                <w:lang w:val="ru-RU" w:eastAsia="ru-RU" w:bidi="ar-SA"/>
              </w:rPr>
              <w:t>1 Дамба верхнего аккумулирующего бассейна и задамбовая территория;</w:t>
            </w:r>
          </w:p>
          <w:p>
            <w:pPr>
              <w:pStyle w:val="Normal"/>
              <w:widowControl w:val="false"/>
              <w:suppressAutoHyphens w:val="true"/>
              <w:spacing w:lineRule="auto" w:line="240" w:before="0" w:after="0"/>
              <w:ind w:left="0" w:right="261" w:hanging="0"/>
              <w:jc w:val="left"/>
              <w:rPr>
                <w:rFonts w:eastAsia="Calibri"/>
                <w:bCs/>
                <w:sz w:val="24"/>
                <w:szCs w:val="24"/>
              </w:rPr>
            </w:pPr>
            <w:r>
              <w:rPr>
                <w:rFonts w:eastAsia="Calibri" w:cs="Times New Roman" w:ascii="Times New Roman" w:hAnsi="Times New Roman"/>
                <w:bCs/>
                <w:kern w:val="0"/>
                <w:sz w:val="24"/>
                <w:szCs w:val="24"/>
                <w:lang w:val="ru-RU" w:eastAsia="ru-RU" w:bidi="ar-SA"/>
              </w:rPr>
              <w:t>2 Здание водоприёмника с понуром и сопрягающимися подпорными стенами ПВ, ЛВ, ПС, ЛС, ПН, ЛН;</w:t>
            </w:r>
          </w:p>
          <w:p>
            <w:pPr>
              <w:pStyle w:val="Normal"/>
              <w:widowControl w:val="false"/>
              <w:suppressAutoHyphens w:val="true"/>
              <w:spacing w:lineRule="auto" w:line="240" w:before="0" w:after="0"/>
              <w:ind w:left="0" w:right="261" w:hanging="0"/>
              <w:jc w:val="left"/>
              <w:rPr>
                <w:rFonts w:eastAsia="Calibri"/>
                <w:bCs/>
                <w:sz w:val="24"/>
                <w:szCs w:val="24"/>
              </w:rPr>
            </w:pPr>
            <w:r>
              <w:rPr>
                <w:rFonts w:eastAsia="Calibri" w:cs="Times New Roman" w:ascii="Times New Roman" w:hAnsi="Times New Roman"/>
                <w:bCs/>
                <w:kern w:val="0"/>
                <w:sz w:val="24"/>
                <w:szCs w:val="24"/>
                <w:lang w:val="ru-RU" w:eastAsia="ru-RU" w:bidi="ar-SA"/>
              </w:rPr>
              <w:t>3 Напорные водоводы №№ 7 ÷ 10;</w:t>
            </w:r>
          </w:p>
          <w:p>
            <w:pPr>
              <w:pStyle w:val="Normal"/>
              <w:widowControl w:val="false"/>
              <w:suppressAutoHyphens w:val="true"/>
              <w:spacing w:lineRule="auto" w:line="240" w:before="0" w:after="0"/>
              <w:ind w:left="0" w:right="261" w:hanging="0"/>
              <w:jc w:val="left"/>
              <w:rPr>
                <w:rFonts w:eastAsia="Calibri"/>
                <w:bCs/>
                <w:sz w:val="24"/>
                <w:szCs w:val="24"/>
              </w:rPr>
            </w:pPr>
            <w:r>
              <w:rPr>
                <w:rFonts w:eastAsia="Calibri" w:cs="Times New Roman" w:ascii="Times New Roman" w:hAnsi="Times New Roman"/>
                <w:bCs/>
                <w:kern w:val="0"/>
                <w:sz w:val="24"/>
                <w:szCs w:val="24"/>
                <w:lang w:val="ru-RU" w:eastAsia="ru-RU" w:bidi="ar-SA"/>
              </w:rPr>
              <w:t>4 Склон размещения напорных водоводов;</w:t>
            </w:r>
          </w:p>
        </w:tc>
        <w:tc>
          <w:tcPr>
            <w:tcW w:w="5022" w:type="dxa"/>
            <w:tcBorders>
              <w:top w:val="single" w:sz="4" w:space="0" w:color="000000"/>
              <w:left w:val="single" w:sz="4" w:space="0" w:color="000000"/>
              <w:bottom w:val="single" w:sz="4" w:space="0" w:color="000000"/>
              <w:right w:val="single" w:sz="4" w:space="0" w:color="000000"/>
            </w:tcBorders>
            <w:vAlign w:val="center"/>
          </w:tcPr>
          <w:p>
            <w:pPr>
              <w:pStyle w:val="ListParagraph"/>
              <w:widowControl w:val="false"/>
              <w:suppressAutoHyphens w:val="true"/>
              <w:spacing w:lineRule="auto" w:line="240" w:before="0" w:after="0"/>
              <w:contextualSpacing w:val="false"/>
              <w:jc w:val="left"/>
              <w:rPr>
                <w:spacing w:val="-1"/>
                <w:sz w:val="24"/>
                <w:szCs w:val="24"/>
              </w:rPr>
            </w:pPr>
            <w:r>
              <w:rPr>
                <w:rFonts w:eastAsia="Times New Roman" w:cs="Times New Roman" w:ascii="Times New Roman" w:hAnsi="Times New Roman"/>
                <w:spacing w:val="-1"/>
                <w:kern w:val="0"/>
                <w:sz w:val="24"/>
                <w:szCs w:val="24"/>
                <w:lang w:val="ru-RU" w:eastAsia="ru-RU" w:bidi="ar-SA"/>
              </w:rPr>
              <w:t>1 Визуальные наблюдения за сооружениями и прилегающей к ним территории;</w:t>
            </w:r>
          </w:p>
          <w:p>
            <w:pPr>
              <w:pStyle w:val="ListParagraph"/>
              <w:widowControl w:val="false"/>
              <w:suppressAutoHyphens w:val="true"/>
              <w:spacing w:lineRule="auto" w:line="240" w:before="0" w:after="0"/>
              <w:contextualSpacing w:val="false"/>
              <w:jc w:val="left"/>
              <w:rPr>
                <w:spacing w:val="-1"/>
                <w:sz w:val="24"/>
                <w:szCs w:val="24"/>
              </w:rPr>
            </w:pPr>
            <w:r>
              <w:rPr>
                <w:rFonts w:eastAsia="Times New Roman" w:cs="Times New Roman" w:ascii="Times New Roman" w:hAnsi="Times New Roman"/>
                <w:spacing w:val="-1"/>
                <w:kern w:val="0"/>
                <w:sz w:val="24"/>
                <w:szCs w:val="24"/>
                <w:lang w:val="ru-RU" w:eastAsia="ru-RU" w:bidi="ar-SA"/>
              </w:rPr>
              <w:t>2 Инструментальные наблюдения:</w:t>
            </w:r>
          </w:p>
          <w:p>
            <w:pPr>
              <w:pStyle w:val="ListParagraph"/>
              <w:widowControl w:val="false"/>
              <w:suppressAutoHyphens w:val="true"/>
              <w:spacing w:lineRule="auto" w:line="240" w:before="0" w:after="0"/>
              <w:contextualSpacing w:val="false"/>
              <w:jc w:val="left"/>
              <w:rPr>
                <w:spacing w:val="-1"/>
                <w:sz w:val="24"/>
                <w:szCs w:val="24"/>
              </w:rPr>
            </w:pPr>
            <w:r>
              <w:rPr>
                <w:rFonts w:eastAsia="Times New Roman" w:cs="Times New Roman" w:ascii="Times New Roman" w:hAnsi="Times New Roman"/>
                <w:spacing w:val="-1"/>
                <w:kern w:val="0"/>
                <w:sz w:val="24"/>
                <w:szCs w:val="24"/>
                <w:lang w:val="ru-RU" w:eastAsia="ru-RU" w:bidi="ar-SA"/>
              </w:rPr>
              <w:t>- по закладной струнной КИА;</w:t>
            </w:r>
          </w:p>
          <w:p>
            <w:pPr>
              <w:pStyle w:val="ListParagraph"/>
              <w:widowControl w:val="false"/>
              <w:suppressAutoHyphens w:val="true"/>
              <w:spacing w:lineRule="auto" w:line="240" w:before="0" w:after="0"/>
              <w:contextualSpacing w:val="false"/>
              <w:jc w:val="left"/>
              <w:rPr>
                <w:spacing w:val="-1"/>
                <w:sz w:val="24"/>
                <w:szCs w:val="24"/>
              </w:rPr>
            </w:pPr>
            <w:r>
              <w:rPr>
                <w:rFonts w:eastAsia="Times New Roman" w:cs="Times New Roman" w:ascii="Times New Roman" w:hAnsi="Times New Roman"/>
                <w:spacing w:val="-1"/>
                <w:kern w:val="0"/>
                <w:sz w:val="24"/>
                <w:szCs w:val="24"/>
                <w:lang w:val="ru-RU" w:eastAsia="ru-RU" w:bidi="ar-SA"/>
              </w:rPr>
              <w:t>- по фильтрационной КИА;</w:t>
            </w:r>
          </w:p>
          <w:p>
            <w:pPr>
              <w:pStyle w:val="ListParagraph"/>
              <w:widowControl w:val="false"/>
              <w:suppressAutoHyphens w:val="true"/>
              <w:spacing w:lineRule="auto" w:line="240" w:before="0" w:after="0"/>
              <w:contextualSpacing w:val="false"/>
              <w:jc w:val="left"/>
              <w:rPr>
                <w:spacing w:val="-1"/>
                <w:sz w:val="24"/>
                <w:szCs w:val="24"/>
              </w:rPr>
            </w:pPr>
            <w:r>
              <w:rPr>
                <w:rFonts w:eastAsia="Times New Roman" w:cs="Times New Roman" w:ascii="Times New Roman" w:hAnsi="Times New Roman"/>
                <w:spacing w:val="-1"/>
                <w:kern w:val="0"/>
                <w:sz w:val="24"/>
                <w:szCs w:val="24"/>
                <w:lang w:val="ru-RU" w:eastAsia="ru-RU" w:bidi="ar-SA"/>
              </w:rPr>
              <w:t xml:space="preserve">- за вертикальными перемещениями сооружений (нивелирование </w:t>
            </w:r>
            <w:r>
              <w:rPr>
                <w:rFonts w:eastAsia="Times New Roman" w:cs="Times New Roman" w:ascii="Times New Roman" w:hAnsi="Times New Roman"/>
                <w:spacing w:val="-1"/>
                <w:kern w:val="0"/>
                <w:sz w:val="24"/>
                <w:szCs w:val="24"/>
                <w:lang w:val="en-US" w:eastAsia="ru-RU" w:bidi="ar-SA"/>
              </w:rPr>
              <w:t>II</w:t>
            </w:r>
            <w:r>
              <w:rPr>
                <w:rFonts w:eastAsia="Times New Roman" w:cs="Times New Roman" w:ascii="Times New Roman" w:hAnsi="Times New Roman"/>
                <w:spacing w:val="-1"/>
                <w:kern w:val="0"/>
                <w:sz w:val="24"/>
                <w:szCs w:val="24"/>
                <w:lang w:val="ru-RU" w:eastAsia="ru-RU" w:bidi="ar-SA"/>
              </w:rPr>
              <w:t xml:space="preserve"> и </w:t>
            </w:r>
            <w:r>
              <w:rPr>
                <w:rFonts w:eastAsia="Times New Roman" w:cs="Times New Roman" w:ascii="Times New Roman" w:hAnsi="Times New Roman"/>
                <w:spacing w:val="-1"/>
                <w:kern w:val="0"/>
                <w:sz w:val="24"/>
                <w:szCs w:val="24"/>
                <w:lang w:val="en-US" w:eastAsia="ru-RU" w:bidi="ar-SA"/>
              </w:rPr>
              <w:t>III</w:t>
            </w:r>
            <w:r>
              <w:rPr>
                <w:rFonts w:eastAsia="Times New Roman" w:cs="Times New Roman" w:ascii="Times New Roman" w:hAnsi="Times New Roman"/>
                <w:spacing w:val="-1"/>
                <w:kern w:val="0"/>
                <w:sz w:val="24"/>
                <w:szCs w:val="24"/>
                <w:lang w:val="ru-RU" w:eastAsia="ru-RU" w:bidi="ar-SA"/>
              </w:rPr>
              <w:t xml:space="preserve"> классов);</w:t>
            </w:r>
          </w:p>
          <w:p>
            <w:pPr>
              <w:pStyle w:val="ListParagraph"/>
              <w:widowControl w:val="false"/>
              <w:suppressAutoHyphens w:val="true"/>
              <w:spacing w:lineRule="auto" w:line="240" w:before="0" w:after="0"/>
              <w:contextualSpacing w:val="false"/>
              <w:jc w:val="left"/>
              <w:rPr>
                <w:spacing w:val="-1"/>
                <w:sz w:val="24"/>
                <w:szCs w:val="24"/>
              </w:rPr>
            </w:pPr>
            <w:r>
              <w:rPr>
                <w:rFonts w:eastAsia="Times New Roman" w:cs="Times New Roman" w:ascii="Times New Roman" w:hAnsi="Times New Roman"/>
                <w:spacing w:val="-1"/>
                <w:kern w:val="0"/>
                <w:sz w:val="24"/>
                <w:szCs w:val="24"/>
                <w:lang w:val="ru-RU" w:eastAsia="ru-RU" w:bidi="ar-SA"/>
              </w:rPr>
              <w:t>- по трёхмарочным щелемерам;</w:t>
            </w:r>
          </w:p>
          <w:p>
            <w:pPr>
              <w:pStyle w:val="ListParagraph"/>
              <w:widowControl w:val="false"/>
              <w:suppressAutoHyphens w:val="true"/>
              <w:spacing w:lineRule="auto" w:line="240" w:before="0" w:after="0"/>
              <w:contextualSpacing w:val="false"/>
              <w:jc w:val="left"/>
              <w:rPr>
                <w:spacing w:val="-1"/>
                <w:sz w:val="24"/>
                <w:szCs w:val="24"/>
              </w:rPr>
            </w:pPr>
            <w:r>
              <w:rPr>
                <w:rFonts w:eastAsia="Times New Roman" w:cs="Times New Roman" w:ascii="Times New Roman" w:hAnsi="Times New Roman"/>
                <w:spacing w:val="-1"/>
                <w:kern w:val="0"/>
                <w:sz w:val="24"/>
                <w:szCs w:val="24"/>
                <w:lang w:val="ru-RU" w:eastAsia="ru-RU" w:bidi="ar-SA"/>
              </w:rPr>
              <w:t>- за подвижками точек слона и деформаций сооружений;</w:t>
            </w:r>
          </w:p>
          <w:p>
            <w:pPr>
              <w:pStyle w:val="ListParagraph"/>
              <w:widowControl w:val="false"/>
              <w:suppressAutoHyphens w:val="true"/>
              <w:spacing w:lineRule="auto" w:line="240" w:before="0" w:after="0"/>
              <w:contextualSpacing w:val="false"/>
              <w:jc w:val="left"/>
              <w:rPr>
                <w:spacing w:val="-1"/>
                <w:sz w:val="24"/>
                <w:szCs w:val="24"/>
              </w:rPr>
            </w:pPr>
            <w:r>
              <w:rPr>
                <w:rFonts w:eastAsia="Times New Roman" w:cs="Times New Roman" w:ascii="Times New Roman" w:hAnsi="Times New Roman"/>
                <w:spacing w:val="-1"/>
                <w:kern w:val="0"/>
                <w:sz w:val="24"/>
                <w:szCs w:val="24"/>
                <w:lang w:val="ru-RU" w:eastAsia="ru-RU" w:bidi="ar-SA"/>
              </w:rPr>
              <w:t>- по обратным отвесам;</w:t>
            </w:r>
          </w:p>
          <w:p>
            <w:pPr>
              <w:pStyle w:val="ListParagraph"/>
              <w:widowControl w:val="false"/>
              <w:suppressAutoHyphens w:val="true"/>
              <w:spacing w:lineRule="auto" w:line="240" w:before="0" w:after="0"/>
              <w:contextualSpacing w:val="false"/>
              <w:jc w:val="left"/>
              <w:rPr>
                <w:spacing w:val="-1"/>
                <w:sz w:val="24"/>
                <w:szCs w:val="24"/>
              </w:rPr>
            </w:pPr>
            <w:r>
              <w:rPr>
                <w:rFonts w:eastAsia="Times New Roman" w:cs="Times New Roman" w:ascii="Times New Roman" w:hAnsi="Times New Roman"/>
                <w:spacing w:val="-1"/>
                <w:kern w:val="0"/>
                <w:sz w:val="24"/>
                <w:szCs w:val="24"/>
                <w:lang w:val="ru-RU" w:eastAsia="ru-RU" w:bidi="ar-SA"/>
              </w:rPr>
              <w:t>- за стабильностью плановой и высотной опорных геодезических сетей</w:t>
            </w:r>
          </w:p>
        </w:tc>
        <w:tc>
          <w:tcPr>
            <w:tcW w:w="4825" w:type="dxa"/>
            <w:tcBorders>
              <w:top w:val="single" w:sz="4" w:space="0" w:color="000000"/>
              <w:left w:val="single" w:sz="4" w:space="0" w:color="000000"/>
              <w:bottom w:val="single" w:sz="4" w:space="0" w:color="000000"/>
              <w:right w:val="single" w:sz="4" w:space="0" w:color="000000"/>
            </w:tcBorders>
            <w:vAlign w:val="center"/>
          </w:tcPr>
          <w:p>
            <w:pPr>
              <w:pStyle w:val="ListParagraph"/>
              <w:widowControl w:val="false"/>
              <w:suppressAutoHyphens w:val="true"/>
              <w:spacing w:lineRule="auto" w:line="240" w:before="0" w:after="0"/>
              <w:contextualSpacing w:val="false"/>
              <w:jc w:val="center"/>
              <w:rPr>
                <w:spacing w:val="-1"/>
                <w:sz w:val="24"/>
                <w:szCs w:val="24"/>
              </w:rPr>
            </w:pPr>
            <w:r>
              <w:rPr>
                <w:rFonts w:eastAsia="Times New Roman" w:cs="Times New Roman" w:ascii="Times New Roman" w:hAnsi="Times New Roman"/>
                <w:spacing w:val="-1"/>
                <w:kern w:val="0"/>
                <w:sz w:val="24"/>
                <w:szCs w:val="24"/>
                <w:lang w:val="ru-RU" w:eastAsia="ru-RU" w:bidi="ar-SA"/>
              </w:rPr>
              <w:t>Труба-марки, марки поверхностные бетонные, свето-дальномерные знаки, преобразователи давления струнные, пьезометры закладные, преобразователи температуры струнные, преобразователи силы арматурные струнные, преобразователи линейных деформаций струнные, марки бетонные стеновые, трёхмарочные щелемеры, опускные пьезометры, марки поверхностные грунтовые, обратные отвесы, мерные водосливы, водомерная рейка, планово-высотные знаки, глубинные марки</w:t>
            </w:r>
          </w:p>
        </w:tc>
        <w:tc>
          <w:tcPr>
            <w:tcW w:w="1997" w:type="dxa"/>
            <w:tcBorders>
              <w:top w:val="single" w:sz="4" w:space="0" w:color="000000"/>
              <w:left w:val="single" w:sz="4" w:space="0" w:color="000000"/>
              <w:bottom w:val="single" w:sz="4" w:space="0" w:color="000000"/>
              <w:right w:val="single" w:sz="4" w:space="0" w:color="000000"/>
            </w:tcBorders>
            <w:vAlign w:val="center"/>
          </w:tcPr>
          <w:p>
            <w:pPr>
              <w:pStyle w:val="ListParagraph"/>
              <w:widowControl w:val="false"/>
              <w:suppressAutoHyphens w:val="true"/>
              <w:spacing w:lineRule="auto" w:line="240" w:before="0" w:after="0"/>
              <w:contextualSpacing w:val="false"/>
              <w:jc w:val="center"/>
              <w:rPr>
                <w:spacing w:val="-1"/>
                <w:sz w:val="24"/>
                <w:szCs w:val="24"/>
              </w:rPr>
            </w:pPr>
            <w:r>
              <w:rPr>
                <w:rFonts w:eastAsia="Times New Roman" w:cs="Times New Roman" w:ascii="Times New Roman" w:hAnsi="Times New Roman"/>
                <w:kern w:val="0"/>
                <w:sz w:val="24"/>
                <w:szCs w:val="24"/>
                <w:lang w:val="ru-RU" w:eastAsia="ru-RU" w:bidi="ar-SA"/>
              </w:rPr>
              <w:t>Предусмотрена АСДК КИА</w:t>
            </w:r>
          </w:p>
        </w:tc>
      </w:tr>
    </w:tbl>
    <w:p>
      <w:pPr>
        <w:sectPr>
          <w:headerReference w:type="default" r:id="rId6"/>
          <w:headerReference w:type="first" r:id="rId7"/>
          <w:footerReference w:type="default" r:id="rId8"/>
          <w:footerReference w:type="first" r:id="rId9"/>
          <w:type w:val="nextPage"/>
          <w:pgSz w:orient="landscape" w:w="23811" w:h="16838"/>
          <w:pgMar w:left="1701" w:right="1134" w:gutter="0" w:header="397" w:top="1701" w:footer="171" w:bottom="1021"/>
          <w:pgNumType w:fmt="decimal"/>
          <w:formProt w:val="false"/>
          <w:textDirection w:val="lrTb"/>
          <w:docGrid w:type="default" w:linePitch="360" w:charSpace="4096"/>
        </w:sectPr>
      </w:pPr>
      <w:r>
        <w:br w:type="page"/>
      </w:r>
    </w:p>
    <w:p>
      <w:pPr>
        <w:pStyle w:val="Heading1"/>
        <w:numPr>
          <w:ilvl w:val="0"/>
        </w:numPr>
        <w:ind w:left="0" w:right="0" w:hanging="0"/>
        <w:rPr>
          <w:rFonts w:ascii="Times New Roman" w:hAnsi="Times New Roman"/>
        </w:rPr>
      </w:pPr>
      <w:bookmarkStart w:id="34" w:name="__RefHeading___Toc39890_2889022187"/>
      <w:bookmarkEnd w:id="34"/>
      <w:r>
        <w:rPr>
          <w:rFonts w:ascii="Times New Roman" w:hAnsi="Times New Roman"/>
        </w:rPr>
        <w:t xml:space="preserve">2 </w:t>
      </w:r>
      <w:bookmarkStart w:id="35" w:name="_Toc496860707"/>
      <w:bookmarkStart w:id="36" w:name="_Toc7087071"/>
      <w:bookmarkStart w:id="37" w:name="_Toc215650182"/>
      <w:r>
        <w:rPr>
          <w:rFonts w:ascii="Times New Roman" w:hAnsi="Times New Roman"/>
        </w:rPr>
        <w:t>Состав контролируемых показателей</w:t>
      </w:r>
      <w:bookmarkEnd w:id="36"/>
      <w:bookmarkEnd w:id="37"/>
    </w:p>
    <w:p>
      <w:pPr>
        <w:pStyle w:val="Heading2"/>
        <w:numPr>
          <w:ilvl w:val="0"/>
        </w:numPr>
        <w:ind w:left="0" w:right="0" w:hanging="0"/>
        <w:rPr>
          <w:rFonts w:ascii="Times New Roman" w:hAnsi="Times New Roman"/>
        </w:rPr>
      </w:pPr>
      <w:bookmarkStart w:id="38" w:name="__RefHeading___Toc39892_2889022187"/>
      <w:bookmarkEnd w:id="38"/>
      <w:r>
        <w:rPr>
          <w:rFonts w:ascii="Times New Roman" w:hAnsi="Times New Roman"/>
        </w:rPr>
        <w:t xml:space="preserve">2.1 </w:t>
      </w:r>
      <w:bookmarkStart w:id="39" w:name="_Toc215650183"/>
      <w:r>
        <w:rPr>
          <w:rFonts w:ascii="Times New Roman" w:hAnsi="Times New Roman"/>
        </w:rPr>
        <w:t>Постоянные и временные (длительные и кратковременные) нагрузки и воздействия на сооружения</w:t>
      </w:r>
      <w:bookmarkEnd w:id="39"/>
    </w:p>
    <w:p>
      <w:pPr>
        <w:pStyle w:val="Normal"/>
        <w:rPr>
          <w:rFonts w:ascii="Times New Roman" w:hAnsi="Times New Roman"/>
          <w:sz w:val="24"/>
        </w:rPr>
      </w:pPr>
      <w:r>
        <w:rPr>
          <w:rFonts w:ascii="Times New Roman" w:hAnsi="Times New Roman"/>
          <w:sz w:val="24"/>
        </w:rPr>
        <w:t>Постоянные и временные (длительные и кратковременные) нагрузки и воздействия на ГТС Загорской ГАЭС-2:</w:t>
      </w:r>
    </w:p>
    <w:p>
      <w:pPr>
        <w:pStyle w:val="Normal"/>
        <w:rPr>
          <w:rFonts w:ascii="Times New Roman" w:hAnsi="Times New Roman"/>
          <w:sz w:val="24"/>
        </w:rPr>
      </w:pPr>
      <w:r>
        <w:rPr>
          <w:rFonts w:ascii="Times New Roman" w:hAnsi="Times New Roman"/>
          <w:sz w:val="24"/>
        </w:rPr>
        <w:t>а) собственный вес конструкций и сооружений;</w:t>
      </w:r>
    </w:p>
    <w:p>
      <w:pPr>
        <w:pStyle w:val="Normal"/>
        <w:rPr>
          <w:rFonts w:ascii="Times New Roman" w:hAnsi="Times New Roman"/>
          <w:sz w:val="24"/>
        </w:rPr>
      </w:pPr>
      <w:r>
        <w:rPr>
          <w:rFonts w:ascii="Times New Roman" w:hAnsi="Times New Roman"/>
          <w:sz w:val="24"/>
        </w:rPr>
        <w:t>б) вес постоянного технологического оборудования (затворов, турбоагрегатов, трансформаторов и др.), места расположения которых на сооружении не изменяется в процессе эксплуатации;</w:t>
      </w:r>
    </w:p>
    <w:p>
      <w:pPr>
        <w:pStyle w:val="Normal"/>
        <w:rPr>
          <w:rFonts w:ascii="Times New Roman" w:hAnsi="Times New Roman"/>
          <w:sz w:val="24"/>
        </w:rPr>
      </w:pPr>
      <w:r>
        <w:rPr>
          <w:rFonts w:ascii="Times New Roman" w:hAnsi="Times New Roman"/>
          <w:sz w:val="24"/>
        </w:rPr>
        <w:t>в) давление воды непосредственно на поверхность сооружения и основания; силовое воздействие фильтрующейся воды, включающее объёмные силы фильтрации и взвешивания в водонасыщенных частях сооружения и основания, и противодавление на границе водонепроницаемой части сооружения при нормальном подпорном уровне, соответствующем максимальным расходам воды расчетной вероятности превышения основного расчётного случая и нормальной работе противофильтрационных и дренажных устройств;</w:t>
      </w:r>
    </w:p>
    <w:p>
      <w:pPr>
        <w:pStyle w:val="Normal"/>
        <w:rPr>
          <w:rFonts w:ascii="Times New Roman" w:hAnsi="Times New Roman"/>
          <w:sz w:val="24"/>
        </w:rPr>
      </w:pPr>
      <w:r>
        <w:rPr>
          <w:rFonts w:ascii="Times New Roman" w:hAnsi="Times New Roman"/>
          <w:sz w:val="24"/>
        </w:rPr>
        <w:t>г) вес грунта и его боковое давление; давление грунта, возникающее вследствие деформации основания и конструкции, вызываемой внешними нагрузками и температурными воздействиями;</w:t>
      </w:r>
    </w:p>
    <w:p>
      <w:pPr>
        <w:pStyle w:val="Normal"/>
        <w:rPr>
          <w:rFonts w:ascii="Times New Roman" w:hAnsi="Times New Roman"/>
          <w:sz w:val="24"/>
        </w:rPr>
      </w:pPr>
      <w:r>
        <w:rPr>
          <w:rFonts w:ascii="Times New Roman" w:hAnsi="Times New Roman"/>
          <w:sz w:val="24"/>
        </w:rPr>
        <w:t>д) давление отложившихся наносов;</w:t>
      </w:r>
    </w:p>
    <w:p>
      <w:pPr>
        <w:pStyle w:val="Normal"/>
        <w:rPr>
          <w:rFonts w:ascii="Times New Roman" w:hAnsi="Times New Roman"/>
          <w:sz w:val="24"/>
        </w:rPr>
      </w:pPr>
      <w:r>
        <w:rPr>
          <w:rFonts w:ascii="Times New Roman" w:hAnsi="Times New Roman"/>
          <w:sz w:val="24"/>
        </w:rPr>
        <w:t>е) нагрузки, вызванные избыточным поровым давлением незавершенной консолидации в водонасыщенном грунте при нормальном подпорном уровне и нормальной работе противофильтрационных и дренажных устройств;</w:t>
      </w:r>
    </w:p>
    <w:p>
      <w:pPr>
        <w:pStyle w:val="Normal"/>
        <w:rPr>
          <w:rFonts w:ascii="Times New Roman" w:hAnsi="Times New Roman"/>
          <w:sz w:val="24"/>
        </w:rPr>
      </w:pPr>
      <w:r>
        <w:rPr>
          <w:rFonts w:ascii="Times New Roman" w:hAnsi="Times New Roman"/>
          <w:sz w:val="24"/>
        </w:rPr>
        <w:t>ж) температурные воздействия строительного и эксплуатационного периодов, определяемые для года со средней амплитудой колебания среднемесячных температур наружного воздуха;</w:t>
      </w:r>
    </w:p>
    <w:p>
      <w:pPr>
        <w:pStyle w:val="Normal"/>
        <w:rPr>
          <w:rFonts w:ascii="Times New Roman" w:hAnsi="Times New Roman"/>
          <w:sz w:val="24"/>
        </w:rPr>
      </w:pPr>
      <w:r>
        <w:rPr>
          <w:rFonts w:ascii="Times New Roman" w:hAnsi="Times New Roman"/>
          <w:sz w:val="24"/>
        </w:rPr>
        <w:t>з) нагрузки, связанные с эксплуатацией сооружений;</w:t>
      </w:r>
    </w:p>
    <w:p>
      <w:pPr>
        <w:pStyle w:val="Normal"/>
        <w:rPr>
          <w:rFonts w:ascii="Times New Roman" w:hAnsi="Times New Roman"/>
          <w:sz w:val="24"/>
        </w:rPr>
      </w:pPr>
      <w:r>
        <w:rPr>
          <w:rFonts w:ascii="Times New Roman" w:hAnsi="Times New Roman"/>
          <w:sz w:val="24"/>
        </w:rPr>
        <w:t>и) нагрузки и воздействия от ледяного покрова максимальной толщины и прочности с частой повторяемостью;</w:t>
      </w:r>
    </w:p>
    <w:p>
      <w:pPr>
        <w:pStyle w:val="Normal"/>
        <w:rPr>
          <w:rFonts w:ascii="Times New Roman" w:hAnsi="Times New Roman"/>
          <w:sz w:val="24"/>
        </w:rPr>
      </w:pPr>
      <w:r>
        <w:rPr>
          <w:rFonts w:ascii="Times New Roman" w:hAnsi="Times New Roman"/>
          <w:sz w:val="24"/>
        </w:rPr>
        <w:t>к) снеговые нагрузки;</w:t>
      </w:r>
    </w:p>
    <w:p>
      <w:pPr>
        <w:pStyle w:val="Normal"/>
        <w:rPr>
          <w:rFonts w:ascii="Times New Roman" w:hAnsi="Times New Roman"/>
          <w:sz w:val="24"/>
        </w:rPr>
      </w:pPr>
      <w:r>
        <w:rPr>
          <w:rFonts w:ascii="Times New Roman" w:hAnsi="Times New Roman"/>
          <w:sz w:val="24"/>
        </w:rPr>
        <w:t>л) нагрузки от подъёмных и других механизмов (мостовых и подвесных кранов и т.п.).</w:t>
      </w:r>
    </w:p>
    <w:p>
      <w:pPr>
        <w:pStyle w:val="Heading2"/>
        <w:numPr>
          <w:ilvl w:val="0"/>
        </w:numPr>
        <w:ind w:left="0" w:right="0" w:hanging="0"/>
        <w:rPr>
          <w:rFonts w:ascii="Times New Roman" w:hAnsi="Times New Roman"/>
        </w:rPr>
      </w:pPr>
      <w:bookmarkStart w:id="40" w:name="__RefHeading___Toc39894_2889022187"/>
      <w:bookmarkEnd w:id="40"/>
      <w:r>
        <w:rPr>
          <w:rFonts w:ascii="Times New Roman" w:hAnsi="Times New Roman"/>
        </w:rPr>
        <w:t xml:space="preserve">2.2 </w:t>
      </w:r>
      <w:bookmarkStart w:id="41" w:name="_Toc215650184"/>
      <w:r>
        <w:rPr>
          <w:rFonts w:ascii="Times New Roman" w:hAnsi="Times New Roman"/>
        </w:rPr>
        <w:t>Особые нагрузки и воздействия на сооружения</w:t>
      </w:r>
      <w:bookmarkEnd w:id="41"/>
    </w:p>
    <w:p>
      <w:pPr>
        <w:pStyle w:val="Normal"/>
        <w:rPr>
          <w:rFonts w:ascii="Times New Roman" w:hAnsi="Times New Roman"/>
          <w:sz w:val="24"/>
        </w:rPr>
      </w:pPr>
      <w:r>
        <w:rPr>
          <w:rFonts w:ascii="Times New Roman" w:hAnsi="Times New Roman"/>
          <w:sz w:val="24"/>
        </w:rPr>
        <w:t>Особые нагрузки и воздействия:</w:t>
      </w:r>
    </w:p>
    <w:p>
      <w:pPr>
        <w:pStyle w:val="Normal"/>
        <w:rPr>
          <w:rFonts w:ascii="Times New Roman" w:hAnsi="Times New Roman"/>
          <w:sz w:val="24"/>
        </w:rPr>
      </w:pPr>
      <w:r>
        <w:rPr>
          <w:rFonts w:ascii="Times New Roman" w:hAnsi="Times New Roman"/>
          <w:sz w:val="24"/>
        </w:rPr>
        <w:t xml:space="preserve">а) давление воды непосредственно на поверхности сооружения и основания; </w:t>
      </w:r>
    </w:p>
    <w:p>
      <w:pPr>
        <w:pStyle w:val="Normal"/>
        <w:rPr>
          <w:rFonts w:ascii="Times New Roman" w:hAnsi="Times New Roman"/>
          <w:sz w:val="24"/>
        </w:rPr>
      </w:pPr>
      <w:r>
        <w:rPr>
          <w:rFonts w:ascii="Times New Roman" w:hAnsi="Times New Roman"/>
          <w:sz w:val="24"/>
        </w:rPr>
        <w:t xml:space="preserve">б) силовое воздействие фильтрующейся воды, включающее объёмные силы фильтрации и взвешивания в водонасыщенных частях сооружения и основания, и противодавление на границе водонепроницаемой части сооружения; </w:t>
      </w:r>
    </w:p>
    <w:p>
      <w:pPr>
        <w:pStyle w:val="Normal"/>
        <w:rPr>
          <w:rFonts w:ascii="Times New Roman" w:hAnsi="Times New Roman"/>
          <w:sz w:val="24"/>
        </w:rPr>
      </w:pPr>
      <w:r>
        <w:rPr>
          <w:rFonts w:ascii="Times New Roman" w:hAnsi="Times New Roman"/>
          <w:sz w:val="24"/>
        </w:rPr>
        <w:t>в) нагрузки, вызванные избыточным поровым давлением незавершенной консолидации в водонасыщенном грунте, при форсированном уровне верхнего бьефа, соответствующем максимальным расходам воды расчётной вероятности превышения поверочного расчётного случая и при нормальной работе противофильтрационных или дренажных устройств, или при нормальном подпорном уровне верхнего бьефа, соответствующем максимальным расходам воды расчётной вероятности основного расчётного случая и нарушения нормальной работы противофильтрационных или дренажных устройств;</w:t>
      </w:r>
    </w:p>
    <w:p>
      <w:pPr>
        <w:pStyle w:val="Normal"/>
        <w:rPr>
          <w:rFonts w:ascii="Times New Roman" w:hAnsi="Times New Roman"/>
          <w:sz w:val="24"/>
        </w:rPr>
      </w:pPr>
      <w:r>
        <w:rPr>
          <w:rFonts w:ascii="Times New Roman" w:hAnsi="Times New Roman"/>
          <w:sz w:val="24"/>
        </w:rPr>
        <w:t>г) температурные воздействия строительного и эксплуатационного периодов, определяемые для года с наибольшей амплитудой колебания среднемесячных температур наружного воздуха;</w:t>
      </w:r>
    </w:p>
    <w:p>
      <w:pPr>
        <w:pStyle w:val="Normal"/>
        <w:rPr>
          <w:rFonts w:ascii="Times New Roman" w:hAnsi="Times New Roman"/>
          <w:sz w:val="24"/>
        </w:rPr>
      </w:pPr>
      <w:r>
        <w:rPr>
          <w:rFonts w:ascii="Times New Roman" w:hAnsi="Times New Roman"/>
          <w:sz w:val="24"/>
        </w:rPr>
        <w:t>д) нагрузки и воздействия от ледяного покрова максимальной толщины и прочности с редкой повторяемостью.</w:t>
      </w:r>
    </w:p>
    <w:p>
      <w:pPr>
        <w:pStyle w:val="Heading2"/>
        <w:numPr>
          <w:ilvl w:val="0"/>
        </w:numPr>
        <w:ind w:left="0" w:right="0" w:hanging="0"/>
        <w:rPr>
          <w:rFonts w:ascii="Times New Roman" w:hAnsi="Times New Roman"/>
        </w:rPr>
      </w:pPr>
      <w:bookmarkStart w:id="42" w:name="__RefHeading___Toc39896_2889022187"/>
      <w:bookmarkEnd w:id="42"/>
      <w:r>
        <w:rPr>
          <w:rFonts w:ascii="Times New Roman" w:hAnsi="Times New Roman"/>
        </w:rPr>
        <w:t xml:space="preserve">2.3 </w:t>
      </w:r>
      <w:bookmarkStart w:id="43" w:name="_Toc215650185"/>
      <w:r>
        <w:rPr>
          <w:rFonts w:ascii="Times New Roman" w:hAnsi="Times New Roman"/>
        </w:rPr>
        <w:t>Перечень контролируемых показателей состояния сооружений</w:t>
      </w:r>
      <w:bookmarkEnd w:id="43"/>
    </w:p>
    <w:p>
      <w:pPr>
        <w:pStyle w:val="Normal"/>
        <w:rPr>
          <w:rFonts w:ascii="Times New Roman" w:hAnsi="Times New Roman"/>
          <w:sz w:val="24"/>
        </w:rPr>
      </w:pPr>
      <w:r>
        <w:rPr>
          <w:rFonts w:ascii="Times New Roman" w:hAnsi="Times New Roman"/>
          <w:sz w:val="24"/>
        </w:rPr>
        <w:t>Настоящей программой предусматривается следующий состав наблюдений за гидротехническими сооружениями Загорской ГАЭС-2:</w:t>
      </w:r>
    </w:p>
    <w:p>
      <w:pPr>
        <w:pStyle w:val="Normal"/>
        <w:rPr>
          <w:rFonts w:ascii="Times New Roman" w:hAnsi="Times New Roman"/>
          <w:sz w:val="24"/>
        </w:rPr>
      </w:pPr>
      <w:r>
        <w:rPr>
          <w:rFonts w:ascii="Times New Roman" w:hAnsi="Times New Roman"/>
          <w:sz w:val="24"/>
        </w:rPr>
        <w:t>а) Инструментально наблюдаются:</w:t>
      </w:r>
    </w:p>
    <w:p>
      <w:pPr>
        <w:pStyle w:val="Normal"/>
        <w:rPr>
          <w:rFonts w:ascii="Times New Roman" w:hAnsi="Times New Roman"/>
          <w:sz w:val="24"/>
        </w:rPr>
      </w:pPr>
      <w:r>
        <w:rPr>
          <w:rFonts w:ascii="Times New Roman" w:hAnsi="Times New Roman"/>
          <w:sz w:val="24"/>
        </w:rPr>
        <w:t>- вертикальные (осадки) и горизонтальные перемещения сооружений и их оснований;</w:t>
      </w:r>
    </w:p>
    <w:p>
      <w:pPr>
        <w:pStyle w:val="Normal"/>
        <w:rPr>
          <w:rFonts w:ascii="Times New Roman" w:hAnsi="Times New Roman"/>
          <w:sz w:val="24"/>
        </w:rPr>
      </w:pPr>
      <w:r>
        <w:rPr>
          <w:rFonts w:ascii="Times New Roman" w:hAnsi="Times New Roman"/>
          <w:sz w:val="24"/>
        </w:rPr>
        <w:t>- горизонтальные перемещения сооружений и склона напорных трубопроводов;</w:t>
      </w:r>
    </w:p>
    <w:p>
      <w:pPr>
        <w:pStyle w:val="Normal"/>
        <w:rPr>
          <w:rFonts w:ascii="Times New Roman" w:hAnsi="Times New Roman"/>
          <w:sz w:val="24"/>
        </w:rPr>
      </w:pPr>
      <w:r>
        <w:rPr>
          <w:rFonts w:ascii="Times New Roman" w:hAnsi="Times New Roman"/>
          <w:sz w:val="24"/>
        </w:rPr>
        <w:t>- взаимные смещения секций и конструктивных элементов сооружений;</w:t>
      </w:r>
    </w:p>
    <w:p>
      <w:pPr>
        <w:pStyle w:val="Normal"/>
        <w:rPr>
          <w:rFonts w:ascii="Times New Roman" w:hAnsi="Times New Roman"/>
          <w:sz w:val="24"/>
        </w:rPr>
      </w:pPr>
      <w:r>
        <w:rPr>
          <w:rFonts w:ascii="Times New Roman" w:hAnsi="Times New Roman"/>
          <w:sz w:val="24"/>
        </w:rPr>
        <w:t>- напряжения (усилия) в арматуре напряжённых конструктивных элементов сооружений;</w:t>
      </w:r>
    </w:p>
    <w:p>
      <w:pPr>
        <w:pStyle w:val="Normal"/>
        <w:rPr>
          <w:rFonts w:ascii="Times New Roman" w:hAnsi="Times New Roman"/>
          <w:sz w:val="24"/>
        </w:rPr>
      </w:pPr>
      <w:r>
        <w:rPr>
          <w:rFonts w:ascii="Times New Roman" w:hAnsi="Times New Roman"/>
          <w:sz w:val="24"/>
        </w:rPr>
        <w:t>- деформации бетона отдельных конструктивных элементов;</w:t>
      </w:r>
    </w:p>
    <w:p>
      <w:pPr>
        <w:pStyle w:val="Normal"/>
        <w:rPr>
          <w:rFonts w:ascii="Times New Roman" w:hAnsi="Times New Roman"/>
          <w:sz w:val="24"/>
        </w:rPr>
      </w:pPr>
      <w:r>
        <w:rPr>
          <w:rFonts w:ascii="Times New Roman" w:hAnsi="Times New Roman"/>
          <w:sz w:val="24"/>
        </w:rPr>
        <w:t>-деформации металлических конструкций и облицовок;</w:t>
      </w:r>
    </w:p>
    <w:p>
      <w:pPr>
        <w:pStyle w:val="Normal"/>
        <w:rPr>
          <w:rFonts w:ascii="Times New Roman" w:hAnsi="Times New Roman"/>
          <w:sz w:val="24"/>
        </w:rPr>
      </w:pPr>
      <w:r>
        <w:rPr>
          <w:rFonts w:ascii="Times New Roman" w:hAnsi="Times New Roman"/>
          <w:sz w:val="24"/>
        </w:rPr>
        <w:t>- раскрытие строительных швов и трещин в бетоне;</w:t>
      </w:r>
    </w:p>
    <w:p>
      <w:pPr>
        <w:pStyle w:val="Normal"/>
        <w:rPr>
          <w:rFonts w:ascii="Times New Roman" w:hAnsi="Times New Roman"/>
          <w:sz w:val="24"/>
        </w:rPr>
      </w:pPr>
      <w:r>
        <w:rPr>
          <w:rFonts w:ascii="Times New Roman" w:hAnsi="Times New Roman"/>
          <w:sz w:val="24"/>
        </w:rPr>
        <w:t>-температуры в бетоне и в основаниях сооружений;</w:t>
      </w:r>
    </w:p>
    <w:p>
      <w:pPr>
        <w:pStyle w:val="Normal"/>
        <w:rPr>
          <w:rFonts w:ascii="Times New Roman" w:hAnsi="Times New Roman"/>
          <w:sz w:val="24"/>
        </w:rPr>
      </w:pPr>
      <w:r>
        <w:rPr>
          <w:rFonts w:ascii="Times New Roman" w:hAnsi="Times New Roman"/>
          <w:sz w:val="24"/>
        </w:rPr>
        <w:t>- пьезометрические уровни;</w:t>
      </w:r>
    </w:p>
    <w:p>
      <w:pPr>
        <w:pStyle w:val="Normal"/>
        <w:rPr>
          <w:rFonts w:ascii="Times New Roman" w:hAnsi="Times New Roman"/>
          <w:sz w:val="24"/>
        </w:rPr>
      </w:pPr>
      <w:r>
        <w:rPr>
          <w:rFonts w:ascii="Times New Roman" w:hAnsi="Times New Roman"/>
          <w:sz w:val="24"/>
        </w:rPr>
        <w:t xml:space="preserve">- фильтрационное давление на подошвы сооружений; </w:t>
      </w:r>
    </w:p>
    <w:p>
      <w:pPr>
        <w:pStyle w:val="Normal"/>
        <w:rPr>
          <w:rFonts w:ascii="Times New Roman" w:hAnsi="Times New Roman"/>
          <w:sz w:val="24"/>
        </w:rPr>
      </w:pPr>
      <w:r>
        <w:rPr>
          <w:rFonts w:ascii="Times New Roman" w:hAnsi="Times New Roman"/>
          <w:sz w:val="24"/>
        </w:rPr>
        <w:t>- величины фильтрационных расходов, химический состав и мутность воды;</w:t>
      </w:r>
    </w:p>
    <w:p>
      <w:pPr>
        <w:pStyle w:val="Normal"/>
        <w:rPr>
          <w:rFonts w:ascii="Times New Roman" w:hAnsi="Times New Roman"/>
          <w:sz w:val="24"/>
        </w:rPr>
      </w:pPr>
      <w:r>
        <w:rPr>
          <w:rFonts w:ascii="Times New Roman" w:hAnsi="Times New Roman"/>
          <w:sz w:val="24"/>
        </w:rPr>
        <w:t>- уровни воды в верхнем и нижнем аккумулирующих бассейнах;</w:t>
      </w:r>
    </w:p>
    <w:p>
      <w:pPr>
        <w:pStyle w:val="Normal"/>
        <w:rPr>
          <w:rFonts w:ascii="Times New Roman" w:hAnsi="Times New Roman"/>
          <w:sz w:val="24"/>
        </w:rPr>
      </w:pPr>
      <w:r>
        <w:rPr>
          <w:rFonts w:ascii="Times New Roman" w:hAnsi="Times New Roman"/>
          <w:sz w:val="24"/>
        </w:rPr>
        <w:t>- температуры наружного воздуха и воды в верхнем и нижнем аккумулирующих бассейнах.</w:t>
      </w:r>
    </w:p>
    <w:p>
      <w:pPr>
        <w:pStyle w:val="Normal"/>
        <w:rPr>
          <w:rFonts w:ascii="Times New Roman" w:hAnsi="Times New Roman"/>
          <w:sz w:val="24"/>
        </w:rPr>
      </w:pPr>
      <w:r>
        <w:rPr>
          <w:rFonts w:ascii="Times New Roman" w:hAnsi="Times New Roman"/>
          <w:sz w:val="24"/>
        </w:rPr>
        <w:t>б) Визуально наблюдаются:</w:t>
      </w:r>
    </w:p>
    <w:p>
      <w:pPr>
        <w:pStyle w:val="Normal"/>
        <w:rPr>
          <w:rFonts w:ascii="Times New Roman" w:hAnsi="Times New Roman"/>
          <w:sz w:val="24"/>
        </w:rPr>
      </w:pPr>
      <w:r>
        <w:rPr>
          <w:rFonts w:ascii="Times New Roman" w:hAnsi="Times New Roman"/>
          <w:sz w:val="24"/>
        </w:rPr>
        <w:t>- внешний вид и состояние сооружений, межсекционных швов, их оснований, береговых примыканий и склонов;</w:t>
      </w:r>
    </w:p>
    <w:p>
      <w:pPr>
        <w:pStyle w:val="Normal"/>
        <w:rPr>
          <w:rFonts w:ascii="Times New Roman" w:hAnsi="Times New Roman"/>
          <w:sz w:val="24"/>
        </w:rPr>
      </w:pPr>
      <w:r>
        <w:rPr>
          <w:rFonts w:ascii="Times New Roman" w:hAnsi="Times New Roman"/>
          <w:sz w:val="24"/>
        </w:rPr>
        <w:t>- прохождение, характер и динамика изменения внешне наблюдаемых процессов, например, таких, как фильтрация, выщелачивание бетона, коррозия арматуры и т. п.;</w:t>
      </w:r>
    </w:p>
    <w:p>
      <w:pPr>
        <w:pStyle w:val="Normal"/>
        <w:rPr>
          <w:rFonts w:ascii="Times New Roman" w:hAnsi="Times New Roman"/>
          <w:sz w:val="24"/>
        </w:rPr>
      </w:pPr>
      <w:r>
        <w:rPr>
          <w:rFonts w:ascii="Times New Roman" w:hAnsi="Times New Roman"/>
          <w:sz w:val="24"/>
        </w:rPr>
        <w:t>- трещинообразование в бетоне железобетонных конструкций;</w:t>
      </w:r>
    </w:p>
    <w:p>
      <w:pPr>
        <w:pStyle w:val="Normal"/>
        <w:rPr>
          <w:rFonts w:ascii="Times New Roman" w:hAnsi="Times New Roman"/>
          <w:sz w:val="24"/>
        </w:rPr>
      </w:pPr>
      <w:r>
        <w:rPr>
          <w:rFonts w:ascii="Times New Roman" w:hAnsi="Times New Roman"/>
          <w:sz w:val="24"/>
        </w:rPr>
        <w:t>- состояние и сохранность КИА.</w:t>
      </w:r>
    </w:p>
    <w:p>
      <w:pPr>
        <w:pStyle w:val="Normal"/>
        <w:rPr>
          <w:rFonts w:ascii="Times New Roman" w:hAnsi="Times New Roman"/>
          <w:sz w:val="24"/>
        </w:rPr>
      </w:pPr>
      <w:r>
        <w:rPr>
          <w:rFonts w:ascii="Times New Roman" w:hAnsi="Times New Roman"/>
          <w:sz w:val="24"/>
        </w:rPr>
        <w:t>Контролируемые показатели и типы контролирующей измерительной аппаратуры приведены в таблице 2.1.</w:t>
      </w:r>
    </w:p>
    <w:p>
      <w:pPr>
        <w:pStyle w:val="Normal"/>
        <w:spacing w:lineRule="auto" w:line="240" w:before="0" w:after="120"/>
        <w:ind w:left="0" w:right="0" w:hanging="0"/>
        <w:contextualSpacing/>
        <w:rPr>
          <w:rFonts w:ascii="Times New Roman" w:hAnsi="Times New Roman"/>
          <w:sz w:val="24"/>
        </w:rPr>
      </w:pPr>
      <w:r>
        <w:rPr>
          <w:rFonts w:ascii="Times New Roman" w:hAnsi="Times New Roman"/>
          <w:sz w:val="24"/>
        </w:rPr>
        <w:t>Таблица 2.1 – Контролируемые показатели и типы контролирующей измерительной аппаратуры</w:t>
      </w:r>
    </w:p>
    <w:tbl>
      <w:tblPr>
        <w:tblW w:w="5000" w:type="pct"/>
        <w:jc w:val="left"/>
        <w:tblInd w:w="0" w:type="dxa"/>
        <w:tblLayout w:type="fixed"/>
        <w:tblCellMar>
          <w:top w:w="0" w:type="dxa"/>
          <w:left w:w="108" w:type="dxa"/>
          <w:bottom w:w="0" w:type="dxa"/>
          <w:right w:w="108" w:type="dxa"/>
        </w:tblCellMar>
      </w:tblPr>
      <w:tblGrid>
        <w:gridCol w:w="3953"/>
        <w:gridCol w:w="5117"/>
      </w:tblGrid>
      <w:tr>
        <w:trPr>
          <w:tblHeader w:val="true"/>
          <w:trHeight w:val="539" w:hRule="atLeast"/>
        </w:trPr>
        <w:tc>
          <w:tcPr>
            <w:tcW w:w="39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Контролируемые сооружения</w:t>
            </w:r>
          </w:p>
        </w:tc>
        <w:tc>
          <w:tcPr>
            <w:tcW w:w="51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Тип КИА</w:t>
            </w:r>
          </w:p>
        </w:tc>
      </w:tr>
      <w:tr>
        <w:trPr>
          <w:trHeight w:val="340" w:hRule="atLeast"/>
        </w:trPr>
        <w:tc>
          <w:tcPr>
            <w:tcW w:w="907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1 Наблюдения за перемещениями сооружений и склона водоводов</w:t>
            </w:r>
          </w:p>
        </w:tc>
      </w:tr>
      <w:tr>
        <w:trPr>
          <w:trHeight w:val="340" w:hRule="atLeast"/>
        </w:trPr>
        <w:tc>
          <w:tcPr>
            <w:tcW w:w="907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1.1. Наблюдения за вертикальными перемещениями (осадками)</w:t>
            </w:r>
          </w:p>
        </w:tc>
      </w:tr>
      <w:tr>
        <w:trPr>
          <w:trHeight w:val="284" w:hRule="atLeast"/>
        </w:trPr>
        <w:tc>
          <w:tcPr>
            <w:tcW w:w="39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rPr>
                <w:rFonts w:ascii="Times New Roman" w:hAnsi="Times New Roman" w:cs="Times New Roman"/>
                <w:sz w:val="24"/>
                <w:szCs w:val="24"/>
              </w:rPr>
            </w:pPr>
            <w:r>
              <w:rPr>
                <w:rFonts w:cs="Times New Roman" w:ascii="Times New Roman" w:hAnsi="Times New Roman"/>
                <w:sz w:val="24"/>
                <w:szCs w:val="24"/>
              </w:rPr>
              <w:t>Дамба верхнего бассейна</w:t>
            </w:r>
          </w:p>
        </w:tc>
        <w:tc>
          <w:tcPr>
            <w:tcW w:w="511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Поверхностные марки, ПВЗ, ТМ, О3</w:t>
            </w:r>
          </w:p>
        </w:tc>
      </w:tr>
      <w:tr>
        <w:trPr>
          <w:trHeight w:val="284" w:hRule="atLeast"/>
        </w:trPr>
        <w:tc>
          <w:tcPr>
            <w:tcW w:w="39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rPr>
                <w:rFonts w:ascii="Times New Roman" w:hAnsi="Times New Roman" w:cs="Times New Roman"/>
                <w:sz w:val="24"/>
                <w:szCs w:val="24"/>
              </w:rPr>
            </w:pPr>
            <w:r>
              <w:rPr>
                <w:rFonts w:cs="Times New Roman" w:ascii="Times New Roman" w:hAnsi="Times New Roman"/>
                <w:sz w:val="24"/>
                <w:szCs w:val="24"/>
              </w:rPr>
              <w:t>Водоприёмник с подпорными стенками</w:t>
            </w:r>
          </w:p>
        </w:tc>
        <w:tc>
          <w:tcPr>
            <w:tcW w:w="511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84" w:hRule="atLeast"/>
        </w:trPr>
        <w:tc>
          <w:tcPr>
            <w:tcW w:w="39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rPr>
                <w:rFonts w:ascii="Times New Roman" w:hAnsi="Times New Roman" w:cs="Times New Roman"/>
                <w:sz w:val="24"/>
                <w:szCs w:val="24"/>
              </w:rPr>
            </w:pPr>
            <w:r>
              <w:rPr>
                <w:rFonts w:cs="Times New Roman" w:ascii="Times New Roman" w:hAnsi="Times New Roman"/>
                <w:sz w:val="24"/>
                <w:szCs w:val="24"/>
              </w:rPr>
              <w:t xml:space="preserve">Напорные водоводы </w:t>
            </w:r>
          </w:p>
        </w:tc>
        <w:tc>
          <w:tcPr>
            <w:tcW w:w="511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84" w:hRule="atLeast"/>
        </w:trPr>
        <w:tc>
          <w:tcPr>
            <w:tcW w:w="39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rPr>
                <w:rFonts w:ascii="Times New Roman" w:hAnsi="Times New Roman" w:cs="Times New Roman"/>
                <w:sz w:val="24"/>
                <w:szCs w:val="24"/>
              </w:rPr>
            </w:pPr>
            <w:r>
              <w:rPr>
                <w:rFonts w:cs="Times New Roman" w:ascii="Times New Roman" w:hAnsi="Times New Roman"/>
                <w:sz w:val="24"/>
                <w:szCs w:val="24"/>
              </w:rPr>
              <w:t>Сооружения станционного узла</w:t>
            </w:r>
          </w:p>
        </w:tc>
        <w:tc>
          <w:tcPr>
            <w:tcW w:w="51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ТМ, МПБ, МБС, МПГв, МТ, МР, ПВЗ</w:t>
            </w:r>
          </w:p>
        </w:tc>
      </w:tr>
      <w:tr>
        <w:trPr>
          <w:trHeight w:val="284" w:hRule="atLeast"/>
        </w:trPr>
        <w:tc>
          <w:tcPr>
            <w:tcW w:w="39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rPr>
                <w:rFonts w:ascii="Times New Roman" w:hAnsi="Times New Roman" w:cs="Times New Roman"/>
                <w:sz w:val="24"/>
                <w:szCs w:val="24"/>
              </w:rPr>
            </w:pPr>
            <w:r>
              <w:rPr>
                <w:rFonts w:cs="Times New Roman" w:ascii="Times New Roman" w:hAnsi="Times New Roman"/>
                <w:sz w:val="24"/>
                <w:szCs w:val="24"/>
              </w:rPr>
              <w:t>Перемычка реверсивного канала</w:t>
            </w:r>
          </w:p>
        </w:tc>
        <w:tc>
          <w:tcPr>
            <w:tcW w:w="51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 xml:space="preserve">МПГ, </w:t>
            </w:r>
            <w:r>
              <w:rPr>
                <w:rFonts w:ascii="Times New Roman" w:hAnsi="Times New Roman"/>
                <w:sz w:val="24"/>
              </w:rPr>
              <w:t>ПРК</w:t>
            </w:r>
          </w:p>
        </w:tc>
      </w:tr>
      <w:tr>
        <w:trPr>
          <w:trHeight w:val="340" w:hRule="atLeast"/>
        </w:trPr>
        <w:tc>
          <w:tcPr>
            <w:tcW w:w="907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1.2 Наблюдения за горизонтальными перемещениями</w:t>
            </w:r>
          </w:p>
        </w:tc>
      </w:tr>
      <w:tr>
        <w:trPr/>
        <w:tc>
          <w:tcPr>
            <w:tcW w:w="39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rPr>
                <w:rFonts w:ascii="Times New Roman" w:hAnsi="Times New Roman" w:cs="Times New Roman"/>
                <w:sz w:val="24"/>
                <w:szCs w:val="24"/>
              </w:rPr>
            </w:pPr>
            <w:r>
              <w:rPr>
                <w:rFonts w:cs="Times New Roman" w:ascii="Times New Roman" w:hAnsi="Times New Roman"/>
                <w:sz w:val="24"/>
                <w:szCs w:val="24"/>
              </w:rPr>
              <w:t>Водоприёмник с подпорными стенками</w:t>
            </w:r>
          </w:p>
        </w:tc>
        <w:tc>
          <w:tcPr>
            <w:tcW w:w="511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ОО, ПВЗ, СДЗ, ИС, О3, ЩП, ЩМ</w:t>
            </w:r>
          </w:p>
        </w:tc>
      </w:tr>
      <w:tr>
        <w:trPr>
          <w:trHeight w:val="340" w:hRule="atLeast"/>
        </w:trPr>
        <w:tc>
          <w:tcPr>
            <w:tcW w:w="39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rPr>
                <w:rFonts w:ascii="Times New Roman" w:hAnsi="Times New Roman" w:cs="Times New Roman"/>
                <w:sz w:val="24"/>
                <w:szCs w:val="24"/>
              </w:rPr>
            </w:pPr>
            <w:r>
              <w:rPr>
                <w:rFonts w:cs="Times New Roman" w:ascii="Times New Roman" w:hAnsi="Times New Roman"/>
                <w:sz w:val="24"/>
                <w:szCs w:val="24"/>
              </w:rPr>
              <w:t>Напорные водоводы</w:t>
            </w:r>
          </w:p>
        </w:tc>
        <w:tc>
          <w:tcPr>
            <w:tcW w:w="511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340" w:hRule="atLeast"/>
        </w:trPr>
        <w:tc>
          <w:tcPr>
            <w:tcW w:w="39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rPr>
                <w:rFonts w:ascii="Times New Roman" w:hAnsi="Times New Roman" w:cs="Times New Roman"/>
                <w:sz w:val="24"/>
                <w:szCs w:val="24"/>
              </w:rPr>
            </w:pPr>
            <w:r>
              <w:rPr>
                <w:rFonts w:cs="Times New Roman" w:ascii="Times New Roman" w:hAnsi="Times New Roman"/>
                <w:sz w:val="24"/>
                <w:szCs w:val="24"/>
              </w:rPr>
              <w:t>Сооружения станционного узла</w:t>
            </w:r>
          </w:p>
        </w:tc>
        <w:tc>
          <w:tcPr>
            <w:tcW w:w="51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 xml:space="preserve">СДЗ, </w:t>
            </w:r>
            <w:r>
              <w:rPr>
                <w:rFonts w:ascii="Times New Roman" w:hAnsi="Times New Roman"/>
                <w:sz w:val="24"/>
                <w:lang w:val="en-US"/>
              </w:rPr>
              <w:t>AN</w:t>
            </w:r>
            <w:r>
              <w:rPr>
                <w:rFonts w:ascii="Times New Roman" w:hAnsi="Times New Roman"/>
                <w:sz w:val="24"/>
              </w:rPr>
              <w:t xml:space="preserve">, ЩМ, </w:t>
            </w:r>
            <w:r>
              <w:rPr>
                <w:rFonts w:cs="Times New Roman" w:ascii="Times New Roman" w:hAnsi="Times New Roman"/>
                <w:sz w:val="24"/>
                <w:szCs w:val="24"/>
              </w:rPr>
              <w:t xml:space="preserve">МТ, МР, </w:t>
            </w:r>
            <w:r>
              <w:rPr>
                <w:rFonts w:ascii="Times New Roman" w:hAnsi="Times New Roman"/>
                <w:sz w:val="24"/>
              </w:rPr>
              <w:t xml:space="preserve">ПВЗ, </w:t>
            </w:r>
            <w:r>
              <w:rPr>
                <w:rFonts w:ascii="Times New Roman" w:hAnsi="Times New Roman"/>
                <w:sz w:val="24"/>
                <w:lang w:val="en-US"/>
              </w:rPr>
              <w:t>GPS</w:t>
            </w:r>
          </w:p>
        </w:tc>
      </w:tr>
      <w:tr>
        <w:trPr>
          <w:trHeight w:val="340" w:hRule="atLeast"/>
        </w:trPr>
        <w:tc>
          <w:tcPr>
            <w:tcW w:w="39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rPr>
                <w:rFonts w:ascii="Times New Roman" w:hAnsi="Times New Roman" w:cs="Times New Roman"/>
                <w:sz w:val="24"/>
                <w:szCs w:val="24"/>
              </w:rPr>
            </w:pPr>
            <w:r>
              <w:rPr>
                <w:rFonts w:cs="Times New Roman" w:ascii="Times New Roman" w:hAnsi="Times New Roman"/>
                <w:sz w:val="24"/>
                <w:szCs w:val="24"/>
              </w:rPr>
              <w:t>Перемычка реверсивного канала</w:t>
            </w:r>
          </w:p>
        </w:tc>
        <w:tc>
          <w:tcPr>
            <w:tcW w:w="51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ascii="Times New Roman" w:hAnsi="Times New Roman"/>
                <w:sz w:val="24"/>
              </w:rPr>
              <w:t>ПРК</w:t>
            </w:r>
          </w:p>
        </w:tc>
      </w:tr>
      <w:tr>
        <w:trPr>
          <w:trHeight w:val="340" w:hRule="atLeast"/>
        </w:trPr>
        <w:tc>
          <w:tcPr>
            <w:tcW w:w="907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1.3 Контроль устойчивости опорной сети</w:t>
            </w:r>
          </w:p>
        </w:tc>
      </w:tr>
      <w:tr>
        <w:trPr>
          <w:trHeight w:val="340" w:hRule="atLeast"/>
        </w:trPr>
        <w:tc>
          <w:tcPr>
            <w:tcW w:w="39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rPr>
                <w:rFonts w:ascii="Times New Roman" w:hAnsi="Times New Roman" w:cs="Times New Roman"/>
                <w:sz w:val="24"/>
                <w:szCs w:val="24"/>
              </w:rPr>
            </w:pPr>
            <w:r>
              <w:rPr>
                <w:rFonts w:cs="Times New Roman" w:ascii="Times New Roman" w:hAnsi="Times New Roman"/>
                <w:sz w:val="24"/>
                <w:szCs w:val="24"/>
              </w:rPr>
              <w:t>Фундаментальные и рабочие репера</w:t>
            </w:r>
          </w:p>
        </w:tc>
        <w:tc>
          <w:tcPr>
            <w:tcW w:w="51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rPr>
                <w:rFonts w:ascii="Times New Roman" w:hAnsi="Times New Roman" w:cs="Times New Roman"/>
                <w:sz w:val="24"/>
                <w:szCs w:val="24"/>
              </w:rPr>
            </w:pPr>
            <w:r>
              <w:rPr>
                <w:rFonts w:cs="Times New Roman" w:ascii="Times New Roman" w:hAnsi="Times New Roman"/>
                <w:sz w:val="24"/>
                <w:szCs w:val="24"/>
              </w:rPr>
            </w:r>
          </w:p>
        </w:tc>
      </w:tr>
      <w:tr>
        <w:trPr>
          <w:trHeight w:val="340" w:hRule="atLeast"/>
        </w:trPr>
        <w:tc>
          <w:tcPr>
            <w:tcW w:w="907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2 Контроль напряжённо-деформированного состояния сооружений</w:t>
            </w:r>
          </w:p>
        </w:tc>
      </w:tr>
      <w:tr>
        <w:trPr/>
        <w:tc>
          <w:tcPr>
            <w:tcW w:w="39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rPr>
                <w:rFonts w:ascii="Times New Roman" w:hAnsi="Times New Roman" w:cs="Times New Roman"/>
                <w:sz w:val="24"/>
                <w:szCs w:val="24"/>
              </w:rPr>
            </w:pPr>
            <w:r>
              <w:rPr>
                <w:rFonts w:cs="Times New Roman" w:ascii="Times New Roman" w:hAnsi="Times New Roman"/>
                <w:sz w:val="24"/>
                <w:szCs w:val="24"/>
              </w:rPr>
              <w:t>Водоприёмник с подпорными стенками</w:t>
            </w:r>
          </w:p>
        </w:tc>
        <w:tc>
          <w:tcPr>
            <w:tcW w:w="511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ПСАС, ПТС, ПЛПС, ПЛДС</w:t>
            </w:r>
          </w:p>
        </w:tc>
      </w:tr>
      <w:tr>
        <w:trPr>
          <w:trHeight w:val="340" w:hRule="atLeast"/>
        </w:trPr>
        <w:tc>
          <w:tcPr>
            <w:tcW w:w="39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rPr>
                <w:rFonts w:ascii="Times New Roman" w:hAnsi="Times New Roman" w:cs="Times New Roman"/>
                <w:sz w:val="24"/>
                <w:szCs w:val="24"/>
              </w:rPr>
            </w:pPr>
            <w:r>
              <w:rPr>
                <w:rFonts w:cs="Times New Roman" w:ascii="Times New Roman" w:hAnsi="Times New Roman"/>
                <w:sz w:val="24"/>
                <w:szCs w:val="24"/>
              </w:rPr>
              <w:t xml:space="preserve">Напорные водоводы </w:t>
            </w:r>
          </w:p>
        </w:tc>
        <w:tc>
          <w:tcPr>
            <w:tcW w:w="511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340" w:hRule="atLeast"/>
        </w:trPr>
        <w:tc>
          <w:tcPr>
            <w:tcW w:w="39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rPr>
                <w:rFonts w:ascii="Times New Roman" w:hAnsi="Times New Roman" w:cs="Times New Roman"/>
                <w:sz w:val="24"/>
                <w:szCs w:val="24"/>
              </w:rPr>
            </w:pPr>
            <w:r>
              <w:rPr>
                <w:rFonts w:cs="Times New Roman" w:ascii="Times New Roman" w:hAnsi="Times New Roman"/>
                <w:sz w:val="24"/>
                <w:szCs w:val="24"/>
              </w:rPr>
              <w:t>Сооружения станционного узла</w:t>
            </w:r>
          </w:p>
        </w:tc>
        <w:tc>
          <w:tcPr>
            <w:tcW w:w="51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ПТС, ПСАС, ПЛПС, ПЛДС, ИС</w:t>
            </w:r>
          </w:p>
        </w:tc>
      </w:tr>
      <w:tr>
        <w:trPr>
          <w:trHeight w:val="340" w:hRule="atLeast"/>
        </w:trPr>
        <w:tc>
          <w:tcPr>
            <w:tcW w:w="907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3 Наблюдения за фильтрационным режимом</w:t>
            </w:r>
          </w:p>
        </w:tc>
      </w:tr>
      <w:tr>
        <w:trPr>
          <w:trHeight w:val="340" w:hRule="atLeast"/>
        </w:trPr>
        <w:tc>
          <w:tcPr>
            <w:tcW w:w="907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3.1 Наблюдения за пьезометрическими уровнями</w:t>
            </w:r>
          </w:p>
        </w:tc>
      </w:tr>
      <w:tr>
        <w:trPr>
          <w:trHeight w:val="340" w:hRule="atLeast"/>
        </w:trPr>
        <w:tc>
          <w:tcPr>
            <w:tcW w:w="39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rPr>
                <w:rFonts w:ascii="Times New Roman" w:hAnsi="Times New Roman" w:cs="Times New Roman"/>
                <w:sz w:val="24"/>
                <w:szCs w:val="24"/>
              </w:rPr>
            </w:pPr>
            <w:r>
              <w:rPr>
                <w:rFonts w:cs="Times New Roman" w:ascii="Times New Roman" w:hAnsi="Times New Roman"/>
                <w:sz w:val="24"/>
                <w:szCs w:val="24"/>
              </w:rPr>
              <w:t>Дамба верхнего бассейна</w:t>
            </w:r>
          </w:p>
        </w:tc>
        <w:tc>
          <w:tcPr>
            <w:tcW w:w="511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rPr>
                <w:rFonts w:ascii="Times New Roman" w:hAnsi="Times New Roman" w:cs="Times New Roman"/>
                <w:sz w:val="24"/>
                <w:szCs w:val="24"/>
              </w:rPr>
            </w:pPr>
            <w:r>
              <w:rPr>
                <w:rFonts w:cs="Times New Roman" w:ascii="Times New Roman" w:hAnsi="Times New Roman"/>
                <w:sz w:val="24"/>
                <w:szCs w:val="24"/>
              </w:rPr>
              <w:t>Опускные пьезометры, напорные пьезометры, ПДС</w:t>
            </w:r>
          </w:p>
        </w:tc>
      </w:tr>
      <w:tr>
        <w:trPr/>
        <w:tc>
          <w:tcPr>
            <w:tcW w:w="39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rPr>
                <w:rFonts w:ascii="Times New Roman" w:hAnsi="Times New Roman" w:cs="Times New Roman"/>
                <w:sz w:val="24"/>
                <w:szCs w:val="24"/>
              </w:rPr>
            </w:pPr>
            <w:r>
              <w:rPr>
                <w:rFonts w:cs="Times New Roman" w:ascii="Times New Roman" w:hAnsi="Times New Roman"/>
                <w:sz w:val="24"/>
                <w:szCs w:val="24"/>
              </w:rPr>
              <w:t>Водоприёмник с подпорными стенками</w:t>
            </w:r>
          </w:p>
        </w:tc>
        <w:tc>
          <w:tcPr>
            <w:tcW w:w="511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340" w:hRule="atLeast"/>
        </w:trPr>
        <w:tc>
          <w:tcPr>
            <w:tcW w:w="39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rPr>
                <w:rFonts w:ascii="Times New Roman" w:hAnsi="Times New Roman" w:cs="Times New Roman"/>
                <w:spacing w:val="-4"/>
                <w:sz w:val="24"/>
                <w:szCs w:val="24"/>
              </w:rPr>
            </w:pPr>
            <w:r>
              <w:rPr>
                <w:rFonts w:cs="Times New Roman" w:ascii="Times New Roman" w:hAnsi="Times New Roman"/>
                <w:sz w:val="24"/>
                <w:szCs w:val="24"/>
              </w:rPr>
              <w:t>Сооружения станционного узла</w:t>
            </w:r>
          </w:p>
        </w:tc>
        <w:tc>
          <w:tcPr>
            <w:tcW w:w="511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340" w:hRule="atLeast"/>
        </w:trPr>
        <w:tc>
          <w:tcPr>
            <w:tcW w:w="39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rPr>
                <w:rFonts w:ascii="Times New Roman" w:hAnsi="Times New Roman" w:cs="Times New Roman"/>
                <w:sz w:val="24"/>
                <w:szCs w:val="24"/>
              </w:rPr>
            </w:pPr>
            <w:r>
              <w:rPr>
                <w:rFonts w:cs="Times New Roman" w:ascii="Times New Roman" w:hAnsi="Times New Roman"/>
                <w:sz w:val="24"/>
                <w:szCs w:val="24"/>
              </w:rPr>
              <w:t>Перемычка реверсивного канала</w:t>
            </w:r>
          </w:p>
        </w:tc>
        <w:tc>
          <w:tcPr>
            <w:tcW w:w="51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ПО, ПДС</w:t>
            </w:r>
          </w:p>
        </w:tc>
      </w:tr>
      <w:tr>
        <w:trPr>
          <w:trHeight w:val="340" w:hRule="atLeast"/>
        </w:trPr>
        <w:tc>
          <w:tcPr>
            <w:tcW w:w="907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3.2 Наблюдения за фильтрационными расходами и температурой воды</w:t>
            </w:r>
          </w:p>
        </w:tc>
      </w:tr>
      <w:tr>
        <w:trPr>
          <w:trHeight w:val="333" w:hRule="atLeast"/>
        </w:trPr>
        <w:tc>
          <w:tcPr>
            <w:tcW w:w="39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rPr>
                <w:rFonts w:ascii="Times New Roman" w:hAnsi="Times New Roman" w:cs="Times New Roman"/>
                <w:sz w:val="24"/>
                <w:szCs w:val="24"/>
              </w:rPr>
            </w:pPr>
            <w:r>
              <w:rPr>
                <w:rFonts w:cs="Times New Roman" w:ascii="Times New Roman" w:hAnsi="Times New Roman"/>
                <w:sz w:val="24"/>
                <w:szCs w:val="24"/>
              </w:rPr>
              <w:t>Дамба верхнего бассейна</w:t>
            </w:r>
          </w:p>
        </w:tc>
        <w:tc>
          <w:tcPr>
            <w:tcW w:w="511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Расходомеры, мерные водосливы, термометры</w:t>
            </w:r>
          </w:p>
        </w:tc>
      </w:tr>
      <w:tr>
        <w:trPr>
          <w:trHeight w:val="338" w:hRule="atLeast"/>
        </w:trPr>
        <w:tc>
          <w:tcPr>
            <w:tcW w:w="39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rPr>
                <w:rFonts w:ascii="Times New Roman" w:hAnsi="Times New Roman" w:cs="Times New Roman"/>
                <w:sz w:val="24"/>
                <w:szCs w:val="24"/>
              </w:rPr>
            </w:pPr>
            <w:r>
              <w:rPr>
                <w:rFonts w:cs="Times New Roman" w:ascii="Times New Roman" w:hAnsi="Times New Roman"/>
                <w:sz w:val="24"/>
                <w:szCs w:val="24"/>
              </w:rPr>
              <w:t>Водоприёмник с подпорными стенками</w:t>
            </w:r>
          </w:p>
        </w:tc>
        <w:tc>
          <w:tcPr>
            <w:tcW w:w="511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338" w:hRule="atLeast"/>
        </w:trPr>
        <w:tc>
          <w:tcPr>
            <w:tcW w:w="39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rPr>
                <w:rFonts w:ascii="Times New Roman" w:hAnsi="Times New Roman" w:cs="Times New Roman"/>
                <w:sz w:val="24"/>
                <w:szCs w:val="24"/>
              </w:rPr>
            </w:pPr>
            <w:r>
              <w:rPr>
                <w:rFonts w:cs="Times New Roman" w:ascii="Times New Roman" w:hAnsi="Times New Roman"/>
                <w:sz w:val="24"/>
                <w:szCs w:val="24"/>
              </w:rPr>
              <w:t>Участок склона напорных водоводов</w:t>
            </w:r>
          </w:p>
        </w:tc>
        <w:tc>
          <w:tcPr>
            <w:tcW w:w="511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340" w:hRule="atLeast"/>
        </w:trPr>
        <w:tc>
          <w:tcPr>
            <w:tcW w:w="907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4 Гидрологические наблюдения за уровнями бьефов</w:t>
            </w:r>
          </w:p>
        </w:tc>
      </w:tr>
      <w:tr>
        <w:trPr>
          <w:trHeight w:val="340" w:hRule="atLeast"/>
        </w:trPr>
        <w:tc>
          <w:tcPr>
            <w:tcW w:w="39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rPr>
                <w:rFonts w:ascii="Times New Roman" w:hAnsi="Times New Roman" w:cs="Times New Roman"/>
                <w:sz w:val="24"/>
                <w:szCs w:val="24"/>
              </w:rPr>
            </w:pPr>
            <w:r>
              <w:rPr>
                <w:rFonts w:cs="Times New Roman" w:ascii="Times New Roman" w:hAnsi="Times New Roman"/>
                <w:sz w:val="24"/>
                <w:szCs w:val="24"/>
              </w:rPr>
              <w:t>Верхний бассейн</w:t>
            </w:r>
          </w:p>
        </w:tc>
        <w:tc>
          <w:tcPr>
            <w:tcW w:w="51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pacing w:val="-2"/>
                <w:sz w:val="24"/>
                <w:szCs w:val="24"/>
              </w:rPr>
            </w:pPr>
            <w:r>
              <w:rPr>
                <w:rFonts w:cs="Times New Roman" w:ascii="Times New Roman" w:hAnsi="Times New Roman"/>
                <w:spacing w:val="-2"/>
                <w:sz w:val="24"/>
                <w:szCs w:val="24"/>
              </w:rPr>
              <w:t xml:space="preserve">Мерные линейки, датчики давления </w:t>
              <w:br/>
              <w:t>Метран- 22ДИ, Сапфир-2МТ</w:t>
            </w:r>
          </w:p>
        </w:tc>
      </w:tr>
      <w:tr>
        <w:trPr>
          <w:trHeight w:val="340" w:hRule="atLeast"/>
        </w:trPr>
        <w:tc>
          <w:tcPr>
            <w:tcW w:w="907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5 Метеорологические наблюдения</w:t>
            </w:r>
          </w:p>
        </w:tc>
      </w:tr>
      <w:tr>
        <w:trPr/>
        <w:tc>
          <w:tcPr>
            <w:tcW w:w="39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rPr>
                <w:rFonts w:ascii="Times New Roman" w:hAnsi="Times New Roman" w:cs="Times New Roman"/>
                <w:sz w:val="24"/>
                <w:szCs w:val="24"/>
              </w:rPr>
            </w:pPr>
            <w:r>
              <w:rPr>
                <w:rFonts w:cs="Times New Roman" w:ascii="Times New Roman" w:hAnsi="Times New Roman"/>
                <w:sz w:val="24"/>
                <w:szCs w:val="24"/>
              </w:rPr>
              <w:t xml:space="preserve">Среднесуточная температура наружного воздуха </w:t>
            </w:r>
          </w:p>
        </w:tc>
        <w:tc>
          <w:tcPr>
            <w:tcW w:w="511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Термометр</w:t>
            </w:r>
          </w:p>
        </w:tc>
      </w:tr>
      <w:tr>
        <w:trPr/>
        <w:tc>
          <w:tcPr>
            <w:tcW w:w="39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rPr>
                <w:rFonts w:ascii="Times New Roman" w:hAnsi="Times New Roman" w:cs="Times New Roman"/>
                <w:spacing w:val="-2"/>
                <w:sz w:val="24"/>
                <w:szCs w:val="24"/>
              </w:rPr>
            </w:pPr>
            <w:r>
              <w:rPr>
                <w:rFonts w:cs="Times New Roman" w:ascii="Times New Roman" w:hAnsi="Times New Roman"/>
                <w:spacing w:val="-2"/>
                <w:sz w:val="24"/>
                <w:szCs w:val="24"/>
              </w:rPr>
              <w:t>Среднесуточная температура воды в бассейнах</w:t>
            </w:r>
          </w:p>
        </w:tc>
        <w:tc>
          <w:tcPr>
            <w:tcW w:w="511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340" w:hRule="atLeast"/>
        </w:trPr>
        <w:tc>
          <w:tcPr>
            <w:tcW w:w="39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rPr>
                <w:rFonts w:ascii="Times New Roman" w:hAnsi="Times New Roman" w:cs="Times New Roman"/>
                <w:spacing w:val="-2"/>
                <w:sz w:val="24"/>
                <w:szCs w:val="24"/>
              </w:rPr>
            </w:pPr>
            <w:r>
              <w:rPr>
                <w:rFonts w:cs="Times New Roman" w:ascii="Times New Roman" w:hAnsi="Times New Roman"/>
                <w:spacing w:val="-2"/>
                <w:sz w:val="24"/>
                <w:szCs w:val="24"/>
              </w:rPr>
              <w:t>Атмосферные осадки</w:t>
            </w:r>
          </w:p>
        </w:tc>
        <w:tc>
          <w:tcPr>
            <w:tcW w:w="51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Визуально</w:t>
            </w:r>
          </w:p>
        </w:tc>
      </w:tr>
    </w:tbl>
    <w:p>
      <w:pPr>
        <w:pStyle w:val="Normal"/>
        <w:spacing w:lineRule="auto" w:line="276" w:before="0" w:after="200"/>
        <w:ind w:left="0" w:right="0" w:hanging="0"/>
        <w:contextualSpacing/>
        <w:jc w:val="left"/>
        <w:rPr>
          <w:rFonts w:ascii="Times New Roman" w:hAnsi="Times New Roman" w:cs="Times New Roman"/>
        </w:rPr>
      </w:pPr>
      <w:r>
        <w:rPr>
          <w:rFonts w:cs="Times New Roman" w:ascii="Times New Roman" w:hAnsi="Times New Roman"/>
        </w:rPr>
      </w:r>
      <w:r>
        <w:br w:type="page"/>
      </w:r>
    </w:p>
    <w:p>
      <w:pPr>
        <w:pStyle w:val="Heading1"/>
        <w:numPr>
          <w:ilvl w:val="0"/>
        </w:numPr>
        <w:ind w:left="0" w:right="0" w:hanging="0"/>
        <w:rPr>
          <w:rFonts w:ascii="Times New Roman" w:hAnsi="Times New Roman"/>
        </w:rPr>
      </w:pPr>
      <w:bookmarkStart w:id="44" w:name="__RefHeading___Toc39898_2889022187"/>
      <w:bookmarkEnd w:id="44"/>
      <w:r>
        <w:rPr>
          <w:rFonts w:ascii="Times New Roman" w:hAnsi="Times New Roman"/>
        </w:rPr>
        <w:t xml:space="preserve">3 </w:t>
      </w:r>
      <w:bookmarkStart w:id="45" w:name="_Toc215650186"/>
      <w:r>
        <w:rPr>
          <w:rFonts w:ascii="Times New Roman" w:hAnsi="Times New Roman"/>
        </w:rPr>
        <w:t>Система мониторинга контролируемых ГТС</w:t>
      </w:r>
      <w:bookmarkEnd w:id="45"/>
    </w:p>
    <w:p>
      <w:pPr>
        <w:pStyle w:val="Heading2"/>
        <w:numPr>
          <w:ilvl w:val="0"/>
        </w:numPr>
        <w:ind w:left="0" w:right="0" w:hanging="0"/>
        <w:rPr>
          <w:rFonts w:ascii="Times New Roman" w:hAnsi="Times New Roman"/>
        </w:rPr>
      </w:pPr>
      <w:bookmarkStart w:id="46" w:name="__RefHeading___Toc39900_2889022187"/>
      <w:bookmarkEnd w:id="46"/>
      <w:r>
        <w:rPr>
          <w:rFonts w:ascii="Times New Roman" w:hAnsi="Times New Roman"/>
        </w:rPr>
        <w:t xml:space="preserve">3.1 </w:t>
      </w:r>
      <w:bookmarkStart w:id="47" w:name="_Toc215650187"/>
      <w:r>
        <w:rPr>
          <w:rFonts w:ascii="Times New Roman" w:hAnsi="Times New Roman"/>
        </w:rPr>
        <w:t>Общая информация</w:t>
      </w:r>
      <w:bookmarkEnd w:id="47"/>
    </w:p>
    <w:p>
      <w:pPr>
        <w:pStyle w:val="Normal"/>
        <w:rPr>
          <w:rFonts w:ascii="Times New Roman" w:hAnsi="Times New Roman"/>
          <w:sz w:val="24"/>
        </w:rPr>
      </w:pPr>
      <w:r>
        <w:rPr>
          <w:rFonts w:ascii="Times New Roman" w:hAnsi="Times New Roman"/>
          <w:sz w:val="24"/>
        </w:rPr>
        <w:t>Система мониторинга предусматривает проведение комплекса регулярных натурных наблюдений за контролируемыми гидротехническими сооружениями, их основанием и прилегающей территорией, ведение электронной базы данных в информационно-диагностической системе «БИНГ-3», оценка состояния контролируемых гидротехнических сооружений по результатам выполненных натурных наблюдений.</w:t>
      </w:r>
    </w:p>
    <w:p>
      <w:pPr>
        <w:pStyle w:val="Normal"/>
        <w:rPr>
          <w:rFonts w:ascii="Times New Roman" w:hAnsi="Times New Roman"/>
          <w:sz w:val="24"/>
        </w:rPr>
      </w:pPr>
      <w:r>
        <w:rPr>
          <w:rFonts w:ascii="Times New Roman" w:hAnsi="Times New Roman"/>
          <w:sz w:val="24"/>
        </w:rPr>
        <w:t>Состав и объём натурных наблюдений в строительный период определяется в соответствии с требованиями действующей нормативно-технической документации, с учётом фактического состояния контролируемых ГТС (выявленных дефектов и отклонений) и установленной КИА.</w:t>
      </w:r>
    </w:p>
    <w:p>
      <w:pPr>
        <w:pStyle w:val="Normal"/>
        <w:rPr>
          <w:rFonts w:ascii="Times New Roman" w:hAnsi="Times New Roman"/>
          <w:sz w:val="24"/>
        </w:rPr>
      </w:pPr>
      <w:r>
        <w:rPr>
          <w:rFonts w:ascii="Times New Roman" w:hAnsi="Times New Roman"/>
          <w:sz w:val="24"/>
        </w:rPr>
        <w:t>В рамках рассматриваемого регламента предусматривается проведение визуальных и инструментальных наблюдений.</w:t>
      </w:r>
    </w:p>
    <w:p>
      <w:pPr>
        <w:pStyle w:val="Heading2"/>
        <w:numPr>
          <w:ilvl w:val="0"/>
        </w:numPr>
        <w:ind w:left="0" w:right="0" w:hanging="0"/>
        <w:rPr>
          <w:rFonts w:ascii="Times New Roman" w:hAnsi="Times New Roman"/>
        </w:rPr>
      </w:pPr>
      <w:bookmarkStart w:id="48" w:name="__RefHeading___Toc39902_2889022187"/>
      <w:bookmarkEnd w:id="48"/>
      <w:r>
        <w:rPr>
          <w:rFonts w:ascii="Times New Roman" w:hAnsi="Times New Roman"/>
        </w:rPr>
        <w:t xml:space="preserve">3.2 </w:t>
      </w:r>
      <w:bookmarkStart w:id="49" w:name="_Toc215650188"/>
      <w:r>
        <w:rPr>
          <w:rFonts w:ascii="Times New Roman" w:hAnsi="Times New Roman"/>
        </w:rPr>
        <w:t>Описание системы мониторинга</w:t>
      </w:r>
      <w:bookmarkEnd w:id="49"/>
    </w:p>
    <w:p>
      <w:pPr>
        <w:pStyle w:val="Normal"/>
        <w:rPr>
          <w:rFonts w:ascii="Times New Roman" w:hAnsi="Times New Roman"/>
          <w:sz w:val="24"/>
        </w:rPr>
      </w:pPr>
      <w:r>
        <w:rPr>
          <w:rFonts w:ascii="Times New Roman" w:hAnsi="Times New Roman"/>
          <w:sz w:val="24"/>
        </w:rPr>
        <w:t>Система мониторинга состояния ГТС Загорской ГАЭС-2 на строительный период состоит из:</w:t>
      </w:r>
    </w:p>
    <w:p>
      <w:pPr>
        <w:pStyle w:val="Normal"/>
        <w:rPr>
          <w:rFonts w:ascii="Times New Roman" w:hAnsi="Times New Roman"/>
          <w:sz w:val="24"/>
        </w:rPr>
      </w:pPr>
      <w:r>
        <w:rPr>
          <w:rFonts w:ascii="Times New Roman" w:hAnsi="Times New Roman"/>
          <w:sz w:val="24"/>
        </w:rPr>
        <w:t>- закладной струнной КИА;</w:t>
      </w:r>
    </w:p>
    <w:p>
      <w:pPr>
        <w:pStyle w:val="Normal"/>
        <w:rPr>
          <w:rFonts w:ascii="Times New Roman" w:hAnsi="Times New Roman"/>
          <w:sz w:val="24"/>
        </w:rPr>
      </w:pPr>
      <w:r>
        <w:rPr>
          <w:rFonts w:ascii="Times New Roman" w:hAnsi="Times New Roman"/>
          <w:sz w:val="24"/>
        </w:rPr>
        <w:t>- фильтрационной КИА;</w:t>
      </w:r>
    </w:p>
    <w:p>
      <w:pPr>
        <w:pStyle w:val="Normal"/>
        <w:rPr>
          <w:rFonts w:ascii="Times New Roman" w:hAnsi="Times New Roman"/>
          <w:sz w:val="24"/>
        </w:rPr>
      </w:pPr>
      <w:r>
        <w:rPr>
          <w:rFonts w:ascii="Times New Roman" w:hAnsi="Times New Roman"/>
          <w:sz w:val="24"/>
        </w:rPr>
        <w:t>- гидрологической КИА;</w:t>
      </w:r>
    </w:p>
    <w:p>
      <w:pPr>
        <w:pStyle w:val="Normal"/>
        <w:rPr>
          <w:rFonts w:ascii="Times New Roman" w:hAnsi="Times New Roman"/>
          <w:sz w:val="24"/>
        </w:rPr>
      </w:pPr>
      <w:r>
        <w:rPr>
          <w:rFonts w:ascii="Times New Roman" w:hAnsi="Times New Roman"/>
          <w:sz w:val="24"/>
        </w:rPr>
        <w:t>- КИА за деформациями и перемещениями (в т.ч. КИА и АСО КИА специального контроля за пространственным положением здания ГАЭС);</w:t>
      </w:r>
    </w:p>
    <w:p>
      <w:pPr>
        <w:pStyle w:val="Normal"/>
        <w:rPr>
          <w:rFonts w:ascii="Times New Roman" w:hAnsi="Times New Roman"/>
          <w:sz w:val="24"/>
        </w:rPr>
      </w:pPr>
      <w:r>
        <w:rPr>
          <w:rFonts w:ascii="Times New Roman" w:hAnsi="Times New Roman"/>
          <w:sz w:val="24"/>
        </w:rPr>
        <w:t>- автоматизированной системы диагностического контроля (ГТС станционного узла).</w:t>
      </w:r>
    </w:p>
    <w:p>
      <w:pPr>
        <w:pStyle w:val="Normal"/>
        <w:rPr>
          <w:rFonts w:ascii="Times New Roman" w:hAnsi="Times New Roman"/>
          <w:b/>
          <w:sz w:val="24"/>
        </w:rPr>
      </w:pPr>
      <w:r>
        <w:rPr>
          <w:rFonts w:ascii="Times New Roman" w:hAnsi="Times New Roman"/>
          <w:b/>
          <w:sz w:val="24"/>
        </w:rPr>
        <w:t>Закладная струнная КИА</w:t>
      </w:r>
    </w:p>
    <w:p>
      <w:pPr>
        <w:pStyle w:val="Normal"/>
        <w:rPr>
          <w:rFonts w:ascii="Times New Roman" w:hAnsi="Times New Roman"/>
          <w:sz w:val="24"/>
        </w:rPr>
      </w:pPr>
      <w:r>
        <w:rPr>
          <w:rFonts w:ascii="Times New Roman" w:hAnsi="Times New Roman"/>
          <w:sz w:val="24"/>
        </w:rPr>
        <w:t>В состав закладной струнной КИА входят:</w:t>
      </w:r>
    </w:p>
    <w:p>
      <w:pPr>
        <w:pStyle w:val="ListParagraph"/>
        <w:numPr>
          <w:ilvl w:val="0"/>
          <w:numId w:val="13"/>
        </w:numPr>
        <w:ind w:left="851" w:right="0" w:hanging="0"/>
        <w:rPr>
          <w:rFonts w:ascii="Times New Roman" w:hAnsi="Times New Roman"/>
          <w:sz w:val="24"/>
        </w:rPr>
      </w:pPr>
      <w:r>
        <w:rPr>
          <w:rFonts w:ascii="Times New Roman" w:hAnsi="Times New Roman"/>
          <w:sz w:val="24"/>
        </w:rPr>
        <w:t>ПСАС – преобразователи силы арматурные струнные;</w:t>
      </w:r>
    </w:p>
    <w:p>
      <w:pPr>
        <w:pStyle w:val="ListParagraph"/>
        <w:numPr>
          <w:ilvl w:val="0"/>
          <w:numId w:val="13"/>
        </w:numPr>
        <w:ind w:left="851" w:right="0" w:hanging="0"/>
        <w:rPr>
          <w:rFonts w:ascii="Times New Roman" w:hAnsi="Times New Roman"/>
          <w:sz w:val="24"/>
        </w:rPr>
      </w:pPr>
      <w:r>
        <w:rPr>
          <w:rFonts w:ascii="Times New Roman" w:hAnsi="Times New Roman"/>
          <w:sz w:val="24"/>
        </w:rPr>
        <w:t>ПЛПС – преобразователи линейных перемещений струнные;</w:t>
      </w:r>
    </w:p>
    <w:p>
      <w:pPr>
        <w:pStyle w:val="ListParagraph"/>
        <w:numPr>
          <w:ilvl w:val="0"/>
          <w:numId w:val="13"/>
        </w:numPr>
        <w:ind w:left="851" w:right="0" w:hanging="0"/>
        <w:rPr>
          <w:rFonts w:ascii="Times New Roman" w:hAnsi="Times New Roman"/>
          <w:sz w:val="24"/>
        </w:rPr>
      </w:pPr>
      <w:r>
        <w:rPr>
          <w:rFonts w:ascii="Times New Roman" w:hAnsi="Times New Roman"/>
          <w:sz w:val="24"/>
        </w:rPr>
        <w:t>ПТС – преобразователи температуры струнные;</w:t>
      </w:r>
    </w:p>
    <w:p>
      <w:pPr>
        <w:pStyle w:val="ListParagraph"/>
        <w:numPr>
          <w:ilvl w:val="0"/>
          <w:numId w:val="13"/>
        </w:numPr>
        <w:ind w:left="851" w:right="0" w:hanging="0"/>
        <w:rPr>
          <w:rFonts w:ascii="Times New Roman" w:hAnsi="Times New Roman"/>
          <w:sz w:val="24"/>
        </w:rPr>
      </w:pPr>
      <w:r>
        <w:rPr>
          <w:rFonts w:ascii="Times New Roman" w:hAnsi="Times New Roman"/>
          <w:sz w:val="24"/>
        </w:rPr>
        <w:t>ПЛДС – преобразователи линейных деформаций струнные;</w:t>
      </w:r>
    </w:p>
    <w:p>
      <w:pPr>
        <w:pStyle w:val="ListParagraph"/>
        <w:numPr>
          <w:ilvl w:val="0"/>
          <w:numId w:val="13"/>
        </w:numPr>
        <w:ind w:left="851" w:right="0" w:hanging="0"/>
        <w:rPr>
          <w:rFonts w:ascii="Times New Roman" w:hAnsi="Times New Roman"/>
          <w:sz w:val="24"/>
        </w:rPr>
      </w:pPr>
      <w:r>
        <w:rPr>
          <w:rFonts w:ascii="Times New Roman" w:hAnsi="Times New Roman"/>
          <w:sz w:val="24"/>
        </w:rPr>
        <w:t>ПДС – преобразователи давления струнные.</w:t>
      </w:r>
    </w:p>
    <w:p>
      <w:pPr>
        <w:pStyle w:val="Normal"/>
        <w:rPr>
          <w:rFonts w:ascii="Times New Roman" w:hAnsi="Times New Roman"/>
          <w:sz w:val="24"/>
        </w:rPr>
      </w:pPr>
      <w:r>
        <w:rPr>
          <w:rFonts w:ascii="Times New Roman" w:hAnsi="Times New Roman"/>
          <w:sz w:val="24"/>
        </w:rPr>
        <w:t>Преобразователи силы арматурные струнные (далее – ПСАС) применяются для измерения сжимающих и растягивающих усилий в рабочей арматуре ж/б конструкций сооружений (см. рисунок 3.1).</w:t>
      </w:r>
    </w:p>
    <w:p>
      <w:pPr>
        <w:pStyle w:val="Normal"/>
        <w:rPr>
          <w:rFonts w:ascii="Times New Roman" w:hAnsi="Times New Roman"/>
          <w:sz w:val="24"/>
        </w:rPr>
      </w:pPr>
      <w:r>
        <w:rPr>
          <w:rFonts w:ascii="Times New Roman" w:hAnsi="Times New Roman"/>
          <w:sz w:val="24"/>
        </w:rPr>
      </w:r>
    </w:p>
    <w:p>
      <w:pPr>
        <w:pStyle w:val="Normal"/>
        <w:spacing w:lineRule="auto" w:line="276"/>
        <w:ind w:left="0" w:right="0" w:hanging="0"/>
        <w:jc w:val="center"/>
        <w:rPr>
          <w:rFonts w:ascii="Times New Roman" w:hAnsi="Times New Roman" w:cs="Times New Roman"/>
          <w:sz w:val="24"/>
          <w:szCs w:val="24"/>
        </w:rPr>
      </w:pPr>
      <w:r>
        <w:rPr>
          <w:rFonts w:eastAsia="Times New Roman" w:cs="Times New Roman" w:ascii="Times New Roman" w:hAnsi="Times New Roman"/>
          <w:sz w:val="24"/>
          <w:szCs w:val="20"/>
          <w:lang w:eastAsia="ru-RU"/>
        </w:rPr>
        <w:t>а)</w:t>
      </w:r>
      <w:r>
        <w:rPr/>
        <w:drawing>
          <wp:inline distT="0" distB="0" distL="0" distR="0">
            <wp:extent cx="3785235" cy="1038225"/>
            <wp:effectExtent l="0" t="0" r="0" b="0"/>
            <wp:docPr id="1" name="Рисунок 4" descr="http://www.niies.rushydro.ru/images/content/niies/psa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descr="http://www.niies.rushydro.ru/images/content/niies/psas-m.jpg"/>
                    <pic:cNvPicPr>
                      <a:picLocks noChangeAspect="1" noChangeArrowheads="1"/>
                    </pic:cNvPicPr>
                  </pic:nvPicPr>
                  <pic:blipFill>
                    <a:blip r:embed="rId10"/>
                    <a:stretch>
                      <a:fillRect/>
                    </a:stretch>
                  </pic:blipFill>
                  <pic:spPr bwMode="auto">
                    <a:xfrm>
                      <a:off x="0" y="0"/>
                      <a:ext cx="3785235" cy="1038225"/>
                    </a:xfrm>
                    <a:prstGeom prst="rect">
                      <a:avLst/>
                    </a:prstGeom>
                  </pic:spPr>
                </pic:pic>
              </a:graphicData>
            </a:graphic>
          </wp:inline>
        </w:drawing>
      </w:r>
    </w:p>
    <w:p>
      <w:pPr>
        <w:pStyle w:val="Normal"/>
        <w:spacing w:lineRule="auto" w:line="276"/>
        <w:ind w:left="0" w:right="0" w:hanging="0"/>
        <w:jc w:val="center"/>
        <w:rPr>
          <w:rFonts w:ascii="Times New Roman" w:hAnsi="Times New Roman" w:cs="Times New Roman"/>
          <w:sz w:val="24"/>
          <w:szCs w:val="24"/>
        </w:rPr>
      </w:pPr>
      <w:r>
        <w:rPr>
          <w:rFonts w:eastAsia="Times New Roman" w:cs="Times New Roman" w:ascii="Times New Roman" w:hAnsi="Times New Roman"/>
          <w:sz w:val="24"/>
          <w:szCs w:val="20"/>
          <w:lang w:eastAsia="ru-RU"/>
        </w:rPr>
        <w:t>б)</w:t>
      </w:r>
      <w:r>
        <w:rPr/>
        <w:drawing>
          <wp:inline distT="0" distB="0" distL="0" distR="0">
            <wp:extent cx="4220845" cy="1219200"/>
            <wp:effectExtent l="0" t="0" r="0" b="0"/>
            <wp:docPr id="2" name="Рисунок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5" descr=""/>
                    <pic:cNvPicPr>
                      <a:picLocks noChangeAspect="1" noChangeArrowheads="1"/>
                    </pic:cNvPicPr>
                  </pic:nvPicPr>
                  <pic:blipFill>
                    <a:blip r:embed="rId11"/>
                    <a:stretch>
                      <a:fillRect/>
                    </a:stretch>
                  </pic:blipFill>
                  <pic:spPr bwMode="auto">
                    <a:xfrm>
                      <a:off x="0" y="0"/>
                      <a:ext cx="4220845" cy="1219200"/>
                    </a:xfrm>
                    <a:prstGeom prst="rect">
                      <a:avLst/>
                    </a:prstGeom>
                  </pic:spPr>
                </pic:pic>
              </a:graphicData>
            </a:graphic>
          </wp:inline>
        </w:drawing>
      </w:r>
    </w:p>
    <w:p>
      <w:pPr>
        <w:pStyle w:val="Normal"/>
        <w:spacing w:lineRule="auto" w:line="240"/>
        <w:jc w:val="center"/>
        <w:rPr>
          <w:rFonts w:ascii="Times New Roman" w:hAnsi="Times New Roman"/>
          <w:sz w:val="24"/>
        </w:rPr>
      </w:pPr>
      <w:r>
        <w:rPr>
          <w:rFonts w:ascii="Times New Roman" w:hAnsi="Times New Roman"/>
          <w:sz w:val="24"/>
        </w:rPr>
        <w:t xml:space="preserve">Рисунок 3.1 – ПСАС: а) – общий вид; б) – схема конструкции: 1 – упругий элемент; 2 – струнный резонатор; 3 – передающий преобразовательный элемент; </w:t>
        <w:br/>
        <w:t>4 – кабельный ввод</w:t>
      </w:r>
    </w:p>
    <w:p>
      <w:pPr>
        <w:pStyle w:val="Normal"/>
        <w:rPr>
          <w:rFonts w:ascii="Times New Roman" w:hAnsi="Times New Roman"/>
          <w:sz w:val="24"/>
        </w:rPr>
      </w:pPr>
      <w:r>
        <w:rPr>
          <w:rFonts w:ascii="Times New Roman" w:hAnsi="Times New Roman"/>
          <w:sz w:val="24"/>
        </w:rPr>
      </w:r>
    </w:p>
    <w:p>
      <w:pPr>
        <w:pStyle w:val="Normal"/>
        <w:rPr>
          <w:rFonts w:ascii="Times New Roman" w:hAnsi="Times New Roman"/>
          <w:sz w:val="24"/>
        </w:rPr>
      </w:pPr>
      <w:r>
        <w:rPr>
          <w:rFonts w:ascii="Times New Roman" w:hAnsi="Times New Roman"/>
          <w:sz w:val="24"/>
        </w:rPr>
        <w:t>ПСАС содержит чувствительный элемент (термостабилизированный металлический корпус) со встроенным в него соосно струнным виброчастотным преобразовательным элементом и удлинители. При измерении усилий в арматуре изменяется усилие в чувствительном элементе и струне, а соответственно и частота её собственных колебаний. Технические характеристики ПСАС приведены в таблице 3.1.</w:t>
      </w:r>
    </w:p>
    <w:p>
      <w:pPr>
        <w:pStyle w:val="Normal"/>
        <w:rPr>
          <w:rFonts w:ascii="Times New Roman" w:hAnsi="Times New Roman"/>
          <w:sz w:val="24"/>
        </w:rPr>
      </w:pPr>
      <w:r>
        <w:rPr>
          <w:rFonts w:ascii="Times New Roman" w:hAnsi="Times New Roman"/>
          <w:sz w:val="24"/>
        </w:rPr>
        <w:t>Преобразователи линейных перемещений струнные (далее – ПЛПС) применяются для дистанционного измерения статических линейных деформаций растяжения элементов сооружения (раскрытие строительных швов и трещин) (см. рисунок 3.2).</w:t>
      </w:r>
    </w:p>
    <w:p>
      <w:pPr>
        <w:pStyle w:val="Normal"/>
        <w:rPr>
          <w:rFonts w:ascii="Times New Roman" w:hAnsi="Times New Roman"/>
          <w:sz w:val="24"/>
        </w:rPr>
      </w:pPr>
      <w:r>
        <w:rPr>
          <w:rFonts w:ascii="Times New Roman" w:hAnsi="Times New Roman"/>
          <w:sz w:val="24"/>
        </w:rPr>
        <w:t>ПЛПС содержит струнный виброчастотный преобразовательный элемент, присоединенный с одной стороны к корпусу, а с другой – к масштабной пружине, свободный конец которой прикреплен к перемещаемому относительно корпуса штоку. Перемещение штока вызывает изменение растягивающего усилия в струне и частоты её собственных колебаний. Технические характеристики ПЛПС приведены в таблице 3.2.</w:t>
      </w:r>
    </w:p>
    <w:p>
      <w:pPr>
        <w:pStyle w:val="Normal"/>
        <w:spacing w:lineRule="auto" w:line="240" w:before="0" w:after="120"/>
        <w:ind w:left="0" w:right="0" w:hanging="0"/>
        <w:contextualSpacing/>
        <w:rPr>
          <w:rFonts w:ascii="Times New Roman" w:hAnsi="Times New Roman"/>
          <w:sz w:val="24"/>
        </w:rPr>
      </w:pPr>
      <w:r>
        <w:rPr>
          <w:rFonts w:ascii="Times New Roman" w:hAnsi="Times New Roman"/>
          <w:sz w:val="24"/>
        </w:rPr>
        <w:t>Таблица 3.1 – Технические характеристики ПСАС</w:t>
      </w:r>
    </w:p>
    <w:tbl>
      <w:tblPr>
        <w:tblW w:w="9287" w:type="dxa"/>
        <w:jc w:val="left"/>
        <w:tblInd w:w="0" w:type="dxa"/>
        <w:tblLayout w:type="fixed"/>
        <w:tblCellMar>
          <w:top w:w="0" w:type="dxa"/>
          <w:left w:w="108" w:type="dxa"/>
          <w:bottom w:w="0" w:type="dxa"/>
          <w:right w:w="108" w:type="dxa"/>
        </w:tblCellMar>
      </w:tblPr>
      <w:tblGrid>
        <w:gridCol w:w="2197"/>
        <w:gridCol w:w="1379"/>
        <w:gridCol w:w="1515"/>
        <w:gridCol w:w="1821"/>
        <w:gridCol w:w="2375"/>
      </w:tblGrid>
      <w:tr>
        <w:trPr>
          <w:trHeight w:val="986" w:hRule="atLeast"/>
        </w:trPr>
        <w:tc>
          <w:tcPr>
            <w:tcW w:w="21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Наименование</w:t>
            </w:r>
          </w:p>
        </w:tc>
        <w:tc>
          <w:tcPr>
            <w:tcW w:w="1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Тип</w:t>
            </w:r>
          </w:p>
        </w:tc>
        <w:tc>
          <w:tcPr>
            <w:tcW w:w="15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Пределы измерений, кН</w:t>
            </w:r>
          </w:p>
        </w:tc>
        <w:tc>
          <w:tcPr>
            <w:tcW w:w="1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Основная относительная погрешность, %</w:t>
            </w:r>
          </w:p>
        </w:tc>
        <w:tc>
          <w:tcPr>
            <w:tcW w:w="23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Примечание</w:t>
            </w:r>
          </w:p>
        </w:tc>
      </w:tr>
      <w:tr>
        <w:trPr>
          <w:trHeight w:val="418" w:hRule="atLeast"/>
        </w:trPr>
        <w:tc>
          <w:tcPr>
            <w:tcW w:w="219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Преобразователь силы арматурный струнный</w:t>
            </w:r>
          </w:p>
        </w:tc>
        <w:tc>
          <w:tcPr>
            <w:tcW w:w="1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ПСАС-28р</w:t>
            </w:r>
          </w:p>
        </w:tc>
        <w:tc>
          <w:tcPr>
            <w:tcW w:w="15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-30 – 240</w:t>
            </w:r>
          </w:p>
        </w:tc>
        <w:tc>
          <w:tcPr>
            <w:tcW w:w="182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2,0</w:t>
            </w:r>
          </w:p>
        </w:tc>
        <w:tc>
          <w:tcPr>
            <w:tcW w:w="23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для установки в рабочую арматуру диаметров от 18 до 22 мм</w:t>
            </w:r>
          </w:p>
        </w:tc>
      </w:tr>
      <w:tr>
        <w:trPr>
          <w:trHeight w:val="395" w:hRule="atLeast"/>
        </w:trPr>
        <w:tc>
          <w:tcPr>
            <w:tcW w:w="219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ПСАС-28</w:t>
            </w:r>
          </w:p>
        </w:tc>
        <w:tc>
          <w:tcPr>
            <w:tcW w:w="15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0 – 160</w:t>
            </w:r>
          </w:p>
        </w:tc>
        <w:tc>
          <w:tcPr>
            <w:tcW w:w="18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3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для установки в рабочую арматуру диаметров от 25 до 32 мм</w:t>
            </w:r>
          </w:p>
        </w:tc>
      </w:tr>
      <w:tr>
        <w:trPr>
          <w:trHeight w:val="493" w:hRule="atLeast"/>
        </w:trPr>
        <w:tc>
          <w:tcPr>
            <w:tcW w:w="219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ПСАС-40</w:t>
            </w:r>
          </w:p>
        </w:tc>
        <w:tc>
          <w:tcPr>
            <w:tcW w:w="15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0 – 320</w:t>
            </w:r>
          </w:p>
        </w:tc>
        <w:tc>
          <w:tcPr>
            <w:tcW w:w="18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37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для установки в рабочую арматуру диаметров от 36 до 45 мм</w:t>
            </w:r>
          </w:p>
        </w:tc>
      </w:tr>
      <w:tr>
        <w:trPr>
          <w:trHeight w:val="415" w:hRule="atLeast"/>
        </w:trPr>
        <w:tc>
          <w:tcPr>
            <w:tcW w:w="219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ПСАС-40с</w:t>
            </w:r>
          </w:p>
        </w:tc>
        <w:tc>
          <w:tcPr>
            <w:tcW w:w="15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-200 – +280</w:t>
            </w:r>
          </w:p>
        </w:tc>
        <w:tc>
          <w:tcPr>
            <w:tcW w:w="18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37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bl>
    <w:p>
      <w:pPr>
        <w:pStyle w:val="Normal"/>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76"/>
        <w:ind w:left="0" w:right="0" w:hanging="0"/>
        <w:jc w:val="center"/>
        <w:rPr>
          <w:rFonts w:ascii="Times New Roman" w:hAnsi="Times New Roman" w:cs="Times New Roman"/>
          <w:sz w:val="24"/>
          <w:szCs w:val="24"/>
        </w:rPr>
      </w:pPr>
      <w:r>
        <w:rPr>
          <w:rFonts w:eastAsia="Times New Roman" w:cs="Times New Roman" w:ascii="Times New Roman" w:hAnsi="Times New Roman"/>
          <w:sz w:val="24"/>
          <w:szCs w:val="20"/>
          <w:lang w:eastAsia="ru-RU"/>
        </w:rPr>
        <w:t>а)</w:t>
      </w:r>
      <w:r>
        <w:rPr/>
        <w:drawing>
          <wp:inline distT="0" distB="0" distL="0" distR="0">
            <wp:extent cx="1266825" cy="2338070"/>
            <wp:effectExtent l="0" t="0" r="0" b="0"/>
            <wp:docPr id="3" name="Рисунок 26" descr="http://www.niies.rushydro.ru/images/content/niies/works/pl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6" descr="http://www.niies.rushydro.ru/images/content/niies/works/plps.jpg"/>
                    <pic:cNvPicPr>
                      <a:picLocks noChangeAspect="1" noChangeArrowheads="1"/>
                    </pic:cNvPicPr>
                  </pic:nvPicPr>
                  <pic:blipFill>
                    <a:blip r:embed="rId12"/>
                    <a:stretch>
                      <a:fillRect/>
                    </a:stretch>
                  </pic:blipFill>
                  <pic:spPr bwMode="auto">
                    <a:xfrm>
                      <a:off x="0" y="0"/>
                      <a:ext cx="1266825" cy="2338070"/>
                    </a:xfrm>
                    <a:prstGeom prst="rect">
                      <a:avLst/>
                    </a:prstGeom>
                  </pic:spPr>
                </pic:pic>
              </a:graphicData>
            </a:graphic>
          </wp:inline>
        </w:drawing>
      </w:r>
      <w:r>
        <w:rPr>
          <w:rFonts w:cs="Times New Roman" w:ascii="Times New Roman" w:hAnsi="Times New Roman"/>
          <w:sz w:val="24"/>
          <w:szCs w:val="24"/>
        </w:rPr>
        <w:t xml:space="preserve"> </w:t>
      </w:r>
      <w:r>
        <w:rPr>
          <w:rFonts w:eastAsia="Times New Roman" w:cs="Times New Roman" w:ascii="Times New Roman" w:hAnsi="Times New Roman"/>
          <w:sz w:val="24"/>
          <w:szCs w:val="20"/>
          <w:lang w:eastAsia="ru-RU"/>
        </w:rPr>
        <w:t>б)</w:t>
      </w:r>
      <w:r>
        <w:rPr/>
        <w:drawing>
          <wp:inline distT="0" distB="0" distL="0" distR="0">
            <wp:extent cx="3924935" cy="1247775"/>
            <wp:effectExtent l="0" t="0" r="0" b="0"/>
            <wp:docPr id="4"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9" descr=""/>
                    <pic:cNvPicPr>
                      <a:picLocks noChangeAspect="1" noChangeArrowheads="1"/>
                    </pic:cNvPicPr>
                  </pic:nvPicPr>
                  <pic:blipFill>
                    <a:blip r:embed="rId13"/>
                    <a:stretch>
                      <a:fillRect/>
                    </a:stretch>
                  </pic:blipFill>
                  <pic:spPr bwMode="auto">
                    <a:xfrm>
                      <a:off x="0" y="0"/>
                      <a:ext cx="3924935" cy="1247775"/>
                    </a:xfrm>
                    <a:prstGeom prst="rect">
                      <a:avLst/>
                    </a:prstGeom>
                  </pic:spPr>
                </pic:pic>
              </a:graphicData>
            </a:graphic>
          </wp:inline>
        </w:drawing>
      </w:r>
    </w:p>
    <w:p>
      <w:pPr>
        <w:pStyle w:val="Normal"/>
        <w:spacing w:lineRule="auto" w:line="240"/>
        <w:jc w:val="center"/>
        <w:rPr>
          <w:rFonts w:ascii="Times New Roman" w:hAnsi="Times New Roman"/>
          <w:sz w:val="24"/>
        </w:rPr>
      </w:pPr>
      <w:r>
        <w:rPr>
          <w:rFonts w:ascii="Times New Roman" w:hAnsi="Times New Roman"/>
          <w:sz w:val="24"/>
        </w:rPr>
        <w:t xml:space="preserve">Рисунок 3.2 – ПЛПС: а) – общий вид; б) – схема конструкции: 1 – корпус; </w:t>
        <w:br/>
        <w:t>2 – струнный резонатор; 3 – передающий преобразовательный элемент; 5 – кабельный ввод; 6 – фланец; 7 – удлинитель штока с анкером</w:t>
      </w:r>
    </w:p>
    <w:p>
      <w:pPr>
        <w:pStyle w:val="Normal"/>
        <w:spacing w:lineRule="auto" w:line="240" w:before="0" w:after="120"/>
        <w:ind w:left="0" w:right="0" w:hanging="0"/>
        <w:contextualSpacing/>
        <w:rPr>
          <w:rFonts w:ascii="Times New Roman" w:hAnsi="Times New Roman"/>
          <w:sz w:val="24"/>
        </w:rPr>
      </w:pPr>
      <w:r>
        <w:rPr>
          <w:rFonts w:ascii="Times New Roman" w:hAnsi="Times New Roman"/>
          <w:sz w:val="24"/>
        </w:rPr>
        <w:t>Таблица 3.2 – Технические характеристики ПЛПС</w:t>
      </w:r>
    </w:p>
    <w:tbl>
      <w:tblPr>
        <w:tblW w:w="5000" w:type="pct"/>
        <w:jc w:val="center"/>
        <w:tblInd w:w="0" w:type="dxa"/>
        <w:tblLayout w:type="fixed"/>
        <w:tblCellMar>
          <w:top w:w="0" w:type="dxa"/>
          <w:left w:w="108" w:type="dxa"/>
          <w:bottom w:w="0" w:type="dxa"/>
          <w:right w:w="108" w:type="dxa"/>
        </w:tblCellMar>
      </w:tblPr>
      <w:tblGrid>
        <w:gridCol w:w="3226"/>
        <w:gridCol w:w="1364"/>
        <w:gridCol w:w="1651"/>
        <w:gridCol w:w="2829"/>
      </w:tblGrid>
      <w:tr>
        <w:trPr/>
        <w:tc>
          <w:tcPr>
            <w:tcW w:w="32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Наименование</w:t>
            </w:r>
          </w:p>
        </w:tc>
        <w:tc>
          <w:tcPr>
            <w:tcW w:w="13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Тип</w:t>
            </w:r>
          </w:p>
        </w:tc>
        <w:tc>
          <w:tcPr>
            <w:tcW w:w="16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Пределы измерений, мм</w:t>
            </w:r>
          </w:p>
        </w:tc>
        <w:tc>
          <w:tcPr>
            <w:tcW w:w="28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Основная относительная погрешность, %</w:t>
            </w:r>
          </w:p>
        </w:tc>
      </w:tr>
      <w:tr>
        <w:trPr>
          <w:trHeight w:val="283" w:hRule="atLeast"/>
        </w:trPr>
        <w:tc>
          <w:tcPr>
            <w:tcW w:w="322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Преобразователь линейных перемещений струнный</w:t>
            </w:r>
          </w:p>
        </w:tc>
        <w:tc>
          <w:tcPr>
            <w:tcW w:w="13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ПЛПС-3</w:t>
            </w:r>
          </w:p>
        </w:tc>
        <w:tc>
          <w:tcPr>
            <w:tcW w:w="16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0 – 3</w:t>
            </w:r>
          </w:p>
        </w:tc>
        <w:tc>
          <w:tcPr>
            <w:tcW w:w="282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2,0</w:t>
            </w:r>
          </w:p>
        </w:tc>
      </w:tr>
      <w:tr>
        <w:trPr>
          <w:trHeight w:val="395" w:hRule="atLeast"/>
        </w:trPr>
        <w:tc>
          <w:tcPr>
            <w:tcW w:w="32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3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ПЛПС-10</w:t>
            </w:r>
          </w:p>
        </w:tc>
        <w:tc>
          <w:tcPr>
            <w:tcW w:w="16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0 – 10</w:t>
            </w:r>
          </w:p>
        </w:tc>
        <w:tc>
          <w:tcPr>
            <w:tcW w:w="28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bl>
    <w:p>
      <w:pPr>
        <w:pStyle w:val="Normal"/>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rPr>
          <w:rFonts w:ascii="Times New Roman" w:hAnsi="Times New Roman"/>
          <w:sz w:val="24"/>
        </w:rPr>
      </w:pPr>
      <w:r>
        <w:rPr>
          <w:rFonts w:ascii="Times New Roman" w:hAnsi="Times New Roman"/>
          <w:sz w:val="24"/>
        </w:rPr>
        <w:t>Преобразователи температуры струнные (далее – ПТС) предназначены для измерения температуры в массиве ж/б сооружения (см. рисунок 3.3).</w:t>
      </w:r>
    </w:p>
    <w:p>
      <w:pPr>
        <w:pStyle w:val="Normal"/>
        <w:spacing w:lineRule="auto" w:line="276"/>
        <w:ind w:left="0" w:right="0"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sz w:val="24"/>
          <w:szCs w:val="20"/>
          <w:lang w:eastAsia="ru-RU"/>
        </w:rPr>
      </w:r>
    </w:p>
    <w:p>
      <w:pPr>
        <w:pStyle w:val="Normal"/>
        <w:spacing w:lineRule="auto" w:line="276"/>
        <w:ind w:left="0" w:right="0"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sz w:val="24"/>
          <w:szCs w:val="20"/>
          <w:lang w:eastAsia="ru-RU"/>
        </w:rPr>
        <w:t>а)</w:t>
      </w:r>
      <w:r>
        <w:rPr/>
        <w:drawing>
          <wp:inline distT="0" distB="0" distL="0" distR="0">
            <wp:extent cx="3375025" cy="1428750"/>
            <wp:effectExtent l="0" t="0" r="0" b="0"/>
            <wp:docPr id="5" name="Рисунок 8" descr="http://www.niies.rushydro.ru/images/content/niies/pts-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8" descr="http://www.niies.rushydro.ru/images/content/niies/pts-60.jpg"/>
                    <pic:cNvPicPr>
                      <a:picLocks noChangeAspect="1" noChangeArrowheads="1"/>
                    </pic:cNvPicPr>
                  </pic:nvPicPr>
                  <pic:blipFill>
                    <a:blip r:embed="rId14"/>
                    <a:stretch>
                      <a:fillRect/>
                    </a:stretch>
                  </pic:blipFill>
                  <pic:spPr bwMode="auto">
                    <a:xfrm>
                      <a:off x="0" y="0"/>
                      <a:ext cx="3375025" cy="1428750"/>
                    </a:xfrm>
                    <a:prstGeom prst="rect">
                      <a:avLst/>
                    </a:prstGeom>
                  </pic:spPr>
                </pic:pic>
              </a:graphicData>
            </a:graphic>
          </wp:inline>
        </w:drawing>
      </w:r>
    </w:p>
    <w:p>
      <w:pPr>
        <w:pStyle w:val="Normal"/>
        <w:spacing w:lineRule="auto" w:line="276"/>
        <w:ind w:left="0" w:right="0"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sz w:val="24"/>
          <w:szCs w:val="20"/>
          <w:lang w:eastAsia="ru-RU"/>
        </w:rPr>
        <w:t>б)</w:t>
      </w:r>
      <w:r>
        <w:rPr/>
        <w:drawing>
          <wp:inline distT="0" distB="0" distL="0" distR="0">
            <wp:extent cx="3695700" cy="1191260"/>
            <wp:effectExtent l="0" t="0" r="0" b="0"/>
            <wp:docPr id="6" name="Рисунок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32" descr=""/>
                    <pic:cNvPicPr>
                      <a:picLocks noChangeAspect="1" noChangeArrowheads="1"/>
                    </pic:cNvPicPr>
                  </pic:nvPicPr>
                  <pic:blipFill>
                    <a:blip r:embed="rId15"/>
                    <a:stretch>
                      <a:fillRect/>
                    </a:stretch>
                  </pic:blipFill>
                  <pic:spPr bwMode="auto">
                    <a:xfrm>
                      <a:off x="0" y="0"/>
                      <a:ext cx="3695700" cy="1191260"/>
                    </a:xfrm>
                    <a:prstGeom prst="rect">
                      <a:avLst/>
                    </a:prstGeom>
                  </pic:spPr>
                </pic:pic>
              </a:graphicData>
            </a:graphic>
          </wp:inline>
        </w:drawing>
      </w:r>
    </w:p>
    <w:p>
      <w:pPr>
        <w:pStyle w:val="Normal"/>
        <w:spacing w:lineRule="auto" w:line="240"/>
        <w:ind w:left="0" w:right="0"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sz w:val="24"/>
          <w:szCs w:val="20"/>
          <w:lang w:eastAsia="ru-RU"/>
        </w:rPr>
        <w:t>Рисунок 3.3 – ПТС: а) – общий вид; б) – схема конструкции: 1 – упругий элемент; 2 – струнный резонатор; 3 – передающий преобразовательный элемент; 4 – кабельный ввод</w:t>
      </w:r>
    </w:p>
    <w:p>
      <w:pPr>
        <w:pStyle w:val="Normal"/>
        <w:rPr>
          <w:rFonts w:ascii="Times New Roman" w:hAnsi="Times New Roman"/>
          <w:sz w:val="24"/>
        </w:rPr>
      </w:pPr>
      <w:r>
        <w:rPr>
          <w:rFonts w:ascii="Times New Roman" w:hAnsi="Times New Roman"/>
          <w:sz w:val="24"/>
        </w:rPr>
        <w:t>ПТС содержит в герметичном корпусе трубчатый чувствительный элемент и закрепленный в нем соосно струнный виброчастотный преобразовательный элемент. Чувствительный элемент и струна выполнены из материалов с различными коэффициентами линейного расширения. При изменении температуры в струне возникает дополнительное усилие, вызывающее изменение частоты её собственных колебаний. Техническая характеристика ПТС приведена в таблице 3.3.</w:t>
      </w:r>
    </w:p>
    <w:p>
      <w:pPr>
        <w:pStyle w:val="Normal"/>
        <w:spacing w:lineRule="auto" w:line="240" w:before="0" w:after="120"/>
        <w:ind w:left="0" w:right="0" w:hanging="0"/>
        <w:contextualSpacing/>
        <w:rPr>
          <w:rFonts w:ascii="Times New Roman" w:hAnsi="Times New Roman"/>
          <w:sz w:val="24"/>
        </w:rPr>
      </w:pPr>
      <w:r>
        <w:rPr>
          <w:rFonts w:ascii="Times New Roman" w:hAnsi="Times New Roman"/>
          <w:sz w:val="24"/>
        </w:rPr>
        <w:t>Таблица 3.3 – Технические характеристики ПТС</w:t>
      </w:r>
    </w:p>
    <w:tbl>
      <w:tblPr>
        <w:tblW w:w="5000" w:type="pct"/>
        <w:jc w:val="center"/>
        <w:tblInd w:w="0" w:type="dxa"/>
        <w:tblLayout w:type="fixed"/>
        <w:tblCellMar>
          <w:top w:w="0" w:type="dxa"/>
          <w:left w:w="108" w:type="dxa"/>
          <w:bottom w:w="0" w:type="dxa"/>
          <w:right w:w="108" w:type="dxa"/>
        </w:tblCellMar>
      </w:tblPr>
      <w:tblGrid>
        <w:gridCol w:w="3329"/>
        <w:gridCol w:w="1406"/>
        <w:gridCol w:w="1952"/>
        <w:gridCol w:w="2383"/>
      </w:tblGrid>
      <w:tr>
        <w:trPr/>
        <w:tc>
          <w:tcPr>
            <w:tcW w:w="33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Наименование</w:t>
            </w:r>
          </w:p>
        </w:tc>
        <w:tc>
          <w:tcPr>
            <w:tcW w:w="1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Тип</w:t>
            </w:r>
          </w:p>
        </w:tc>
        <w:tc>
          <w:tcPr>
            <w:tcW w:w="19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Пределы измерений, Сº</w:t>
            </w:r>
          </w:p>
        </w:tc>
        <w:tc>
          <w:tcPr>
            <w:tcW w:w="23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Основная относительная погрешность, %</w:t>
            </w:r>
          </w:p>
        </w:tc>
      </w:tr>
      <w:tr>
        <w:trPr>
          <w:trHeight w:val="687" w:hRule="atLeast"/>
        </w:trPr>
        <w:tc>
          <w:tcPr>
            <w:tcW w:w="33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Преобразователь температуры струнный</w:t>
            </w:r>
          </w:p>
        </w:tc>
        <w:tc>
          <w:tcPr>
            <w:tcW w:w="1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ПТС-60</w:t>
            </w:r>
          </w:p>
        </w:tc>
        <w:tc>
          <w:tcPr>
            <w:tcW w:w="19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-20 – +60</w:t>
            </w:r>
          </w:p>
        </w:tc>
        <w:tc>
          <w:tcPr>
            <w:tcW w:w="23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2,0</w:t>
            </w:r>
          </w:p>
        </w:tc>
      </w:tr>
    </w:tbl>
    <w:p>
      <w:pPr>
        <w:pStyle w:val="Normal"/>
        <w:rPr>
          <w:rFonts w:ascii="Times New Roman" w:hAnsi="Times New Roman"/>
          <w:sz w:val="24"/>
        </w:rPr>
      </w:pPr>
      <w:r>
        <w:rPr>
          <w:rFonts w:ascii="Times New Roman" w:hAnsi="Times New Roman"/>
          <w:sz w:val="24"/>
        </w:rPr>
      </w:r>
    </w:p>
    <w:p>
      <w:pPr>
        <w:pStyle w:val="Normal"/>
        <w:rPr>
          <w:rFonts w:ascii="Times New Roman" w:hAnsi="Times New Roman"/>
          <w:sz w:val="24"/>
        </w:rPr>
      </w:pPr>
      <w:r>
        <w:rPr>
          <w:rFonts w:ascii="Times New Roman" w:hAnsi="Times New Roman"/>
          <w:sz w:val="24"/>
        </w:rPr>
        <w:t>Преобразователи линейных деформаций струнные (далее – ПЛДС) предназначены для измерения относительных линейных деформаций сжатия или растяжения в бетонных конструкциях сооружения, а также для измерения деформаций металлических облицовок спиральных камер здания ГАЭС (см. рисунок 3.4).</w:t>
      </w:r>
    </w:p>
    <w:p>
      <w:pPr>
        <w:pStyle w:val="Normal"/>
        <w:spacing w:lineRule="auto" w:line="276"/>
        <w:ind w:left="0" w:right="0"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sz w:val="24"/>
          <w:szCs w:val="20"/>
          <w:lang w:eastAsia="ru-RU"/>
        </w:rPr>
        <w:t>а)</w:t>
      </w:r>
      <w:r>
        <w:rPr/>
        <w:drawing>
          <wp:inline distT="0" distB="0" distL="0" distR="0">
            <wp:extent cx="3695065" cy="1428750"/>
            <wp:effectExtent l="0" t="0" r="0" b="0"/>
            <wp:docPr id="7" name="Рисунок 27" descr="http://www.niies.rushydro.ru/images/content/niies/pl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7" descr="http://www.niies.rushydro.ru/images/content/niies/plds.jpg"/>
                    <pic:cNvPicPr>
                      <a:picLocks noChangeAspect="1" noChangeArrowheads="1"/>
                    </pic:cNvPicPr>
                  </pic:nvPicPr>
                  <pic:blipFill>
                    <a:blip r:embed="rId16"/>
                    <a:stretch>
                      <a:fillRect/>
                    </a:stretch>
                  </pic:blipFill>
                  <pic:spPr bwMode="auto">
                    <a:xfrm>
                      <a:off x="0" y="0"/>
                      <a:ext cx="3695065" cy="1428750"/>
                    </a:xfrm>
                    <a:prstGeom prst="rect">
                      <a:avLst/>
                    </a:prstGeom>
                  </pic:spPr>
                </pic:pic>
              </a:graphicData>
            </a:graphic>
          </wp:inline>
        </w:drawing>
      </w:r>
    </w:p>
    <w:p>
      <w:pPr>
        <w:pStyle w:val="Normal"/>
        <w:spacing w:lineRule="auto" w:line="276"/>
        <w:ind w:left="0" w:right="0"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sz w:val="24"/>
          <w:szCs w:val="20"/>
          <w:lang w:eastAsia="ru-RU"/>
        </w:rPr>
        <w:t>б)</w:t>
      </w:r>
      <w:r>
        <w:rPr/>
        <w:drawing>
          <wp:inline distT="0" distB="0" distL="0" distR="0">
            <wp:extent cx="4391025" cy="1251585"/>
            <wp:effectExtent l="0" t="0" r="0" b="0"/>
            <wp:docPr id="8" name="Рисунок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43" descr=""/>
                    <pic:cNvPicPr>
                      <a:picLocks noChangeAspect="1" noChangeArrowheads="1"/>
                    </pic:cNvPicPr>
                  </pic:nvPicPr>
                  <pic:blipFill>
                    <a:blip r:embed="rId17"/>
                    <a:stretch>
                      <a:fillRect/>
                    </a:stretch>
                  </pic:blipFill>
                  <pic:spPr bwMode="auto">
                    <a:xfrm>
                      <a:off x="0" y="0"/>
                      <a:ext cx="4391025" cy="1251585"/>
                    </a:xfrm>
                    <a:prstGeom prst="rect">
                      <a:avLst/>
                    </a:prstGeom>
                  </pic:spPr>
                </pic:pic>
              </a:graphicData>
            </a:graphic>
          </wp:inline>
        </w:drawing>
      </w:r>
    </w:p>
    <w:p>
      <w:pPr>
        <w:pStyle w:val="Normal"/>
        <w:spacing w:lineRule="auto" w:line="240"/>
        <w:ind w:left="0" w:right="0"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sz w:val="24"/>
          <w:szCs w:val="20"/>
          <w:lang w:eastAsia="ru-RU"/>
        </w:rPr>
        <w:t xml:space="preserve">Рисунок 3.4 – ПЛДС: а) – общий вид; б) – схема конструкции: 1 – упругий элемент; </w:t>
        <w:br/>
        <w:t>2 – струнный резонатор; 3 – передающий преобразовательный элемент; 4 – промежуточная опора; 5 – кабельный ввод</w:t>
      </w:r>
    </w:p>
    <w:p>
      <w:pPr>
        <w:pStyle w:val="Normal"/>
        <w:rPr>
          <w:rFonts w:ascii="Times New Roman" w:hAnsi="Times New Roman"/>
          <w:sz w:val="24"/>
        </w:rPr>
      </w:pPr>
      <w:r>
        <w:rPr>
          <w:rFonts w:ascii="Times New Roman" w:hAnsi="Times New Roman"/>
          <w:sz w:val="24"/>
        </w:rPr>
      </w:r>
    </w:p>
    <w:p>
      <w:pPr>
        <w:pStyle w:val="Normal"/>
        <w:rPr>
          <w:rFonts w:ascii="Times New Roman" w:hAnsi="Times New Roman"/>
          <w:sz w:val="24"/>
        </w:rPr>
      </w:pPr>
      <w:r>
        <w:rPr>
          <w:rFonts w:ascii="Times New Roman" w:hAnsi="Times New Roman"/>
          <w:sz w:val="24"/>
        </w:rPr>
        <w:t>ПЛДС содержит анкера, закрепленный между ними струнный виброчастотный преобразовательный элемент и защитный телескопический кожух. Измеряемая деформация вызывает относительное перемещение анкеров и соответствующее ему дополнительное усилие в струне, изменяющее частоту её собственных колебаний. Техническая характеристика ПЛДС приведена в таблице 3.4.</w:t>
      </w:r>
    </w:p>
    <w:p>
      <w:pPr>
        <w:pStyle w:val="Normal"/>
        <w:spacing w:lineRule="auto" w:line="240" w:before="0" w:after="120"/>
        <w:ind w:left="0" w:right="0" w:hanging="0"/>
        <w:contextualSpacing/>
        <w:rPr>
          <w:rFonts w:ascii="Times New Roman" w:hAnsi="Times New Roman"/>
          <w:sz w:val="24"/>
        </w:rPr>
      </w:pPr>
      <w:r>
        <w:rPr>
          <w:rFonts w:ascii="Times New Roman" w:hAnsi="Times New Roman"/>
          <w:sz w:val="24"/>
        </w:rPr>
        <w:t>Таблица 3.4 – Технические характеристики ПЛДС</w:t>
      </w:r>
    </w:p>
    <w:tbl>
      <w:tblPr>
        <w:tblW w:w="5000" w:type="pct"/>
        <w:jc w:val="center"/>
        <w:tblInd w:w="0" w:type="dxa"/>
        <w:tblLayout w:type="fixed"/>
        <w:tblCellMar>
          <w:top w:w="0" w:type="dxa"/>
          <w:left w:w="108" w:type="dxa"/>
          <w:bottom w:w="0" w:type="dxa"/>
          <w:right w:w="108" w:type="dxa"/>
        </w:tblCellMar>
      </w:tblPr>
      <w:tblGrid>
        <w:gridCol w:w="3622"/>
        <w:gridCol w:w="1659"/>
        <w:gridCol w:w="1525"/>
        <w:gridCol w:w="2264"/>
      </w:tblGrid>
      <w:tr>
        <w:trPr/>
        <w:tc>
          <w:tcPr>
            <w:tcW w:w="3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Наименование</w:t>
            </w:r>
          </w:p>
        </w:tc>
        <w:tc>
          <w:tcPr>
            <w:tcW w:w="16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Тип</w:t>
            </w:r>
          </w:p>
        </w:tc>
        <w:tc>
          <w:tcPr>
            <w:tcW w:w="15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Пределы измерений, мм</w:t>
            </w:r>
          </w:p>
        </w:tc>
        <w:tc>
          <w:tcPr>
            <w:tcW w:w="2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Основная относительная погрешность, %</w:t>
            </w:r>
          </w:p>
        </w:tc>
      </w:tr>
      <w:tr>
        <w:trPr>
          <w:trHeight w:val="619" w:hRule="atLeast"/>
        </w:trPr>
        <w:tc>
          <w:tcPr>
            <w:tcW w:w="3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Преобразователь линейных деформаций струнный</w:t>
            </w:r>
          </w:p>
        </w:tc>
        <w:tc>
          <w:tcPr>
            <w:tcW w:w="16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ПЛДС-150</w:t>
            </w:r>
          </w:p>
        </w:tc>
        <w:tc>
          <w:tcPr>
            <w:tcW w:w="15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0 – 0,4</w:t>
            </w:r>
          </w:p>
        </w:tc>
        <w:tc>
          <w:tcPr>
            <w:tcW w:w="2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2,0</w:t>
            </w:r>
          </w:p>
        </w:tc>
      </w:tr>
    </w:tbl>
    <w:p>
      <w:pPr>
        <w:pStyle w:val="Normal"/>
        <w:rPr>
          <w:rFonts w:ascii="Times New Roman" w:hAnsi="Times New Roman"/>
          <w:sz w:val="24"/>
        </w:rPr>
      </w:pPr>
      <w:r>
        <w:rPr>
          <w:rFonts w:ascii="Times New Roman" w:hAnsi="Times New Roman"/>
          <w:sz w:val="24"/>
        </w:rPr>
      </w:r>
    </w:p>
    <w:p>
      <w:pPr>
        <w:pStyle w:val="Normal"/>
        <w:rPr>
          <w:rFonts w:ascii="Times New Roman" w:hAnsi="Times New Roman"/>
          <w:sz w:val="24"/>
        </w:rPr>
      </w:pPr>
      <w:r>
        <w:rPr>
          <w:rFonts w:ascii="Times New Roman" w:hAnsi="Times New Roman"/>
          <w:sz w:val="24"/>
        </w:rPr>
        <w:t>Преобразователи давления струнные (далее – ПДС) предназначены для измерения гидростатического давления воды в конструкциях и основаниях сооружений (см. рисунок 3.5).</w:t>
      </w:r>
    </w:p>
    <w:p>
      <w:pPr>
        <w:pStyle w:val="Normal"/>
        <w:rPr>
          <w:rFonts w:ascii="Times New Roman" w:hAnsi="Times New Roman"/>
          <w:sz w:val="24"/>
        </w:rPr>
      </w:pPr>
      <w:r>
        <w:rPr>
          <w:rFonts w:ascii="Times New Roman" w:hAnsi="Times New Roman"/>
          <w:sz w:val="24"/>
        </w:rPr>
        <w:t>ПДС содержит чувствительный элемент, выполненный в виде цилиндра, внутри которого установлен встроенный преобразовательный элемент. Измеряемое давление передается через диафрагму на чувствительный элемент, сжимает его и, снижая натяжение струны, изменяет частоты её собственных колебаний. Технические характеристики ПДС приведены в таблице 3.5.</w:t>
      </w:r>
    </w:p>
    <w:p>
      <w:pPr>
        <w:pStyle w:val="Normal"/>
        <w:rPr>
          <w:rFonts w:ascii="Times New Roman" w:hAnsi="Times New Roman"/>
          <w:sz w:val="24"/>
        </w:rPr>
      </w:pPr>
      <w:r>
        <w:rPr>
          <w:rFonts w:ascii="Times New Roman" w:hAnsi="Times New Roman"/>
          <w:sz w:val="24"/>
        </w:rPr>
      </w:r>
    </w:p>
    <w:p>
      <w:pPr>
        <w:pStyle w:val="Normal"/>
        <w:spacing w:lineRule="auto" w:line="276"/>
        <w:ind w:left="0" w:right="0"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sz w:val="24"/>
          <w:szCs w:val="20"/>
          <w:lang w:eastAsia="ru-RU"/>
        </w:rPr>
        <w:t>а)</w:t>
      </w:r>
      <w:r>
        <w:rPr/>
        <w:drawing>
          <wp:inline distT="0" distB="0" distL="0" distR="0">
            <wp:extent cx="3613785" cy="1476375"/>
            <wp:effectExtent l="0" t="0" r="0" b="0"/>
            <wp:docPr id="9" name="Рисунок 28" descr="http://www.niies.rushydro.ru/images/content/niies/p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28" descr="http://www.niies.rushydro.ru/images/content/niies/pds.jpg"/>
                    <pic:cNvPicPr>
                      <a:picLocks noChangeAspect="1" noChangeArrowheads="1"/>
                    </pic:cNvPicPr>
                  </pic:nvPicPr>
                  <pic:blipFill>
                    <a:blip r:embed="rId18"/>
                    <a:stretch>
                      <a:fillRect/>
                    </a:stretch>
                  </pic:blipFill>
                  <pic:spPr bwMode="auto">
                    <a:xfrm>
                      <a:off x="0" y="0"/>
                      <a:ext cx="3613785" cy="1476375"/>
                    </a:xfrm>
                    <a:prstGeom prst="rect">
                      <a:avLst/>
                    </a:prstGeom>
                  </pic:spPr>
                </pic:pic>
              </a:graphicData>
            </a:graphic>
          </wp:inline>
        </w:drawing>
      </w:r>
    </w:p>
    <w:p>
      <w:pPr>
        <w:pStyle w:val="Normal"/>
        <w:spacing w:lineRule="auto" w:line="276"/>
        <w:ind w:left="0" w:right="0"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sz w:val="24"/>
          <w:szCs w:val="20"/>
          <w:lang w:eastAsia="ru-RU"/>
        </w:rPr>
        <w:t>б)</w:t>
      </w:r>
      <w:r>
        <w:rPr/>
        <w:drawing>
          <wp:inline distT="0" distB="0" distL="0" distR="0">
            <wp:extent cx="4143375" cy="1527810"/>
            <wp:effectExtent l="0" t="0" r="0" b="0"/>
            <wp:docPr id="10" name="Рисунок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59" descr=""/>
                    <pic:cNvPicPr>
                      <a:picLocks noChangeAspect="1" noChangeArrowheads="1"/>
                    </pic:cNvPicPr>
                  </pic:nvPicPr>
                  <pic:blipFill>
                    <a:blip r:embed="rId19"/>
                    <a:stretch>
                      <a:fillRect/>
                    </a:stretch>
                  </pic:blipFill>
                  <pic:spPr bwMode="auto">
                    <a:xfrm>
                      <a:off x="0" y="0"/>
                      <a:ext cx="4143375" cy="1527810"/>
                    </a:xfrm>
                    <a:prstGeom prst="rect">
                      <a:avLst/>
                    </a:prstGeom>
                  </pic:spPr>
                </pic:pic>
              </a:graphicData>
            </a:graphic>
          </wp:inline>
        </w:drawing>
      </w:r>
    </w:p>
    <w:p>
      <w:pPr>
        <w:pStyle w:val="Normal"/>
        <w:spacing w:lineRule="auto" w:line="240"/>
        <w:ind w:left="0" w:right="0"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sz w:val="24"/>
          <w:szCs w:val="20"/>
          <w:lang w:eastAsia="ru-RU"/>
        </w:rPr>
        <w:t xml:space="preserve">Рисунок 3.5 – ПДС: а) – общий вид; б) – схема конструкции: 1 – упругий элемент, </w:t>
        <w:br/>
        <w:t>2 – струнный резонатор, 3 – передающий преобразовательный элемент, 4 – кабельный ввод, 5 – пористый фильтр</w:t>
      </w:r>
    </w:p>
    <w:p>
      <w:pPr>
        <w:pStyle w:val="Normal"/>
        <w:spacing w:lineRule="auto" w:line="276" w:before="0" w:after="200"/>
        <w:ind w:left="0" w:right="0" w:hanging="0"/>
        <w:contextualSpacing/>
        <w:jc w:val="left"/>
        <w:rPr>
          <w:rFonts w:ascii="Times New Roman" w:hAnsi="Times New Roman"/>
          <w:sz w:val="24"/>
        </w:rPr>
      </w:pPr>
      <w:r>
        <w:rPr>
          <w:rFonts w:ascii="Times New Roman" w:hAnsi="Times New Roman"/>
          <w:sz w:val="24"/>
        </w:rPr>
      </w:r>
      <w:r>
        <w:br w:type="page"/>
      </w:r>
    </w:p>
    <w:p>
      <w:pPr>
        <w:pStyle w:val="Normal"/>
        <w:spacing w:lineRule="auto" w:line="240" w:before="0" w:after="120"/>
        <w:ind w:left="0" w:right="0" w:hanging="0"/>
        <w:contextualSpacing/>
        <w:rPr>
          <w:rFonts w:ascii="Times New Roman" w:hAnsi="Times New Roman"/>
          <w:sz w:val="24"/>
        </w:rPr>
      </w:pPr>
      <w:r>
        <w:rPr>
          <w:rFonts w:ascii="Times New Roman" w:hAnsi="Times New Roman"/>
          <w:sz w:val="24"/>
        </w:rPr>
        <w:t>Таблица 3.5 – Технические характеристики ПДС</w:t>
      </w:r>
    </w:p>
    <w:tbl>
      <w:tblPr>
        <w:tblW w:w="5000" w:type="pct"/>
        <w:jc w:val="center"/>
        <w:tblInd w:w="0" w:type="dxa"/>
        <w:tblLayout w:type="fixed"/>
        <w:tblCellMar>
          <w:top w:w="0" w:type="dxa"/>
          <w:left w:w="108" w:type="dxa"/>
          <w:bottom w:w="0" w:type="dxa"/>
          <w:right w:w="108" w:type="dxa"/>
        </w:tblCellMar>
      </w:tblPr>
      <w:tblGrid>
        <w:gridCol w:w="2488"/>
        <w:gridCol w:w="1609"/>
        <w:gridCol w:w="1800"/>
        <w:gridCol w:w="3173"/>
      </w:tblGrid>
      <w:tr>
        <w:trPr/>
        <w:tc>
          <w:tcPr>
            <w:tcW w:w="24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Наименование</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Тип</w:t>
            </w:r>
          </w:p>
        </w:tc>
        <w:tc>
          <w:tcPr>
            <w:tcW w:w="18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Пределы измерений, МПа</w:t>
            </w:r>
          </w:p>
        </w:tc>
        <w:tc>
          <w:tcPr>
            <w:tcW w:w="31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Основная относительная погрешность, %</w:t>
            </w:r>
          </w:p>
        </w:tc>
      </w:tr>
      <w:tr>
        <w:trPr>
          <w:trHeight w:val="548" w:hRule="atLeast"/>
        </w:trPr>
        <w:tc>
          <w:tcPr>
            <w:tcW w:w="248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Преобразователь давления струнный</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ПДС-3П</w:t>
            </w:r>
          </w:p>
        </w:tc>
        <w:tc>
          <w:tcPr>
            <w:tcW w:w="18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 xml:space="preserve">0 – 0,3 </w:t>
            </w:r>
          </w:p>
        </w:tc>
        <w:tc>
          <w:tcPr>
            <w:tcW w:w="317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2,0</w:t>
            </w:r>
          </w:p>
        </w:tc>
      </w:tr>
      <w:tr>
        <w:trPr>
          <w:trHeight w:val="395" w:hRule="atLeast"/>
        </w:trPr>
        <w:tc>
          <w:tcPr>
            <w:tcW w:w="24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ПДС-10П</w:t>
            </w:r>
          </w:p>
        </w:tc>
        <w:tc>
          <w:tcPr>
            <w:tcW w:w="18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contextualSpacing/>
              <w:jc w:val="center"/>
              <w:rPr>
                <w:sz w:val="24"/>
                <w:szCs w:val="24"/>
              </w:rPr>
            </w:pPr>
            <w:r>
              <w:rPr>
                <w:rFonts w:eastAsia="Times New Roman" w:cs="Times New Roman" w:ascii="Times New Roman" w:hAnsi="Times New Roman"/>
                <w:kern w:val="0"/>
                <w:sz w:val="24"/>
                <w:szCs w:val="24"/>
                <w:lang w:val="ru-RU" w:eastAsia="ru-RU" w:bidi="ar-SA"/>
              </w:rPr>
              <w:t>0 – 1,0</w:t>
            </w:r>
          </w:p>
        </w:tc>
        <w:tc>
          <w:tcPr>
            <w:tcW w:w="317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bl>
    <w:p>
      <w:pPr>
        <w:pStyle w:val="Normal"/>
        <w:rPr>
          <w:rFonts w:ascii="Times New Roman" w:hAnsi="Times New Roman"/>
          <w:sz w:val="24"/>
        </w:rPr>
      </w:pPr>
      <w:r>
        <w:rPr>
          <w:rFonts w:ascii="Times New Roman" w:hAnsi="Times New Roman"/>
          <w:sz w:val="24"/>
        </w:rPr>
      </w:r>
    </w:p>
    <w:p>
      <w:pPr>
        <w:pStyle w:val="Normal"/>
        <w:rPr>
          <w:rFonts w:ascii="Times New Roman" w:hAnsi="Times New Roman"/>
          <w:b/>
          <w:sz w:val="24"/>
        </w:rPr>
      </w:pPr>
      <w:r>
        <w:rPr>
          <w:rFonts w:ascii="Times New Roman" w:hAnsi="Times New Roman"/>
          <w:b/>
          <w:sz w:val="24"/>
        </w:rPr>
        <w:t>Фильтрационная КИА</w:t>
      </w:r>
    </w:p>
    <w:p>
      <w:pPr>
        <w:pStyle w:val="Normal"/>
        <w:rPr>
          <w:rFonts w:ascii="Times New Roman" w:hAnsi="Times New Roman"/>
          <w:sz w:val="24"/>
        </w:rPr>
      </w:pPr>
      <w:r>
        <w:rPr>
          <w:rFonts w:ascii="Times New Roman" w:hAnsi="Times New Roman"/>
          <w:sz w:val="24"/>
        </w:rPr>
        <w:t>В состав фильтрационной КИА входят:</w:t>
      </w:r>
    </w:p>
    <w:p>
      <w:pPr>
        <w:pStyle w:val="ListParagraph"/>
        <w:numPr>
          <w:ilvl w:val="0"/>
          <w:numId w:val="13"/>
        </w:numPr>
        <w:ind w:left="851" w:right="0" w:hanging="0"/>
        <w:rPr>
          <w:rFonts w:ascii="Times New Roman" w:hAnsi="Times New Roman"/>
          <w:sz w:val="24"/>
        </w:rPr>
      </w:pPr>
      <w:r>
        <w:rPr>
          <w:rFonts w:ascii="Times New Roman" w:hAnsi="Times New Roman"/>
          <w:sz w:val="24"/>
        </w:rPr>
        <w:t>ПО – пьезометры опускные;</w:t>
      </w:r>
    </w:p>
    <w:p>
      <w:pPr>
        <w:pStyle w:val="ListParagraph"/>
        <w:numPr>
          <w:ilvl w:val="0"/>
          <w:numId w:val="13"/>
        </w:numPr>
        <w:ind w:left="851" w:right="0" w:hanging="0"/>
        <w:rPr>
          <w:rFonts w:ascii="Times New Roman" w:hAnsi="Times New Roman"/>
          <w:sz w:val="24"/>
        </w:rPr>
      </w:pPr>
      <w:r>
        <w:rPr>
          <w:rFonts w:ascii="Times New Roman" w:hAnsi="Times New Roman"/>
          <w:sz w:val="24"/>
        </w:rPr>
        <w:t>ПЗ – пьезометры закладные;</w:t>
      </w:r>
    </w:p>
    <w:p>
      <w:pPr>
        <w:pStyle w:val="ListParagraph"/>
        <w:numPr>
          <w:ilvl w:val="0"/>
          <w:numId w:val="13"/>
        </w:numPr>
        <w:ind w:left="851" w:right="0" w:hanging="0"/>
        <w:rPr>
          <w:rFonts w:ascii="Times New Roman" w:hAnsi="Times New Roman"/>
          <w:sz w:val="24"/>
        </w:rPr>
      </w:pPr>
      <w:r>
        <w:rPr>
          <w:rFonts w:ascii="Times New Roman" w:hAnsi="Times New Roman"/>
          <w:sz w:val="24"/>
        </w:rPr>
        <w:t>ПЗН – пьезометры закладные напорные;</w:t>
      </w:r>
    </w:p>
    <w:p>
      <w:pPr>
        <w:pStyle w:val="ListParagraph"/>
        <w:numPr>
          <w:ilvl w:val="0"/>
          <w:numId w:val="13"/>
        </w:numPr>
        <w:ind w:left="851" w:right="0" w:hanging="0"/>
        <w:rPr>
          <w:rFonts w:ascii="Times New Roman" w:hAnsi="Times New Roman"/>
          <w:sz w:val="24"/>
        </w:rPr>
      </w:pPr>
      <w:r>
        <w:rPr>
          <w:rFonts w:ascii="Times New Roman" w:hAnsi="Times New Roman"/>
          <w:sz w:val="24"/>
        </w:rPr>
        <w:t>ПЗБН – пьезометры закладные боковые напорные;</w:t>
      </w:r>
    </w:p>
    <w:p>
      <w:pPr>
        <w:pStyle w:val="ListParagraph"/>
        <w:numPr>
          <w:ilvl w:val="0"/>
          <w:numId w:val="13"/>
        </w:numPr>
        <w:ind w:left="851" w:right="0" w:hanging="0"/>
        <w:rPr>
          <w:rFonts w:ascii="Times New Roman" w:hAnsi="Times New Roman"/>
          <w:sz w:val="24"/>
        </w:rPr>
      </w:pPr>
      <w:r>
        <w:rPr>
          <w:rFonts w:ascii="Times New Roman" w:hAnsi="Times New Roman"/>
          <w:sz w:val="24"/>
        </w:rPr>
        <w:t>МВ – мерные водосливы.</w:t>
      </w:r>
    </w:p>
    <w:p>
      <w:pPr>
        <w:pStyle w:val="Normal"/>
        <w:rPr>
          <w:rFonts w:ascii="Times New Roman" w:hAnsi="Times New Roman"/>
          <w:sz w:val="24"/>
        </w:rPr>
      </w:pPr>
      <w:r>
        <w:rPr>
          <w:rFonts w:ascii="Times New Roman" w:hAnsi="Times New Roman"/>
          <w:sz w:val="24"/>
        </w:rPr>
        <w:t>Пьезометры опускные (далее – ПО) предназначены для наблюдений за уровенным режимом в теле и основании грунтовых сооружений Загорской ГАЭС-2, грунтовых вод в водоносных горизонтах прилегающей территории, а также за уровнями воды в дренажной системе (см. рисунок 3.6).</w:t>
      </w:r>
    </w:p>
    <w:p>
      <w:pPr>
        <w:pStyle w:val="Normal"/>
        <w:spacing w:lineRule="auto" w:line="276"/>
        <w:ind w:left="0" w:right="0" w:hanging="0"/>
        <w:jc w:val="center"/>
        <w:rPr>
          <w:rFonts w:cs="Times New Roman"/>
          <w:szCs w:val="24"/>
        </w:rPr>
      </w:pPr>
      <w:r>
        <w:rPr/>
        <w:drawing>
          <wp:inline distT="0" distB="0" distL="0" distR="0">
            <wp:extent cx="2013585" cy="2219325"/>
            <wp:effectExtent l="0" t="0" r="0" b="0"/>
            <wp:docPr id="11" name="Рисунок 29" descr="D:\Башкин\Загорская ГАЭС-2\Фото ЗГАЭС-2\2018\2018.10.11_перемычка и КИА\P_20181011_132327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9" descr="D:\Башкин\Загорская ГАЭС-2\Фото ЗГАЭС-2\2018\2018.10.11_перемычка и КИА\P_20181011_132327_1_p.jpg"/>
                    <pic:cNvPicPr>
                      <a:picLocks noChangeAspect="1" noChangeArrowheads="1"/>
                    </pic:cNvPicPr>
                  </pic:nvPicPr>
                  <pic:blipFill>
                    <a:blip r:embed="rId20"/>
                    <a:stretch>
                      <a:fillRect/>
                    </a:stretch>
                  </pic:blipFill>
                  <pic:spPr bwMode="auto">
                    <a:xfrm>
                      <a:off x="0" y="0"/>
                      <a:ext cx="2013585" cy="2219325"/>
                    </a:xfrm>
                    <a:prstGeom prst="rect">
                      <a:avLst/>
                    </a:prstGeom>
                  </pic:spPr>
                </pic:pic>
              </a:graphicData>
            </a:graphic>
          </wp:inline>
        </w:drawing>
      </w:r>
    </w:p>
    <w:p>
      <w:pPr>
        <w:pStyle w:val="Normal"/>
        <w:spacing w:lineRule="auto" w:line="240"/>
        <w:ind w:left="0" w:right="0"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sz w:val="24"/>
          <w:szCs w:val="20"/>
          <w:lang w:eastAsia="ru-RU"/>
        </w:rPr>
        <w:t>Рисунок 3.6 – Вид на оголовок пьезометра опускного</w:t>
      </w:r>
    </w:p>
    <w:p>
      <w:pPr>
        <w:pStyle w:val="Normal"/>
        <w:rPr>
          <w:rFonts w:ascii="Times New Roman" w:hAnsi="Times New Roman"/>
          <w:sz w:val="24"/>
        </w:rPr>
      </w:pPr>
      <w:r>
        <w:rPr>
          <w:rFonts w:ascii="Times New Roman" w:hAnsi="Times New Roman"/>
          <w:sz w:val="24"/>
        </w:rPr>
      </w:r>
    </w:p>
    <w:p>
      <w:pPr>
        <w:pStyle w:val="Normal"/>
        <w:rPr>
          <w:rFonts w:ascii="Times New Roman" w:hAnsi="Times New Roman"/>
          <w:sz w:val="24"/>
        </w:rPr>
      </w:pPr>
      <w:r>
        <w:rPr>
          <w:rFonts w:ascii="Times New Roman" w:hAnsi="Times New Roman"/>
          <w:sz w:val="24"/>
        </w:rPr>
        <w:t>Пьезометры закладные (далее – ПЗ), пьезометры закладные напорные (далее – ПЗН) и пьезометры закладные боковые напорные (далее – ПЗБН) предназначены для наблюдений за гидростатическим давлением воды в основании сооружений (см. рисунок 3.7).</w:t>
      </w:r>
    </w:p>
    <w:p>
      <w:pPr>
        <w:pStyle w:val="Normal"/>
        <w:spacing w:lineRule="auto" w:line="276"/>
        <w:ind w:left="0" w:right="0" w:hanging="0"/>
        <w:jc w:val="center"/>
        <w:rPr>
          <w:rFonts w:cs="Times New Roman"/>
          <w:szCs w:val="24"/>
        </w:rPr>
      </w:pPr>
      <w:r>
        <w:rPr/>
        <w:drawing>
          <wp:inline distT="0" distB="0" distL="0" distR="0">
            <wp:extent cx="1994535" cy="3190875"/>
            <wp:effectExtent l="0" t="0" r="0" b="0"/>
            <wp:docPr id="12" name="Рисунок 30" descr="D:\Башкин\Загорская ГАЭС-2\Фото ЗГАЭС-2\2019\2019.02.05\IMG_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30" descr="D:\Башкин\Загорская ГАЭС-2\Фото ЗГАЭС-2\2019\2019.02.05\IMG_0810.JPG"/>
                    <pic:cNvPicPr>
                      <a:picLocks noChangeAspect="1" noChangeArrowheads="1"/>
                    </pic:cNvPicPr>
                  </pic:nvPicPr>
                  <pic:blipFill>
                    <a:blip r:embed="rId21"/>
                    <a:stretch>
                      <a:fillRect/>
                    </a:stretch>
                  </pic:blipFill>
                  <pic:spPr bwMode="auto">
                    <a:xfrm>
                      <a:off x="0" y="0"/>
                      <a:ext cx="1994535" cy="3190875"/>
                    </a:xfrm>
                    <a:prstGeom prst="rect">
                      <a:avLst/>
                    </a:prstGeom>
                  </pic:spPr>
                </pic:pic>
              </a:graphicData>
            </a:graphic>
          </wp:inline>
        </w:drawing>
      </w:r>
    </w:p>
    <w:p>
      <w:pPr>
        <w:pStyle w:val="Normal"/>
        <w:spacing w:lineRule="auto" w:line="240"/>
        <w:ind w:left="0" w:right="0"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sz w:val="24"/>
          <w:szCs w:val="20"/>
          <w:lang w:eastAsia="ru-RU"/>
        </w:rPr>
        <w:t>Рисунок 3.7 – Вид на оголовок пьезометра закладного напорного</w:t>
      </w:r>
    </w:p>
    <w:p>
      <w:pPr>
        <w:pStyle w:val="Normal"/>
        <w:rPr>
          <w:rFonts w:ascii="Times New Roman" w:hAnsi="Times New Roman"/>
          <w:sz w:val="24"/>
        </w:rPr>
      </w:pPr>
      <w:r>
        <w:rPr>
          <w:rFonts w:ascii="Times New Roman" w:hAnsi="Times New Roman"/>
          <w:sz w:val="24"/>
        </w:rPr>
      </w:r>
    </w:p>
    <w:p>
      <w:pPr>
        <w:pStyle w:val="Normal"/>
        <w:rPr>
          <w:rFonts w:ascii="Times New Roman" w:hAnsi="Times New Roman"/>
          <w:b/>
          <w:sz w:val="24"/>
        </w:rPr>
      </w:pPr>
      <w:r>
        <w:rPr>
          <w:rFonts w:ascii="Times New Roman" w:hAnsi="Times New Roman"/>
          <w:b/>
          <w:sz w:val="24"/>
        </w:rPr>
        <w:t>Гидрологическая КИА</w:t>
      </w:r>
    </w:p>
    <w:p>
      <w:pPr>
        <w:pStyle w:val="Normal"/>
        <w:rPr>
          <w:rFonts w:ascii="Times New Roman" w:hAnsi="Times New Roman"/>
          <w:sz w:val="24"/>
        </w:rPr>
      </w:pPr>
      <w:r>
        <w:rPr>
          <w:rFonts w:ascii="Times New Roman" w:hAnsi="Times New Roman"/>
          <w:sz w:val="24"/>
        </w:rPr>
        <w:t>В состав гидрологической КИА входят:</w:t>
      </w:r>
    </w:p>
    <w:p>
      <w:pPr>
        <w:pStyle w:val="ListParagraph"/>
        <w:numPr>
          <w:ilvl w:val="0"/>
          <w:numId w:val="13"/>
        </w:numPr>
        <w:ind w:left="851" w:right="0" w:hanging="0"/>
        <w:rPr>
          <w:rFonts w:ascii="Times New Roman" w:hAnsi="Times New Roman"/>
          <w:sz w:val="24"/>
        </w:rPr>
      </w:pPr>
      <w:r>
        <w:rPr>
          <w:rFonts w:ascii="Times New Roman" w:hAnsi="Times New Roman"/>
          <w:sz w:val="24"/>
        </w:rPr>
        <w:t>ВР – водомерные рейки (ВР).</w:t>
      </w:r>
    </w:p>
    <w:p>
      <w:pPr>
        <w:pStyle w:val="Normal"/>
        <w:rPr>
          <w:rFonts w:ascii="Times New Roman" w:hAnsi="Times New Roman"/>
          <w:sz w:val="24"/>
        </w:rPr>
      </w:pPr>
      <w:r>
        <w:rPr>
          <w:rFonts w:ascii="Times New Roman" w:hAnsi="Times New Roman"/>
          <w:sz w:val="24"/>
        </w:rPr>
        <w:t>Водомерные рейки (далее – ВР) предназначены для наблюдений за изменением уровней верхнего и нижнего бассейна Загорской ГАЭС-2 (см. рисунок 3.8).</w:t>
      </w:r>
    </w:p>
    <w:p>
      <w:pPr>
        <w:pStyle w:val="Normal"/>
        <w:rPr>
          <w:rFonts w:ascii="Times New Roman" w:hAnsi="Times New Roman"/>
          <w:sz w:val="24"/>
        </w:rPr>
      </w:pPr>
      <w:r>
        <w:rPr>
          <w:rFonts w:ascii="Times New Roman" w:hAnsi="Times New Roman"/>
          <w:sz w:val="24"/>
        </w:rPr>
      </w:r>
    </w:p>
    <w:p>
      <w:pPr>
        <w:pStyle w:val="Normal"/>
        <w:rPr>
          <w:rFonts w:ascii="Times New Roman" w:hAnsi="Times New Roman"/>
          <w:sz w:val="24"/>
        </w:rPr>
      </w:pPr>
      <w:r>
        <w:rPr>
          <w:rFonts w:ascii="Times New Roman" w:hAnsi="Times New Roman"/>
          <w:b/>
          <w:sz w:val="24"/>
        </w:rPr>
        <w:t>КИА за деформациями и перемещениями</w:t>
      </w:r>
    </w:p>
    <w:p>
      <w:pPr>
        <w:pStyle w:val="Normal"/>
        <w:rPr>
          <w:rFonts w:ascii="Times New Roman" w:hAnsi="Times New Roman"/>
          <w:sz w:val="24"/>
        </w:rPr>
      </w:pPr>
      <w:r>
        <w:rPr>
          <w:rFonts w:ascii="Times New Roman" w:hAnsi="Times New Roman"/>
          <w:sz w:val="24"/>
        </w:rPr>
        <w:t>В состав КИА за деформациями и перемещениями входят:</w:t>
      </w:r>
    </w:p>
    <w:p>
      <w:pPr>
        <w:pStyle w:val="ListParagraph"/>
        <w:numPr>
          <w:ilvl w:val="0"/>
          <w:numId w:val="13"/>
        </w:numPr>
        <w:ind w:left="851" w:right="0" w:hanging="0"/>
        <w:rPr>
          <w:rFonts w:ascii="Times New Roman" w:hAnsi="Times New Roman"/>
          <w:sz w:val="24"/>
        </w:rPr>
      </w:pPr>
      <w:r>
        <w:rPr>
          <w:rFonts w:ascii="Times New Roman" w:hAnsi="Times New Roman"/>
          <w:sz w:val="24"/>
        </w:rPr>
        <w:t>ТМ – труба-марки;</w:t>
      </w:r>
    </w:p>
    <w:p>
      <w:pPr>
        <w:pStyle w:val="ListParagraph"/>
        <w:numPr>
          <w:ilvl w:val="0"/>
          <w:numId w:val="13"/>
        </w:numPr>
        <w:ind w:left="851" w:right="0" w:hanging="0"/>
        <w:rPr>
          <w:rFonts w:ascii="Times New Roman" w:hAnsi="Times New Roman"/>
          <w:sz w:val="24"/>
        </w:rPr>
      </w:pPr>
      <w:r>
        <w:rPr>
          <w:rFonts w:ascii="Times New Roman" w:hAnsi="Times New Roman"/>
          <w:sz w:val="24"/>
        </w:rPr>
        <w:t>МПБ – марки поверхностные бетонные;</w:t>
      </w:r>
    </w:p>
    <w:p>
      <w:pPr>
        <w:pStyle w:val="ListParagraph"/>
        <w:numPr>
          <w:ilvl w:val="0"/>
          <w:numId w:val="13"/>
        </w:numPr>
        <w:ind w:left="851" w:right="0" w:hanging="0"/>
        <w:rPr>
          <w:rFonts w:ascii="Times New Roman" w:hAnsi="Times New Roman"/>
          <w:sz w:val="24"/>
        </w:rPr>
      </w:pPr>
      <w:r>
        <w:rPr>
          <w:rFonts w:ascii="Times New Roman" w:hAnsi="Times New Roman"/>
          <w:sz w:val="24"/>
        </w:rPr>
        <w:t>МБС – марки бетонные стеновые;</w:t>
      </w:r>
    </w:p>
    <w:p>
      <w:pPr>
        <w:pStyle w:val="ListParagraph"/>
        <w:numPr>
          <w:ilvl w:val="0"/>
          <w:numId w:val="13"/>
        </w:numPr>
        <w:ind w:left="851" w:right="0" w:hanging="0"/>
        <w:rPr>
          <w:rFonts w:ascii="Times New Roman" w:hAnsi="Times New Roman"/>
          <w:sz w:val="24"/>
        </w:rPr>
      </w:pPr>
      <w:r>
        <w:rPr>
          <w:rFonts w:ascii="Times New Roman" w:hAnsi="Times New Roman"/>
          <w:sz w:val="24"/>
        </w:rPr>
        <w:t>МПГ – марки поверхностные грунтовые;</w:t>
      </w:r>
    </w:p>
    <w:p>
      <w:pPr>
        <w:pStyle w:val="ListParagraph"/>
        <w:numPr>
          <w:ilvl w:val="0"/>
          <w:numId w:val="13"/>
        </w:numPr>
        <w:ind w:left="851" w:right="0" w:hanging="0"/>
        <w:rPr>
          <w:rFonts w:ascii="Times New Roman" w:hAnsi="Times New Roman"/>
          <w:sz w:val="24"/>
        </w:rPr>
      </w:pPr>
      <w:r>
        <w:rPr>
          <w:rFonts w:ascii="Times New Roman" w:hAnsi="Times New Roman"/>
          <w:sz w:val="24"/>
        </w:rPr>
        <w:t>МПГв – марки поверхностные грунтовые временные;</w:t>
      </w:r>
    </w:p>
    <w:p>
      <w:pPr>
        <w:pStyle w:val="ListParagraph"/>
        <w:numPr>
          <w:ilvl w:val="0"/>
          <w:numId w:val="13"/>
        </w:numPr>
        <w:ind w:left="851" w:right="0" w:hanging="0"/>
        <w:rPr>
          <w:rFonts w:ascii="Times New Roman" w:hAnsi="Times New Roman"/>
          <w:sz w:val="24"/>
        </w:rPr>
      </w:pPr>
      <w:r>
        <w:rPr>
          <w:rFonts w:ascii="Times New Roman" w:hAnsi="Times New Roman"/>
          <w:sz w:val="24"/>
        </w:rPr>
        <w:t>СДЗ – свето-дальномерные знаки;</w:t>
      </w:r>
    </w:p>
    <w:p>
      <w:pPr>
        <w:pStyle w:val="ListParagraph"/>
        <w:numPr>
          <w:ilvl w:val="0"/>
          <w:numId w:val="13"/>
        </w:numPr>
        <w:ind w:left="851" w:right="0" w:hanging="0"/>
        <w:rPr>
          <w:rFonts w:ascii="Times New Roman" w:hAnsi="Times New Roman"/>
          <w:sz w:val="24"/>
        </w:rPr>
      </w:pPr>
      <w:r>
        <w:rPr>
          <w:rFonts w:ascii="Times New Roman" w:hAnsi="Times New Roman"/>
          <w:sz w:val="24"/>
        </w:rPr>
        <w:t>ЩМ – трёхмарочные щелемеры модернизированные;</w:t>
      </w:r>
    </w:p>
    <w:p>
      <w:pPr>
        <w:pStyle w:val="ListParagraph"/>
        <w:numPr>
          <w:ilvl w:val="0"/>
          <w:numId w:val="13"/>
        </w:numPr>
        <w:ind w:left="851" w:right="0" w:hanging="0"/>
        <w:rPr>
          <w:rFonts w:ascii="Times New Roman" w:hAnsi="Times New Roman"/>
          <w:sz w:val="24"/>
        </w:rPr>
      </w:pPr>
      <w:r>
        <w:rPr>
          <w:rFonts w:ascii="Times New Roman" w:hAnsi="Times New Roman"/>
          <w:sz w:val="24"/>
        </w:rPr>
        <w:t>ПВЗ – планово-высотные знаки;</w:t>
      </w:r>
    </w:p>
    <w:p>
      <w:pPr>
        <w:pStyle w:val="ListParagraph"/>
        <w:numPr>
          <w:ilvl w:val="0"/>
          <w:numId w:val="13"/>
        </w:numPr>
        <w:ind w:left="851" w:right="0" w:hanging="0"/>
        <w:rPr>
          <w:rFonts w:ascii="Times New Roman" w:hAnsi="Times New Roman"/>
          <w:sz w:val="24"/>
        </w:rPr>
      </w:pPr>
      <w:r>
        <w:rPr>
          <w:rFonts w:ascii="Times New Roman" w:hAnsi="Times New Roman"/>
          <w:sz w:val="24"/>
        </w:rPr>
        <w:t>AN – марки плановые (анкера);</w:t>
      </w:r>
    </w:p>
    <w:p>
      <w:pPr>
        <w:pStyle w:val="ListParagraph"/>
        <w:numPr>
          <w:ilvl w:val="0"/>
          <w:numId w:val="13"/>
        </w:numPr>
        <w:ind w:left="851" w:right="0" w:hanging="0"/>
        <w:rPr>
          <w:rFonts w:ascii="Times New Roman" w:hAnsi="Times New Roman"/>
          <w:sz w:val="24"/>
        </w:rPr>
      </w:pPr>
      <w:r>
        <w:rPr>
          <w:rFonts w:ascii="Times New Roman" w:hAnsi="Times New Roman"/>
          <w:sz w:val="24"/>
        </w:rPr>
        <w:t>ОЗ – оползневые знаки;</w:t>
      </w:r>
    </w:p>
    <w:p>
      <w:pPr>
        <w:pStyle w:val="ListParagraph"/>
        <w:numPr>
          <w:ilvl w:val="0"/>
          <w:numId w:val="13"/>
        </w:numPr>
        <w:ind w:left="851" w:right="0" w:hanging="0"/>
        <w:rPr>
          <w:rFonts w:ascii="Times New Roman" w:hAnsi="Times New Roman"/>
          <w:sz w:val="24"/>
        </w:rPr>
      </w:pPr>
      <w:r>
        <w:rPr>
          <w:rFonts w:ascii="Times New Roman" w:hAnsi="Times New Roman"/>
          <w:sz w:val="24"/>
        </w:rPr>
        <w:t>ОГЗ – геодезические знаки;</w:t>
      </w:r>
    </w:p>
    <w:p>
      <w:pPr>
        <w:pStyle w:val="ListParagraph"/>
        <w:numPr>
          <w:ilvl w:val="0"/>
          <w:numId w:val="13"/>
        </w:numPr>
        <w:ind w:left="851" w:right="0" w:hanging="0"/>
        <w:rPr>
          <w:rFonts w:ascii="Times New Roman" w:hAnsi="Times New Roman"/>
          <w:sz w:val="24"/>
        </w:rPr>
      </w:pPr>
      <w:r>
        <w:rPr>
          <w:rFonts w:ascii="Times New Roman" w:hAnsi="Times New Roman"/>
          <w:sz w:val="24"/>
        </w:rPr>
        <w:t>МГ – марки глубинные;</w:t>
      </w:r>
    </w:p>
    <w:p>
      <w:pPr>
        <w:pStyle w:val="ListParagraph"/>
        <w:numPr>
          <w:ilvl w:val="0"/>
          <w:numId w:val="13"/>
        </w:numPr>
        <w:ind w:left="851" w:right="0" w:hanging="0"/>
        <w:rPr>
          <w:rFonts w:ascii="Times New Roman" w:hAnsi="Times New Roman"/>
          <w:sz w:val="24"/>
        </w:rPr>
      </w:pPr>
      <w:r>
        <w:rPr>
          <w:rFonts w:ascii="Times New Roman" w:hAnsi="Times New Roman"/>
          <w:sz w:val="24"/>
        </w:rPr>
        <w:t>Щ – одноосные щелемеры;</w:t>
      </w:r>
    </w:p>
    <w:p>
      <w:pPr>
        <w:pStyle w:val="ListParagraph"/>
        <w:numPr>
          <w:ilvl w:val="0"/>
          <w:numId w:val="13"/>
        </w:numPr>
        <w:ind w:left="851" w:right="0" w:hanging="0"/>
        <w:rPr>
          <w:rFonts w:ascii="Times New Roman" w:hAnsi="Times New Roman"/>
          <w:sz w:val="24"/>
        </w:rPr>
      </w:pPr>
      <w:r>
        <w:rPr>
          <w:rFonts w:ascii="Times New Roman" w:hAnsi="Times New Roman"/>
          <w:sz w:val="24"/>
        </w:rPr>
        <w:t>ЩП – щелемеры пространственные;</w:t>
      </w:r>
    </w:p>
    <w:p>
      <w:pPr>
        <w:pStyle w:val="ListParagraph"/>
        <w:numPr>
          <w:ilvl w:val="0"/>
          <w:numId w:val="13"/>
        </w:numPr>
        <w:ind w:left="851" w:right="0" w:hanging="0"/>
        <w:rPr>
          <w:rFonts w:ascii="Times New Roman" w:hAnsi="Times New Roman"/>
          <w:sz w:val="24"/>
        </w:rPr>
      </w:pPr>
      <w:r>
        <w:rPr>
          <w:rFonts w:ascii="Times New Roman" w:hAnsi="Times New Roman"/>
          <w:sz w:val="24"/>
        </w:rPr>
        <w:t>ОО – обратные отвесы;</w:t>
      </w:r>
    </w:p>
    <w:p>
      <w:pPr>
        <w:pStyle w:val="ListParagraph"/>
        <w:numPr>
          <w:ilvl w:val="0"/>
          <w:numId w:val="0"/>
        </w:numPr>
        <w:ind w:left="851" w:right="0" w:hanging="0"/>
        <w:rPr/>
      </w:pPr>
      <w:r>
        <w:rPr/>
      </w:r>
    </w:p>
    <w:p>
      <w:pPr>
        <w:pStyle w:val="Normal"/>
        <w:jc w:val="center"/>
        <w:rPr/>
      </w:pPr>
      <w:r>
        <w:rPr/>
        <w:object>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194.7pt;height:337.45pt;mso-wrap-distance-right:0pt" filled="f" o:ole="">
            <v:imagedata r:id="rId23" o:title=""/>
          </v:shape>
          <o:OLEObject Type="Embed" ProgID="" ShapeID="ole_rId22" DrawAspect="Content" ObjectID="_1336684069" r:id="rId22"/>
        </w:object>
      </w:r>
    </w:p>
    <w:p>
      <w:pPr>
        <w:pStyle w:val="Normal"/>
        <w:jc w:val="center"/>
        <w:rPr>
          <w:rFonts w:ascii="Times New Roman" w:hAnsi="Times New Roman" w:eastAsia="Times New Roman" w:cs="Times New Roman"/>
          <w:sz w:val="24"/>
          <w:szCs w:val="20"/>
          <w:lang w:eastAsia="ru-RU"/>
        </w:rPr>
      </w:pPr>
      <w:r>
        <w:rPr>
          <w:rFonts w:eastAsia="Times New Roman" w:cs="Times New Roman" w:ascii="Times New Roman" w:hAnsi="Times New Roman"/>
          <w:sz w:val="24"/>
          <w:szCs w:val="20"/>
          <w:lang w:eastAsia="ru-RU"/>
        </w:rPr>
        <w:t>Рисунок 3.8 – Водомерная рейка</w:t>
      </w:r>
    </w:p>
    <w:p>
      <w:pPr>
        <w:pStyle w:val="Normal"/>
        <w:rPr>
          <w:rFonts w:ascii="Times New Roman" w:hAnsi="Times New Roman"/>
          <w:sz w:val="24"/>
        </w:rPr>
      </w:pPr>
      <w:r>
        <w:rPr>
          <w:rFonts w:ascii="Times New Roman" w:hAnsi="Times New Roman"/>
          <w:sz w:val="24"/>
        </w:rPr>
      </w:r>
    </w:p>
    <w:p>
      <w:pPr>
        <w:pStyle w:val="Normal"/>
        <w:rPr>
          <w:rFonts w:ascii="Times New Roman" w:hAnsi="Times New Roman"/>
          <w:sz w:val="24"/>
        </w:rPr>
      </w:pPr>
      <w:r>
        <w:rPr>
          <w:rFonts w:ascii="Times New Roman" w:hAnsi="Times New Roman"/>
          <w:sz w:val="24"/>
        </w:rPr>
        <w:t>Труба-марки (далее – ТМ) предназначены для наблюдений за вертикальными перемещениями ж/б конструкций сооружений с момента первой укладки бетона. Конструкция ТМ представляет собой железную трубу, заполненную бетоном, верхний конец трубы оборудуется маркой, на которую при нивелировке устанавливается рейка (см. рисунок 3.9). Конструкция ТМ позволяет сохранять преемственность первоначальных показаний при возведении самого сооружения.</w:t>
      </w:r>
    </w:p>
    <w:p>
      <w:pPr>
        <w:pStyle w:val="Normal"/>
        <w:rPr>
          <w:rFonts w:ascii="Times New Roman" w:hAnsi="Times New Roman"/>
          <w:sz w:val="24"/>
        </w:rPr>
      </w:pPr>
      <w:r>
        <w:rPr>
          <w:rFonts w:ascii="Times New Roman" w:hAnsi="Times New Roman"/>
          <w:sz w:val="24"/>
        </w:rPr>
      </w:r>
    </w:p>
    <w:p>
      <w:pPr>
        <w:pStyle w:val="Normal"/>
        <w:spacing w:lineRule="auto" w:line="276"/>
        <w:ind w:left="0" w:right="0" w:hanging="0"/>
        <w:jc w:val="center"/>
        <w:rPr>
          <w:rFonts w:cs="Times New Roman"/>
          <w:szCs w:val="24"/>
        </w:rPr>
      </w:pPr>
      <w:r>
        <w:rPr/>
        <w:drawing>
          <wp:inline distT="0" distB="0" distL="0" distR="0">
            <wp:extent cx="3974465" cy="3837305"/>
            <wp:effectExtent l="0" t="0" r="0" b="0"/>
            <wp:docPr id="13"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9" descr=""/>
                    <pic:cNvPicPr>
                      <a:picLocks noChangeAspect="1" noChangeArrowheads="1"/>
                    </pic:cNvPicPr>
                  </pic:nvPicPr>
                  <pic:blipFill>
                    <a:blip r:embed="rId24"/>
                    <a:stretch>
                      <a:fillRect/>
                    </a:stretch>
                  </pic:blipFill>
                  <pic:spPr bwMode="auto">
                    <a:xfrm>
                      <a:off x="0" y="0"/>
                      <a:ext cx="3974465" cy="3837305"/>
                    </a:xfrm>
                    <a:prstGeom prst="rect">
                      <a:avLst/>
                    </a:prstGeom>
                  </pic:spPr>
                </pic:pic>
              </a:graphicData>
            </a:graphic>
          </wp:inline>
        </w:drawing>
      </w:r>
    </w:p>
    <w:p>
      <w:pPr>
        <w:pStyle w:val="Normal"/>
        <w:spacing w:lineRule="auto" w:line="240"/>
        <w:ind w:left="0" w:right="0"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sz w:val="24"/>
          <w:szCs w:val="20"/>
          <w:lang w:eastAsia="ru-RU"/>
        </w:rPr>
        <w:t>Рисунок 3.9 – Конструкция труба-марки</w:t>
      </w:r>
    </w:p>
    <w:p>
      <w:pPr>
        <w:pStyle w:val="Normal"/>
        <w:spacing w:lineRule="auto" w:line="240"/>
        <w:ind w:left="0" w:right="0"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sz w:val="24"/>
          <w:szCs w:val="20"/>
          <w:lang w:eastAsia="ru-RU"/>
        </w:rPr>
      </w:r>
    </w:p>
    <w:p>
      <w:pPr>
        <w:pStyle w:val="Normal"/>
        <w:rPr>
          <w:rFonts w:ascii="Times New Roman" w:hAnsi="Times New Roman"/>
          <w:sz w:val="24"/>
        </w:rPr>
      </w:pPr>
      <w:r>
        <w:rPr>
          <w:rFonts w:ascii="Times New Roman" w:hAnsi="Times New Roman"/>
          <w:sz w:val="24"/>
        </w:rPr>
        <w:t>Марки поверхностные бетонные (далее – МПБ) предназначены для наблюдений за вертикальными перемещениями ж/б конструкций сооружений, которые устанавливаются на горизонтальной поверхности конструкции по окончании кладки бетона. МПБ конструктивно состоит из стального цилиндра с фланцем, верхняя поверхность которой имеет выступ в виде полусферы, на который устанавливается рейка при нивелировании (см. рисунок 3.10).</w:t>
      </w:r>
    </w:p>
    <w:p>
      <w:pPr>
        <w:pStyle w:val="Normal"/>
        <w:spacing w:lineRule="auto" w:line="276"/>
        <w:ind w:left="0" w:right="0" w:hanging="0"/>
        <w:jc w:val="center"/>
        <w:rPr>
          <w:rFonts w:cs="Times New Roman"/>
          <w:szCs w:val="24"/>
        </w:rPr>
      </w:pPr>
      <w:r>
        <w:rPr/>
        <w:drawing>
          <wp:inline distT="0" distB="0" distL="0" distR="0">
            <wp:extent cx="1993265" cy="1971675"/>
            <wp:effectExtent l="0" t="0" r="0" b="0"/>
            <wp:docPr id="14" name="Рисунок 17" descr="D:\Башкин\Загорская ГАЭС-2\Фото ЗГАЭС-2\2015\ФОТО ЗАГАЭС-2 15-16.07.2015\СУ\IMG_2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7" descr="D:\Башкин\Загорская ГАЭС-2\Фото ЗГАЭС-2\2015\ФОТО ЗАГАЭС-2 15-16.07.2015\СУ\IMG_2892.JPG"/>
                    <pic:cNvPicPr>
                      <a:picLocks noChangeAspect="1" noChangeArrowheads="1"/>
                    </pic:cNvPicPr>
                  </pic:nvPicPr>
                  <pic:blipFill>
                    <a:blip r:embed="rId25"/>
                    <a:stretch>
                      <a:fillRect/>
                    </a:stretch>
                  </pic:blipFill>
                  <pic:spPr bwMode="auto">
                    <a:xfrm>
                      <a:off x="0" y="0"/>
                      <a:ext cx="1993265" cy="1971675"/>
                    </a:xfrm>
                    <a:prstGeom prst="rect">
                      <a:avLst/>
                    </a:prstGeom>
                  </pic:spPr>
                </pic:pic>
              </a:graphicData>
            </a:graphic>
          </wp:inline>
        </w:drawing>
      </w:r>
    </w:p>
    <w:p>
      <w:pPr>
        <w:pStyle w:val="Normal"/>
        <w:spacing w:lineRule="auto" w:line="240"/>
        <w:ind w:left="0" w:right="0"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sz w:val="24"/>
          <w:szCs w:val="20"/>
          <w:lang w:eastAsia="ru-RU"/>
        </w:rPr>
        <w:t>Рисунок 3.10 – Марка поверхностная бетонная</w:t>
      </w:r>
    </w:p>
    <w:p>
      <w:pPr>
        <w:pStyle w:val="Normal"/>
        <w:rPr>
          <w:rFonts w:ascii="Times New Roman" w:hAnsi="Times New Roman"/>
          <w:sz w:val="24"/>
        </w:rPr>
      </w:pPr>
      <w:r>
        <w:rPr>
          <w:rFonts w:ascii="Times New Roman" w:hAnsi="Times New Roman"/>
          <w:sz w:val="24"/>
        </w:rPr>
      </w:r>
    </w:p>
    <w:p>
      <w:pPr>
        <w:pStyle w:val="Normal"/>
        <w:rPr>
          <w:rFonts w:ascii="Times New Roman" w:hAnsi="Times New Roman"/>
          <w:sz w:val="24"/>
        </w:rPr>
      </w:pPr>
      <w:r>
        <w:rPr>
          <w:rFonts w:ascii="Times New Roman" w:hAnsi="Times New Roman"/>
          <w:sz w:val="24"/>
        </w:rPr>
        <w:t>Марки бетонные стеновые (далее – МБС) предназначены для наблюдений за вертикальными перемещениями ж/б конструкций сооружений, которые устанавливаются на вертикальной поверхности конструкции по окончании кладки бетона (см. рисунок 3.11).</w:t>
      </w:r>
    </w:p>
    <w:p>
      <w:pPr>
        <w:pStyle w:val="Normal"/>
        <w:spacing w:lineRule="auto" w:line="276"/>
        <w:ind w:left="0" w:right="0" w:hanging="0"/>
        <w:jc w:val="center"/>
        <w:rPr>
          <w:rFonts w:cs="Times New Roman"/>
          <w:szCs w:val="24"/>
        </w:rPr>
      </w:pPr>
      <w:r>
        <w:rPr/>
        <w:drawing>
          <wp:inline distT="0" distB="0" distL="0" distR="0">
            <wp:extent cx="1954530" cy="1943100"/>
            <wp:effectExtent l="0" t="0" r="0" b="0"/>
            <wp:docPr id="15" name="Рисунок 39" descr="D:\Башкин\Загорская ГАЭС-2\Фото ЗГАЭС-2\2016\фото_ЗаГАЭс-2_24-25.03.2016\напорные водоводы, склон\IMG_4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39" descr="D:\Башкин\Загорская ГАЭС-2\Фото ЗГАЭС-2\2016\фото_ЗаГАЭс-2_24-25.03.2016\напорные водоводы, склон\IMG_4283.JPG"/>
                    <pic:cNvPicPr>
                      <a:picLocks noChangeAspect="1" noChangeArrowheads="1"/>
                    </pic:cNvPicPr>
                  </pic:nvPicPr>
                  <pic:blipFill>
                    <a:blip r:embed="rId26"/>
                    <a:stretch>
                      <a:fillRect/>
                    </a:stretch>
                  </pic:blipFill>
                  <pic:spPr bwMode="auto">
                    <a:xfrm>
                      <a:off x="0" y="0"/>
                      <a:ext cx="1954530" cy="1943100"/>
                    </a:xfrm>
                    <a:prstGeom prst="rect">
                      <a:avLst/>
                    </a:prstGeom>
                  </pic:spPr>
                </pic:pic>
              </a:graphicData>
            </a:graphic>
          </wp:inline>
        </w:drawing>
      </w:r>
    </w:p>
    <w:p>
      <w:pPr>
        <w:pStyle w:val="Normal"/>
        <w:spacing w:lineRule="auto" w:line="240"/>
        <w:ind w:left="0" w:right="0"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sz w:val="24"/>
          <w:szCs w:val="20"/>
          <w:lang w:eastAsia="ru-RU"/>
        </w:rPr>
        <w:t>Рисунок 3.11 – Марка бетонная стеновая</w:t>
      </w:r>
    </w:p>
    <w:p>
      <w:pPr>
        <w:pStyle w:val="Normal"/>
        <w:rPr>
          <w:rFonts w:ascii="Times New Roman" w:hAnsi="Times New Roman"/>
          <w:sz w:val="24"/>
        </w:rPr>
      </w:pPr>
      <w:r>
        <w:rPr>
          <w:rFonts w:ascii="Times New Roman" w:hAnsi="Times New Roman"/>
          <w:sz w:val="24"/>
        </w:rPr>
      </w:r>
    </w:p>
    <w:p>
      <w:pPr>
        <w:pStyle w:val="Normal"/>
        <w:rPr>
          <w:rFonts w:ascii="Times New Roman" w:hAnsi="Times New Roman"/>
          <w:sz w:val="24"/>
        </w:rPr>
      </w:pPr>
      <w:r>
        <w:rPr>
          <w:rFonts w:ascii="Times New Roman" w:hAnsi="Times New Roman"/>
          <w:sz w:val="24"/>
        </w:rPr>
        <w:t>Марки поверхностные грунтовые (далее – МПГ) предназначены для наблюдений за вертикальными перемещениями грунтового сооружения (см. рисунок 3.12).</w:t>
      </w:r>
    </w:p>
    <w:p>
      <w:pPr>
        <w:pStyle w:val="Normal"/>
        <w:spacing w:lineRule="auto" w:line="276"/>
        <w:ind w:left="0" w:right="0" w:hanging="0"/>
        <w:jc w:val="center"/>
        <w:rPr>
          <w:rFonts w:cs="Times New Roman"/>
          <w:szCs w:val="24"/>
        </w:rPr>
      </w:pPr>
      <w:r>
        <w:rPr/>
        <w:drawing>
          <wp:inline distT="0" distB="0" distL="0" distR="0">
            <wp:extent cx="2044065" cy="2183765"/>
            <wp:effectExtent l="0" t="0" r="0" b="0"/>
            <wp:docPr id="16" name="Рисунок 77" descr="D:\Башкин\Загорская ГАЭС-2\Фото ЗГАЭС-2\2018\2018.10.11_перемычка и КИА\P_20181011_132356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77" descr="D:\Башкин\Загорская ГАЭС-2\Фото ЗГАЭС-2\2018\2018.10.11_перемычка и КИА\P_20181011_132356_p.jpg"/>
                    <pic:cNvPicPr>
                      <a:picLocks noChangeAspect="1" noChangeArrowheads="1"/>
                    </pic:cNvPicPr>
                  </pic:nvPicPr>
                  <pic:blipFill>
                    <a:blip r:embed="rId27"/>
                    <a:stretch>
                      <a:fillRect/>
                    </a:stretch>
                  </pic:blipFill>
                  <pic:spPr bwMode="auto">
                    <a:xfrm>
                      <a:off x="0" y="0"/>
                      <a:ext cx="2044065" cy="2183765"/>
                    </a:xfrm>
                    <a:prstGeom prst="rect">
                      <a:avLst/>
                    </a:prstGeom>
                  </pic:spPr>
                </pic:pic>
              </a:graphicData>
            </a:graphic>
          </wp:inline>
        </w:drawing>
      </w:r>
    </w:p>
    <w:p>
      <w:pPr>
        <w:pStyle w:val="Normal"/>
        <w:spacing w:lineRule="auto" w:line="240"/>
        <w:ind w:left="0" w:right="0"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sz w:val="24"/>
          <w:szCs w:val="20"/>
          <w:lang w:eastAsia="ru-RU"/>
        </w:rPr>
        <w:t>Рисунок 3.12 – Марка поверхностная грунтовая</w:t>
      </w:r>
    </w:p>
    <w:p>
      <w:pPr>
        <w:pStyle w:val="Normal"/>
        <w:rPr>
          <w:rFonts w:ascii="Times New Roman" w:hAnsi="Times New Roman"/>
          <w:sz w:val="24"/>
        </w:rPr>
      </w:pPr>
      <w:r>
        <w:rPr>
          <w:rFonts w:ascii="Times New Roman" w:hAnsi="Times New Roman"/>
          <w:sz w:val="24"/>
        </w:rPr>
      </w:r>
    </w:p>
    <w:p>
      <w:pPr>
        <w:pStyle w:val="Normal"/>
        <w:rPr>
          <w:rFonts w:ascii="Times New Roman" w:hAnsi="Times New Roman"/>
          <w:sz w:val="24"/>
        </w:rPr>
      </w:pPr>
      <w:r>
        <w:rPr>
          <w:rFonts w:ascii="Times New Roman" w:hAnsi="Times New Roman"/>
          <w:sz w:val="24"/>
        </w:rPr>
        <w:t>Марки поверхностные грунтовые временные (далее – МПГв) предназначены для наблюдений за вертикальными перемещениями поверхности грунта в зоне здания ГАЭС. Конструкция МПГв приведена на рисунке 3.13.</w:t>
      </w:r>
    </w:p>
    <w:p>
      <w:pPr>
        <w:pStyle w:val="Normal"/>
        <w:spacing w:lineRule="auto" w:line="276"/>
        <w:ind w:left="0" w:right="0" w:hanging="0"/>
        <w:jc w:val="center"/>
        <w:rPr>
          <w:rFonts w:cs="Times New Roman"/>
          <w:szCs w:val="24"/>
        </w:rPr>
      </w:pPr>
      <w:r>
        <w:rPr/>
        <w:drawing>
          <wp:inline distT="0" distB="0" distL="0" distR="0">
            <wp:extent cx="3338830" cy="3345180"/>
            <wp:effectExtent l="0" t="0" r="0" b="0"/>
            <wp:docPr id="17" name="Рисунок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42" descr=""/>
                    <pic:cNvPicPr>
                      <a:picLocks noChangeAspect="1" noChangeArrowheads="1"/>
                    </pic:cNvPicPr>
                  </pic:nvPicPr>
                  <pic:blipFill>
                    <a:blip r:embed="rId28"/>
                    <a:stretch>
                      <a:fillRect/>
                    </a:stretch>
                  </pic:blipFill>
                  <pic:spPr bwMode="auto">
                    <a:xfrm>
                      <a:off x="0" y="0"/>
                      <a:ext cx="3338830" cy="3345180"/>
                    </a:xfrm>
                    <a:prstGeom prst="rect">
                      <a:avLst/>
                    </a:prstGeom>
                  </pic:spPr>
                </pic:pic>
              </a:graphicData>
            </a:graphic>
          </wp:inline>
        </w:drawing>
      </w:r>
    </w:p>
    <w:p>
      <w:pPr>
        <w:pStyle w:val="Normal"/>
        <w:spacing w:lineRule="auto" w:line="240"/>
        <w:ind w:left="0" w:right="0"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sz w:val="24"/>
          <w:szCs w:val="20"/>
          <w:lang w:eastAsia="ru-RU"/>
        </w:rPr>
        <w:t>Рисунок 3.13 – Марка поверхностная грунтовая временная</w:t>
      </w:r>
    </w:p>
    <w:p>
      <w:pPr>
        <w:pStyle w:val="Normal"/>
        <w:rPr>
          <w:rFonts w:ascii="Times New Roman" w:hAnsi="Times New Roman"/>
          <w:sz w:val="24"/>
        </w:rPr>
      </w:pPr>
      <w:r>
        <w:rPr>
          <w:rFonts w:ascii="Times New Roman" w:hAnsi="Times New Roman"/>
          <w:sz w:val="24"/>
        </w:rPr>
      </w:r>
    </w:p>
    <w:p>
      <w:pPr>
        <w:pStyle w:val="Normal"/>
        <w:rPr>
          <w:rFonts w:ascii="Times New Roman" w:hAnsi="Times New Roman"/>
          <w:sz w:val="24"/>
        </w:rPr>
      </w:pPr>
      <w:r>
        <w:rPr>
          <w:rFonts w:ascii="Times New Roman" w:hAnsi="Times New Roman"/>
          <w:sz w:val="24"/>
        </w:rPr>
        <w:t>Свето-дальномерные знаки (далее – СДЗ) предусмотрены для наблюдений за плановыми перемещениями сооружений. Конструкция СДЗ приведена на рисунке 3.14.</w:t>
      </w:r>
    </w:p>
    <w:p>
      <w:pPr>
        <w:pStyle w:val="Normal"/>
        <w:spacing w:lineRule="auto" w:line="276"/>
        <w:ind w:left="0" w:right="0" w:hanging="0"/>
        <w:jc w:val="center"/>
        <w:rPr>
          <w:rFonts w:cs="Times New Roman"/>
          <w:szCs w:val="24"/>
        </w:rPr>
      </w:pPr>
      <w:r>
        <w:rPr/>
        <w:drawing>
          <wp:inline distT="0" distB="0" distL="0" distR="0">
            <wp:extent cx="2380615" cy="3761740"/>
            <wp:effectExtent l="0" t="0" r="0" b="0"/>
            <wp:docPr id="18" name="Рисунок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44" descr=""/>
                    <pic:cNvPicPr>
                      <a:picLocks noChangeAspect="1" noChangeArrowheads="1"/>
                    </pic:cNvPicPr>
                  </pic:nvPicPr>
                  <pic:blipFill>
                    <a:blip r:embed="rId29"/>
                    <a:stretch>
                      <a:fillRect/>
                    </a:stretch>
                  </pic:blipFill>
                  <pic:spPr bwMode="auto">
                    <a:xfrm>
                      <a:off x="0" y="0"/>
                      <a:ext cx="2380615" cy="3761740"/>
                    </a:xfrm>
                    <a:prstGeom prst="rect">
                      <a:avLst/>
                    </a:prstGeom>
                  </pic:spPr>
                </pic:pic>
              </a:graphicData>
            </a:graphic>
          </wp:inline>
        </w:drawing>
      </w:r>
    </w:p>
    <w:p>
      <w:pPr>
        <w:pStyle w:val="Normal"/>
        <w:spacing w:lineRule="auto" w:line="240"/>
        <w:ind w:left="0" w:right="0"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sz w:val="24"/>
          <w:szCs w:val="20"/>
          <w:lang w:eastAsia="ru-RU"/>
        </w:rPr>
        <w:t>Рисунок 3.14 – Свето-дальномерный знак</w:t>
      </w:r>
    </w:p>
    <w:p>
      <w:pPr>
        <w:pStyle w:val="Normal"/>
        <w:rPr>
          <w:rFonts w:ascii="Times New Roman" w:hAnsi="Times New Roman"/>
          <w:sz w:val="24"/>
        </w:rPr>
      </w:pPr>
      <w:r>
        <w:rPr>
          <w:rFonts w:ascii="Times New Roman" w:hAnsi="Times New Roman"/>
          <w:sz w:val="24"/>
        </w:rPr>
        <w:t>Трёхмарочные щелемеры модернизированные (далее – ЩМ) предназначены для наблюдений за раскрытием/закрытием деформационных швов между сопрягающими сооружениями, а также для контроля за взаимными смещениями сооружений (секций) (см. рисунок 3.15).</w:t>
      </w:r>
    </w:p>
    <w:p>
      <w:pPr>
        <w:pStyle w:val="Normal"/>
        <w:spacing w:lineRule="auto" w:line="276"/>
        <w:ind w:left="0" w:right="0" w:hanging="0"/>
        <w:jc w:val="center"/>
        <w:rPr>
          <w:rFonts w:cs="Times New Roman"/>
          <w:szCs w:val="24"/>
        </w:rPr>
      </w:pPr>
      <w:r>
        <w:rPr/>
        <mc:AlternateContent>
          <mc:Choice Requires="wps">
            <w:drawing>
              <wp:anchor behindDoc="0" distT="9525" distB="10160" distL="1270" distR="1270" simplePos="0" locked="0" layoutInCell="0" allowOverlap="1" relativeHeight="49">
                <wp:simplePos x="0" y="0"/>
                <wp:positionH relativeFrom="column">
                  <wp:posOffset>1691640</wp:posOffset>
                </wp:positionH>
                <wp:positionV relativeFrom="paragraph">
                  <wp:posOffset>1444625</wp:posOffset>
                </wp:positionV>
                <wp:extent cx="2209800" cy="266700"/>
                <wp:effectExtent l="1270" t="9525" r="1270" b="10160"/>
                <wp:wrapNone/>
                <wp:docPr id="19" name="Прямая соединительная линия 21"/>
                <a:graphic xmlns:a="http://schemas.openxmlformats.org/drawingml/2006/main">
                  <a:graphicData uri="http://schemas.microsoft.com/office/word/2010/wordprocessingShape">
                    <wps:wsp>
                      <wps:cNvSpPr/>
                      <wps:spPr>
                        <a:xfrm>
                          <a:off x="0" y="0"/>
                          <a:ext cx="2209680" cy="266760"/>
                        </a:xfrm>
                        <a:prstGeom prst="line">
                          <a:avLst/>
                        </a:prstGeom>
                        <a:ln w="19080">
                          <a:solidFill>
                            <a:srgbClr val="ff0000"/>
                          </a:solidFill>
                          <a:prstDash val="dashDot"/>
                          <a:miter/>
                        </a:ln>
                      </wps:spPr>
                      <wps:style>
                        <a:lnRef idx="0"/>
                        <a:fillRef idx="0"/>
                        <a:effectRef idx="0"/>
                        <a:fontRef idx="minor"/>
                      </wps:style>
                      <wps:bodyPr/>
                    </wps:wsp>
                  </a:graphicData>
                </a:graphic>
              </wp:anchor>
            </w:drawing>
          </mc:Choice>
          <mc:Fallback>
            <w:pict>
              <v:line id="shape_0" from="133.2pt,113.75pt" to="307.15pt,134.7pt" ID="Прямая соединительная линия 21" stroked="t" o:allowincell="f" style="position:absolute">
                <v:stroke color="red" weight="19080" dashstyle="dashdot" joinstyle="miter" endcap="flat"/>
                <v:fill o:detectmouseclick="t" on="false"/>
                <w10:wrap type="none"/>
              </v:line>
            </w:pict>
          </mc:Fallback>
        </mc:AlternateContent>
        <mc:AlternateContent>
          <mc:Choice Requires="wps">
            <w:drawing>
              <wp:anchor behindDoc="0" distT="3810" distB="2540" distL="3810" distR="2540" simplePos="0" locked="0" layoutInCell="0" allowOverlap="1" relativeHeight="50">
                <wp:simplePos x="0" y="0"/>
                <wp:positionH relativeFrom="column">
                  <wp:posOffset>4208145</wp:posOffset>
                </wp:positionH>
                <wp:positionV relativeFrom="paragraph">
                  <wp:posOffset>318135</wp:posOffset>
                </wp:positionV>
                <wp:extent cx="1562735" cy="390525"/>
                <wp:effectExtent l="3810" t="3810" r="2540" b="2540"/>
                <wp:wrapNone/>
                <wp:docPr id="20" name="Надпись 40"/>
                <a:graphic xmlns:a="http://schemas.openxmlformats.org/drawingml/2006/main">
                  <a:graphicData uri="http://schemas.microsoft.com/office/word/2010/wordprocessingShape">
                    <wps:wsp>
                      <wps:cNvSpPr/>
                      <wps:spPr>
                        <a:xfrm>
                          <a:off x="0" y="0"/>
                          <a:ext cx="1562760" cy="390600"/>
                        </a:xfrm>
                        <a:prstGeom prst="rect">
                          <a:avLst/>
                        </a:prstGeom>
                        <a:solidFill>
                          <a:schemeClr val="lt1"/>
                        </a:solidFill>
                        <a:ln w="6480">
                          <a:solidFill>
                            <a:srgbClr val="000000"/>
                          </a:solidFill>
                          <a:round/>
                        </a:ln>
                      </wps:spPr>
                      <wps:style>
                        <a:lnRef idx="0"/>
                        <a:fillRef idx="0"/>
                        <a:effectRef idx="0"/>
                        <a:fontRef idx="minor"/>
                      </wps:style>
                      <wps:txbx>
                        <w:txbxContent>
                          <w:p>
                            <w:pPr>
                              <w:pStyle w:val="Style177"/>
                              <w:spacing w:lineRule="auto" w:line="240"/>
                              <w:ind w:left="0" w:right="0" w:hanging="0"/>
                              <w:rPr>
                                <w:color w:val="000000"/>
                              </w:rPr>
                            </w:pPr>
                            <w:r>
                              <w:rPr>
                                <w:color w:val="000000"/>
                              </w:rPr>
                              <w:t>Деформационный шов</w:t>
                            </w:r>
                          </w:p>
                        </w:txbxContent>
                      </wps:txbx>
                      <wps:bodyPr anchor="t">
                        <a:noAutofit/>
                      </wps:bodyPr>
                    </wps:wsp>
                  </a:graphicData>
                </a:graphic>
              </wp:anchor>
            </w:drawing>
          </mc:Choice>
          <mc:Fallback>
            <w:pict>
              <v:rect id="shape_0" ID="Надпись 40" path="m0,0l-2147483645,0l-2147483645,-2147483646l0,-2147483646xe" fillcolor="black" stroked="t" o:allowincell="f" style="position:absolute;margin-left:331.35pt;margin-top:25.05pt;width:123pt;height:30.7pt;mso-wrap-style:square;v-text-anchor:top">
                <v:fill o:detectmouseclick="t" type="solid" color2="white"/>
                <v:stroke color="black" weight="6480" joinstyle="round" endcap="flat"/>
                <v:textbox>
                  <w:txbxContent>
                    <w:p>
                      <w:pPr>
                        <w:pStyle w:val="Style177"/>
                        <w:spacing w:lineRule="auto" w:line="240"/>
                        <w:ind w:left="0" w:right="0" w:hanging="0"/>
                        <w:rPr>
                          <w:color w:val="000000"/>
                        </w:rPr>
                      </w:pPr>
                      <w:r>
                        <w:rPr>
                          <w:color w:val="000000"/>
                        </w:rPr>
                        <w:t>Деформационный шов</w:t>
                      </w:r>
                    </w:p>
                  </w:txbxContent>
                </v:textbox>
                <w10:wrap type="none"/>
              </v:rect>
            </w:pict>
          </mc:Fallback>
        </mc:AlternateContent>
        <mc:AlternateContent>
          <mc:Choice Requires="wps">
            <w:drawing>
              <wp:anchor behindDoc="0" distT="3175" distB="0" distL="635" distR="2540" simplePos="0" locked="0" layoutInCell="0" allowOverlap="1" relativeHeight="54">
                <wp:simplePos x="0" y="0"/>
                <wp:positionH relativeFrom="column">
                  <wp:posOffset>3566795</wp:posOffset>
                </wp:positionH>
                <wp:positionV relativeFrom="paragraph">
                  <wp:posOffset>730250</wp:posOffset>
                </wp:positionV>
                <wp:extent cx="1171575" cy="904875"/>
                <wp:effectExtent l="635" t="3175" r="2540" b="0"/>
                <wp:wrapNone/>
                <wp:docPr id="22" name="Прямая со стрелкой 78"/>
                <a:graphic xmlns:a="http://schemas.openxmlformats.org/drawingml/2006/main">
                  <a:graphicData uri="http://schemas.microsoft.com/office/word/2010/wordprocessingShape">
                    <wps:wsp>
                      <wps:cNvSpPr/>
                      <wps:spPr>
                        <a:xfrm flipH="1">
                          <a:off x="0" y="0"/>
                          <a:ext cx="1171440" cy="905040"/>
                        </a:xfrm>
                        <a:prstGeom prst="straightConnector1">
                          <a:avLst/>
                        </a:prstGeom>
                        <a:noFill/>
                        <a:ln w="6480">
                          <a:solidFill>
                            <a:srgbClr val="5b9bd5"/>
                          </a:solidFill>
                          <a:miter/>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Прямая со стрелкой 78" path="m0,0l-2147483648,-2147483647e" stroked="t" o:allowincell="f" style="position:absolute;margin-left:280.85pt;margin-top:57.5pt;width:92.2pt;height:71.2pt;flip:x;mso-wrap-style:none;v-text-anchor:middle" type="_x0000_t32">
                <v:fill o:detectmouseclick="t" on="false"/>
                <v:stroke color="#5b9bd5" weight="6480" endarrow="block" endarrowwidth="medium" endarrowlength="medium" joinstyle="miter" endcap="flat"/>
                <w10:wrap type="none"/>
              </v:shape>
            </w:pict>
          </mc:Fallback>
        </mc:AlternateContent>
        <w:drawing>
          <wp:inline distT="0" distB="0" distL="0" distR="0">
            <wp:extent cx="2425065" cy="2343150"/>
            <wp:effectExtent l="0" t="0" r="0" b="0"/>
            <wp:docPr id="23" name="Рисунок 45" descr="D:\Башкин\Загорская ГАЭС-2\Фото ЗГАЭС-2\2016\фото_ЗаГАЭс-2_24-25.03.2016\водоприемник\IMG_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45" descr="D:\Башкин\Загорская ГАЭС-2\Фото ЗГАЭС-2\2016\фото_ЗаГАЭс-2_24-25.03.2016\водоприемник\IMG_4341.JPG"/>
                    <pic:cNvPicPr>
                      <a:picLocks noChangeAspect="1" noChangeArrowheads="1"/>
                    </pic:cNvPicPr>
                  </pic:nvPicPr>
                  <pic:blipFill>
                    <a:blip r:embed="rId30"/>
                    <a:stretch>
                      <a:fillRect/>
                    </a:stretch>
                  </pic:blipFill>
                  <pic:spPr bwMode="auto">
                    <a:xfrm>
                      <a:off x="0" y="0"/>
                      <a:ext cx="2425065" cy="2343150"/>
                    </a:xfrm>
                    <a:prstGeom prst="rect">
                      <a:avLst/>
                    </a:prstGeom>
                  </pic:spPr>
                </pic:pic>
              </a:graphicData>
            </a:graphic>
          </wp:inline>
        </w:drawing>
      </w:r>
    </w:p>
    <w:p>
      <w:pPr>
        <w:pStyle w:val="Normal"/>
        <w:spacing w:lineRule="auto" w:line="240"/>
        <w:ind w:left="0" w:right="0"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sz w:val="24"/>
          <w:szCs w:val="20"/>
          <w:lang w:eastAsia="ru-RU"/>
        </w:rPr>
        <w:t>Рисунок 3.15 – Трёхмарочный щелемер</w:t>
      </w:r>
    </w:p>
    <w:p>
      <w:pPr>
        <w:pStyle w:val="Normal"/>
        <w:rPr>
          <w:rFonts w:ascii="Times New Roman" w:hAnsi="Times New Roman"/>
          <w:sz w:val="24"/>
        </w:rPr>
      </w:pPr>
      <w:r>
        <w:rPr>
          <w:rFonts w:ascii="Times New Roman" w:hAnsi="Times New Roman"/>
          <w:sz w:val="24"/>
        </w:rPr>
      </w:r>
    </w:p>
    <w:p>
      <w:pPr>
        <w:pStyle w:val="Normal"/>
        <w:rPr>
          <w:rFonts w:ascii="Times New Roman" w:hAnsi="Times New Roman"/>
          <w:sz w:val="24"/>
        </w:rPr>
      </w:pPr>
      <w:r>
        <w:rPr>
          <w:rFonts w:ascii="Times New Roman" w:hAnsi="Times New Roman"/>
          <w:sz w:val="24"/>
        </w:rPr>
        <w:t>Планово-высотные знаки (далее – ПВЗ) предусмотрены для наблюдений за деформациями и перемещениями склона напорных водоводов, котлована здания ГАЭС и откосов реверсивного канала. Конструкция ПВЗ приведена на рисунке 4.16.</w:t>
      </w:r>
    </w:p>
    <w:p>
      <w:pPr>
        <w:pStyle w:val="Normal"/>
        <w:rPr>
          <w:rFonts w:ascii="Times New Roman" w:hAnsi="Times New Roman"/>
          <w:sz w:val="24"/>
        </w:rPr>
      </w:pPr>
      <w:r>
        <w:rPr>
          <w:rFonts w:ascii="Times New Roman" w:hAnsi="Times New Roman"/>
          <w:sz w:val="24"/>
        </w:rPr>
      </w:r>
    </w:p>
    <w:p>
      <w:pPr>
        <w:pStyle w:val="Normal"/>
        <w:rPr>
          <w:rFonts w:ascii="Times New Roman" w:hAnsi="Times New Roman"/>
          <w:sz w:val="24"/>
        </w:rPr>
      </w:pPr>
      <w:r>
        <w:rPr>
          <w:rFonts w:ascii="Times New Roman" w:hAnsi="Times New Roman"/>
          <w:b/>
          <w:sz w:val="24"/>
        </w:rPr>
        <w:t>КИА и АСО КИА специального контроля за пространственным положением здания ГАЭС</w:t>
      </w:r>
    </w:p>
    <w:p>
      <w:pPr>
        <w:pStyle w:val="Normal"/>
        <w:rPr>
          <w:rFonts w:ascii="Times New Roman" w:hAnsi="Times New Roman"/>
          <w:sz w:val="24"/>
        </w:rPr>
      </w:pPr>
      <w:r>
        <w:rPr>
          <w:rFonts w:ascii="Times New Roman" w:hAnsi="Times New Roman"/>
          <w:sz w:val="24"/>
        </w:rPr>
        <w:t>Система мониторинга специального контроля пространственного положения здания ГАЭС в строительный период состоит из геодезической КИА, опрашиваемой автоматизированной системой, с параллельной интеграцией получаемых данных с системой диагностического контроля ИДС «БИНГ-3» или ручным способом при помощи автоматизированного рабочего места (АРМ).</w:t>
      </w:r>
    </w:p>
    <w:p>
      <w:pPr>
        <w:pStyle w:val="Normal"/>
        <w:rPr>
          <w:rFonts w:ascii="Times New Roman" w:hAnsi="Times New Roman"/>
          <w:sz w:val="24"/>
        </w:rPr>
      </w:pPr>
      <w:r>
        <w:rPr>
          <w:rFonts w:ascii="Times New Roman" w:hAnsi="Times New Roman"/>
          <w:sz w:val="24"/>
        </w:rPr>
        <w:t>В состав геодезической КИА входит:</w:t>
      </w:r>
    </w:p>
    <w:p>
      <w:pPr>
        <w:pStyle w:val="Normal"/>
        <w:rPr>
          <w:rFonts w:ascii="Times New Roman" w:hAnsi="Times New Roman"/>
          <w:sz w:val="24"/>
        </w:rPr>
      </w:pPr>
      <w:r>
        <w:rPr>
          <w:rFonts w:ascii="Times New Roman" w:hAnsi="Times New Roman"/>
          <w:sz w:val="24"/>
        </w:rPr>
        <w:t>Основная геодезическая КИА:</w:t>
      </w:r>
    </w:p>
    <w:p>
      <w:pPr>
        <w:pStyle w:val="ListParagraph"/>
        <w:numPr>
          <w:ilvl w:val="0"/>
          <w:numId w:val="13"/>
        </w:numPr>
        <w:ind w:left="851" w:right="0" w:hanging="0"/>
        <w:rPr>
          <w:rFonts w:ascii="Times New Roman" w:hAnsi="Times New Roman"/>
          <w:sz w:val="24"/>
        </w:rPr>
      </w:pPr>
      <w:r>
        <w:rPr>
          <w:rFonts w:ascii="Times New Roman" w:hAnsi="Times New Roman"/>
          <w:sz w:val="24"/>
        </w:rPr>
        <w:t>автоматизированные тахеометры;</w:t>
      </w:r>
    </w:p>
    <w:p>
      <w:pPr>
        <w:pStyle w:val="ListParagraph"/>
        <w:numPr>
          <w:ilvl w:val="0"/>
          <w:numId w:val="13"/>
        </w:numPr>
        <w:ind w:left="851" w:right="0" w:hanging="0"/>
        <w:rPr>
          <w:rFonts w:ascii="Times New Roman" w:hAnsi="Times New Roman"/>
          <w:sz w:val="24"/>
        </w:rPr>
      </w:pPr>
      <w:r>
        <w:rPr>
          <w:rFonts w:ascii="Times New Roman" w:hAnsi="Times New Roman"/>
          <w:sz w:val="24"/>
        </w:rPr>
        <w:t>ГНСС-приёмники и ГНСС-антенны (ГНСС – глобальная навигационная спутниковая система);</w:t>
      </w:r>
    </w:p>
    <w:p>
      <w:pPr>
        <w:pStyle w:val="ListParagraph"/>
        <w:numPr>
          <w:ilvl w:val="0"/>
          <w:numId w:val="13"/>
        </w:numPr>
        <w:ind w:left="851" w:right="0" w:hanging="0"/>
        <w:rPr>
          <w:rFonts w:ascii="Times New Roman" w:hAnsi="Times New Roman"/>
          <w:sz w:val="24"/>
        </w:rPr>
      </w:pPr>
      <w:r>
        <w:rPr>
          <w:rFonts w:ascii="Times New Roman" w:hAnsi="Times New Roman"/>
          <w:sz w:val="24"/>
        </w:rPr>
        <w:t>опорные отражатели;</w:t>
      </w:r>
    </w:p>
    <w:p>
      <w:pPr>
        <w:pStyle w:val="ListParagraph"/>
        <w:numPr>
          <w:ilvl w:val="0"/>
          <w:numId w:val="13"/>
        </w:numPr>
        <w:ind w:left="851" w:right="0" w:hanging="0"/>
        <w:rPr>
          <w:rFonts w:ascii="Times New Roman" w:hAnsi="Times New Roman"/>
          <w:sz w:val="24"/>
        </w:rPr>
      </w:pPr>
      <w:r>
        <w:rPr>
          <w:rFonts w:ascii="Times New Roman" w:hAnsi="Times New Roman"/>
          <w:sz w:val="24"/>
        </w:rPr>
        <w:t>мониторинговые отражатели.</w:t>
      </w:r>
    </w:p>
    <w:p>
      <w:pPr>
        <w:pStyle w:val="ListParagraph"/>
        <w:spacing w:lineRule="auto" w:line="276"/>
        <w:ind w:left="1571" w:right="0" w:hanging="0"/>
        <w:jc w:val="center"/>
        <w:rPr>
          <w:rFonts w:cs="Times New Roman"/>
          <w:szCs w:val="24"/>
        </w:rPr>
      </w:pPr>
      <w:r>
        <w:rPr/>
        <w:drawing>
          <wp:inline distT="0" distB="0" distL="0" distR="0">
            <wp:extent cx="4657725" cy="5471795"/>
            <wp:effectExtent l="0" t="0" r="0" b="0"/>
            <wp:docPr id="24" name="Рисунок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31" descr=""/>
                    <pic:cNvPicPr>
                      <a:picLocks noChangeAspect="1" noChangeArrowheads="1"/>
                    </pic:cNvPicPr>
                  </pic:nvPicPr>
                  <pic:blipFill>
                    <a:blip r:embed="rId31"/>
                    <a:stretch>
                      <a:fillRect/>
                    </a:stretch>
                  </pic:blipFill>
                  <pic:spPr bwMode="auto">
                    <a:xfrm>
                      <a:off x="0" y="0"/>
                      <a:ext cx="4657725" cy="5471795"/>
                    </a:xfrm>
                    <a:prstGeom prst="rect">
                      <a:avLst/>
                    </a:prstGeom>
                  </pic:spPr>
                </pic:pic>
              </a:graphicData>
            </a:graphic>
          </wp:inline>
        </w:drawing>
      </w:r>
    </w:p>
    <w:p>
      <w:pPr>
        <w:pStyle w:val="ListParagraph"/>
        <w:spacing w:lineRule="auto" w:line="240"/>
        <w:ind w:left="1571" w:right="0"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sz w:val="24"/>
          <w:szCs w:val="20"/>
          <w:lang w:eastAsia="ru-RU"/>
        </w:rPr>
        <w:t>Рисунок 3.16 – Конструкция планово-высотного знака</w:t>
      </w:r>
    </w:p>
    <w:p>
      <w:pPr>
        <w:pStyle w:val="Normal"/>
        <w:rPr>
          <w:rFonts w:ascii="Times New Roman" w:hAnsi="Times New Roman"/>
          <w:sz w:val="24"/>
        </w:rPr>
      </w:pPr>
      <w:r>
        <w:rPr>
          <w:rFonts w:ascii="Times New Roman" w:hAnsi="Times New Roman"/>
          <w:sz w:val="24"/>
        </w:rPr>
      </w:r>
    </w:p>
    <w:p>
      <w:pPr>
        <w:pStyle w:val="Normal"/>
        <w:rPr>
          <w:rFonts w:ascii="Times New Roman" w:hAnsi="Times New Roman"/>
          <w:sz w:val="24"/>
        </w:rPr>
      </w:pPr>
      <w:r>
        <w:rPr>
          <w:rFonts w:ascii="Times New Roman" w:hAnsi="Times New Roman"/>
          <w:sz w:val="24"/>
        </w:rPr>
        <w:t>Вспомогательная КИА, оборудование и программное обеспечение</w:t>
      </w:r>
    </w:p>
    <w:p>
      <w:pPr>
        <w:pStyle w:val="ListParagraph"/>
        <w:numPr>
          <w:ilvl w:val="0"/>
          <w:numId w:val="13"/>
        </w:numPr>
        <w:ind w:left="851" w:right="0" w:hanging="0"/>
        <w:rPr>
          <w:rFonts w:ascii="Times New Roman" w:hAnsi="Times New Roman"/>
          <w:sz w:val="24"/>
        </w:rPr>
      </w:pPr>
      <w:r>
        <w:rPr>
          <w:rFonts w:ascii="Times New Roman" w:hAnsi="Times New Roman"/>
          <w:sz w:val="24"/>
        </w:rPr>
        <w:t>метеостанции;</w:t>
      </w:r>
    </w:p>
    <w:p>
      <w:pPr>
        <w:pStyle w:val="ListParagraph"/>
        <w:numPr>
          <w:ilvl w:val="0"/>
          <w:numId w:val="13"/>
        </w:numPr>
        <w:ind w:left="851" w:right="0" w:hanging="0"/>
        <w:rPr>
          <w:rFonts w:ascii="Times New Roman" w:hAnsi="Times New Roman"/>
          <w:sz w:val="24"/>
        </w:rPr>
      </w:pPr>
      <w:r>
        <w:rPr>
          <w:rFonts w:ascii="Times New Roman" w:hAnsi="Times New Roman"/>
          <w:sz w:val="24"/>
        </w:rPr>
        <w:t>информационные средства связи и передачи данных;</w:t>
      </w:r>
    </w:p>
    <w:p>
      <w:pPr>
        <w:pStyle w:val="ListParagraph"/>
        <w:numPr>
          <w:ilvl w:val="0"/>
          <w:numId w:val="13"/>
        </w:numPr>
        <w:ind w:left="851" w:right="0" w:hanging="0"/>
        <w:rPr>
          <w:rFonts w:ascii="Times New Roman" w:hAnsi="Times New Roman"/>
          <w:sz w:val="24"/>
        </w:rPr>
      </w:pPr>
      <w:r>
        <w:rPr>
          <w:rFonts w:ascii="Times New Roman" w:hAnsi="Times New Roman"/>
          <w:sz w:val="24"/>
        </w:rPr>
        <w:t>программные комплексы опроса КИА и передачи данных;</w:t>
      </w:r>
    </w:p>
    <w:p>
      <w:pPr>
        <w:pStyle w:val="ListParagraph"/>
        <w:numPr>
          <w:ilvl w:val="0"/>
          <w:numId w:val="13"/>
        </w:numPr>
        <w:ind w:left="851" w:right="0" w:hanging="0"/>
        <w:rPr>
          <w:rFonts w:ascii="Times New Roman" w:hAnsi="Times New Roman"/>
          <w:sz w:val="24"/>
        </w:rPr>
      </w:pPr>
      <w:r>
        <w:rPr>
          <w:rFonts w:ascii="Times New Roman" w:hAnsi="Times New Roman"/>
          <w:sz w:val="24"/>
        </w:rPr>
        <w:t>программные комплексы обработки, анализа и визуализации полученной информации.</w:t>
      </w:r>
    </w:p>
    <w:p>
      <w:pPr>
        <w:pStyle w:val="Normal"/>
        <w:rPr>
          <w:rFonts w:ascii="Times New Roman" w:hAnsi="Times New Roman"/>
          <w:sz w:val="24"/>
        </w:rPr>
      </w:pPr>
      <w:r>
        <w:rPr>
          <w:rFonts w:ascii="Times New Roman" w:hAnsi="Times New Roman"/>
          <w:sz w:val="24"/>
        </w:rPr>
        <w:t>Автоматизированные тахеометры (см. рисунок 3.17) применяются для наблюдения в реальном времени пространственного (высотного и планового) положения опорных и мониторинговых отражателей (см. рисунок 3.18), расположенных на опорных, мониторинговых геодезических знаках и планово-высотных знаках, расположенных на здании ГАЭС, ГТС и склонах с помощью линейно-угловых измерений.</w:t>
      </w:r>
    </w:p>
    <w:p>
      <w:pPr>
        <w:pStyle w:val="Normal"/>
        <w:ind w:left="142" w:right="227" w:hanging="0"/>
        <w:jc w:val="center"/>
        <w:rPr>
          <w:rFonts w:ascii="Times New Roman" w:hAnsi="Times New Roman" w:eastAsia="Times New Roman" w:cs="Times New Roman"/>
          <w:b/>
          <w:sz w:val="24"/>
          <w:szCs w:val="24"/>
          <w:lang w:eastAsia="ru-RU"/>
        </w:rPr>
      </w:pPr>
      <w:r>
        <w:rPr/>
        <w:drawing>
          <wp:inline distT="0" distB="0" distL="0" distR="0">
            <wp:extent cx="2524125" cy="2590800"/>
            <wp:effectExtent l="0" t="0" r="0" b="0"/>
            <wp:docPr id="25" name="Рисунок 23" descr="dabdcddcab6c7017d8c78873f545c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3" descr="dabdcddcab6c7017d8c78873f545c705"/>
                    <pic:cNvPicPr>
                      <a:picLocks noChangeAspect="1" noChangeArrowheads="1"/>
                    </pic:cNvPicPr>
                  </pic:nvPicPr>
                  <pic:blipFill>
                    <a:blip r:embed="rId32"/>
                    <a:stretch>
                      <a:fillRect/>
                    </a:stretch>
                  </pic:blipFill>
                  <pic:spPr bwMode="auto">
                    <a:xfrm>
                      <a:off x="0" y="0"/>
                      <a:ext cx="2524125" cy="2590800"/>
                    </a:xfrm>
                    <a:prstGeom prst="rect">
                      <a:avLst/>
                    </a:prstGeom>
                  </pic:spPr>
                </pic:pic>
              </a:graphicData>
            </a:graphic>
          </wp:inline>
        </w:drawing>
      </w:r>
    </w:p>
    <w:p>
      <w:pPr>
        <w:pStyle w:val="Normal"/>
        <w:spacing w:lineRule="auto" w:line="240"/>
        <w:ind w:left="0" w:right="0"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sz w:val="24"/>
          <w:szCs w:val="20"/>
          <w:lang w:eastAsia="ru-RU"/>
        </w:rPr>
        <w:t>Рисунок 3.17 – Общий вид роботизированного тахеометра Leica Nova TM50 I 0,5"</w:t>
      </w:r>
    </w:p>
    <w:p>
      <w:pPr>
        <w:pStyle w:val="Normal"/>
        <w:rPr>
          <w:rFonts w:ascii="Times New Roman" w:hAnsi="Times New Roman"/>
          <w:sz w:val="24"/>
        </w:rPr>
      </w:pPr>
      <w:r>
        <w:rPr>
          <w:rFonts w:ascii="Times New Roman" w:hAnsi="Times New Roman"/>
          <w:sz w:val="24"/>
        </w:rPr>
      </w:r>
    </w:p>
    <w:p>
      <w:pPr>
        <w:pStyle w:val="Normal"/>
        <w:rPr>
          <w:rFonts w:ascii="Times New Roman" w:hAnsi="Times New Roman"/>
          <w:sz w:val="24"/>
        </w:rPr>
      </w:pPr>
      <w:r>
        <w:rPr>
          <w:rFonts w:ascii="Times New Roman" w:hAnsi="Times New Roman"/>
          <w:sz w:val="24"/>
        </w:rPr>
        <w:t>ГНСС-приёмники (см. рисунок 3.19) применяются для контроля собственного высотного и планового положения базовых станций автоматизированных тахеометров с помощью спутниковых измерений.</w:t>
      </w:r>
    </w:p>
    <w:p>
      <w:pPr>
        <w:pStyle w:val="Normal"/>
        <w:rPr>
          <w:rFonts w:ascii="Times New Roman" w:hAnsi="Times New Roman"/>
          <w:sz w:val="24"/>
        </w:rPr>
      </w:pPr>
      <w:r>
        <w:rPr>
          <w:rFonts w:ascii="Times New Roman" w:hAnsi="Times New Roman"/>
          <w:sz w:val="24"/>
        </w:rPr>
      </w:r>
    </w:p>
    <w:p>
      <w:pPr>
        <w:pStyle w:val="Normal"/>
        <w:spacing w:lineRule="auto" w:line="240" w:before="0" w:after="120"/>
        <w:ind w:left="0" w:right="0" w:hanging="0"/>
        <w:contextualSpacing/>
        <w:rPr>
          <w:rFonts w:ascii="Times New Roman" w:hAnsi="Times New Roman"/>
          <w:sz w:val="24"/>
        </w:rPr>
      </w:pPr>
      <w:r>
        <w:rPr>
          <w:rFonts w:ascii="Times New Roman" w:hAnsi="Times New Roman"/>
          <w:sz w:val="24"/>
        </w:rPr>
        <w:t>Таблица 3.6 – Технические характеристики роботизированного тахеометра Leica Nova TM50 I 0,5"</w:t>
      </w:r>
    </w:p>
    <w:tbl>
      <w:tblPr>
        <w:tblW w:w="5000" w:type="pct"/>
        <w:jc w:val="center"/>
        <w:tblInd w:w="0" w:type="dxa"/>
        <w:tblLayout w:type="fixed"/>
        <w:tblCellMar>
          <w:top w:w="0" w:type="dxa"/>
          <w:left w:w="108" w:type="dxa"/>
          <w:bottom w:w="0" w:type="dxa"/>
          <w:right w:w="108" w:type="dxa"/>
        </w:tblCellMar>
      </w:tblPr>
      <w:tblGrid>
        <w:gridCol w:w="4205"/>
        <w:gridCol w:w="4865"/>
      </w:tblGrid>
      <w:tr>
        <w:trPr>
          <w:tblHeader w:val="true"/>
          <w:trHeight w:val="766" w:hRule="atLeast"/>
        </w:trPr>
        <w:tc>
          <w:tcPr>
            <w:tcW w:w="4205" w:type="dxa"/>
            <w:tcBorders>
              <w:top w:val="single" w:sz="4" w:space="0" w:color="000000"/>
              <w:left w:val="single" w:sz="8"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Наименование</w:t>
            </w:r>
          </w:p>
        </w:tc>
        <w:tc>
          <w:tcPr>
            <w:tcW w:w="4865" w:type="dxa"/>
            <w:tcBorders>
              <w:top w:val="single" w:sz="4" w:space="0" w:color="000000"/>
              <w:bottom w:val="single" w:sz="4" w:space="0" w:color="000000"/>
              <w:right w:val="single" w:sz="8"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Характеристика</w:t>
            </w:r>
          </w:p>
        </w:tc>
      </w:tr>
      <w:tr>
        <w:trPr>
          <w:trHeight w:val="567" w:hRule="atLeast"/>
        </w:trPr>
        <w:tc>
          <w:tcPr>
            <w:tcW w:w="4205" w:type="dxa"/>
            <w:tcBorders>
              <w:top w:val="single" w:sz="4" w:space="0" w:color="000000"/>
              <w:left w:val="single" w:sz="8"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Точность угловых измерений</w:t>
            </w:r>
          </w:p>
        </w:tc>
        <w:tc>
          <w:tcPr>
            <w:tcW w:w="4865" w:type="dxa"/>
            <w:tcBorders>
              <w:top w:val="single" w:sz="4" w:space="0" w:color="000000"/>
              <w:bottom w:val="single" w:sz="4" w:space="0" w:color="000000"/>
              <w:right w:val="single" w:sz="8"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0,5</w:t>
            </w:r>
            <w:r>
              <w:rPr>
                <w:rFonts w:ascii="Times New Roman" w:hAnsi="Times New Roman"/>
                <w:sz w:val="24"/>
              </w:rPr>
              <w:t>"</w:t>
            </w:r>
          </w:p>
        </w:tc>
      </w:tr>
      <w:tr>
        <w:trPr>
          <w:trHeight w:val="567" w:hRule="atLeast"/>
        </w:trPr>
        <w:tc>
          <w:tcPr>
            <w:tcW w:w="4205" w:type="dxa"/>
            <w:tcBorders>
              <w:left w:val="single" w:sz="8"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Безотражательные измерения</w:t>
            </w:r>
          </w:p>
        </w:tc>
        <w:tc>
          <w:tcPr>
            <w:tcW w:w="4865" w:type="dxa"/>
            <w:tcBorders>
              <w:bottom w:val="single" w:sz="4" w:space="0" w:color="000000"/>
              <w:right w:val="single" w:sz="8"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1 000 м </w:t>
            </w:r>
          </w:p>
        </w:tc>
      </w:tr>
      <w:tr>
        <w:trPr>
          <w:trHeight w:val="851" w:hRule="atLeast"/>
        </w:trPr>
        <w:tc>
          <w:tcPr>
            <w:tcW w:w="4205" w:type="dxa"/>
            <w:tcBorders>
              <w:left w:val="single" w:sz="8"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Безотражательные измерения (точность измерений)</w:t>
            </w:r>
          </w:p>
        </w:tc>
        <w:tc>
          <w:tcPr>
            <w:tcW w:w="4865" w:type="dxa"/>
            <w:tcBorders>
              <w:bottom w:val="single" w:sz="4" w:space="0" w:color="000000"/>
              <w:right w:val="single" w:sz="8"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2 мм +2 ррм </w:t>
            </w:r>
          </w:p>
        </w:tc>
      </w:tr>
      <w:tr>
        <w:trPr>
          <w:trHeight w:val="851" w:hRule="atLeast"/>
        </w:trPr>
        <w:tc>
          <w:tcPr>
            <w:tcW w:w="4205" w:type="dxa"/>
            <w:tcBorders>
              <w:left w:val="single" w:sz="8"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Безотражательные измерения (время измерений)</w:t>
            </w:r>
          </w:p>
        </w:tc>
        <w:tc>
          <w:tcPr>
            <w:tcW w:w="4865" w:type="dxa"/>
            <w:tcBorders>
              <w:bottom w:val="single" w:sz="4" w:space="0" w:color="000000"/>
              <w:right w:val="single" w:sz="8"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обычно 3 с</w:t>
            </w:r>
          </w:p>
        </w:tc>
      </w:tr>
      <w:tr>
        <w:trPr>
          <w:trHeight w:val="851" w:hRule="atLeast"/>
        </w:trPr>
        <w:tc>
          <w:tcPr>
            <w:tcW w:w="4205" w:type="dxa"/>
            <w:tcBorders>
              <w:left w:val="single" w:sz="8"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Измерения расстояний на отражатель (дальность на отражатель (GPR1))</w:t>
            </w:r>
          </w:p>
        </w:tc>
        <w:tc>
          <w:tcPr>
            <w:tcW w:w="4865" w:type="dxa"/>
            <w:tcBorders>
              <w:bottom w:val="single" w:sz="4" w:space="0" w:color="000000"/>
              <w:right w:val="single" w:sz="8"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3500 м </w:t>
            </w:r>
          </w:p>
        </w:tc>
      </w:tr>
      <w:tr>
        <w:trPr>
          <w:trHeight w:val="851" w:hRule="atLeast"/>
        </w:trPr>
        <w:tc>
          <w:tcPr>
            <w:tcW w:w="4205" w:type="dxa"/>
            <w:tcBorders>
              <w:left w:val="single" w:sz="8"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Измерения расстояний на отражатель (точность измерений)</w:t>
            </w:r>
          </w:p>
        </w:tc>
        <w:tc>
          <w:tcPr>
            <w:tcW w:w="4865" w:type="dxa"/>
            <w:tcBorders>
              <w:bottom w:val="single" w:sz="4" w:space="0" w:color="000000"/>
              <w:right w:val="single" w:sz="8"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0,6 mm + 1 ppm </w:t>
            </w:r>
          </w:p>
        </w:tc>
      </w:tr>
      <w:tr>
        <w:trPr>
          <w:trHeight w:val="851" w:hRule="atLeast"/>
        </w:trPr>
        <w:tc>
          <w:tcPr>
            <w:tcW w:w="4205" w:type="dxa"/>
            <w:tcBorders>
              <w:left w:val="single" w:sz="8"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Измерения расстояний на отражатель (время измерений)</w:t>
            </w:r>
          </w:p>
        </w:tc>
        <w:tc>
          <w:tcPr>
            <w:tcW w:w="4865" w:type="dxa"/>
            <w:tcBorders>
              <w:bottom w:val="single" w:sz="4" w:space="0" w:color="000000"/>
              <w:right w:val="single" w:sz="8"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обычно 2,4 с</w:t>
            </w:r>
          </w:p>
        </w:tc>
      </w:tr>
      <w:tr>
        <w:trPr>
          <w:trHeight w:val="851" w:hRule="atLeast"/>
        </w:trPr>
        <w:tc>
          <w:tcPr>
            <w:tcW w:w="4205" w:type="dxa"/>
            <w:tcBorders>
              <w:left w:val="single" w:sz="8"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Запись и передача данных (внутренняя память)</w:t>
            </w:r>
          </w:p>
        </w:tc>
        <w:tc>
          <w:tcPr>
            <w:tcW w:w="4865" w:type="dxa"/>
            <w:tcBorders>
              <w:bottom w:val="single" w:sz="4" w:space="0" w:color="000000"/>
              <w:right w:val="single" w:sz="8"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1 Гб </w:t>
            </w:r>
          </w:p>
        </w:tc>
      </w:tr>
      <w:tr>
        <w:trPr>
          <w:trHeight w:val="851" w:hRule="atLeast"/>
        </w:trPr>
        <w:tc>
          <w:tcPr>
            <w:tcW w:w="4205" w:type="dxa"/>
            <w:tcBorders>
              <w:left w:val="single" w:sz="8"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Запись и передача данных (запоминающие устройства)</w:t>
            </w:r>
          </w:p>
        </w:tc>
        <w:tc>
          <w:tcPr>
            <w:tcW w:w="4865" w:type="dxa"/>
            <w:tcBorders>
              <w:bottom w:val="single" w:sz="4" w:space="0" w:color="000000"/>
              <w:right w:val="single" w:sz="8"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SD-карта 1 Гб </w:t>
            </w:r>
          </w:p>
        </w:tc>
      </w:tr>
      <w:tr>
        <w:trPr>
          <w:trHeight w:val="567" w:hRule="atLeast"/>
        </w:trPr>
        <w:tc>
          <w:tcPr>
            <w:tcW w:w="4205" w:type="dxa"/>
            <w:tcBorders>
              <w:left w:val="single" w:sz="8"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Зрительная труба (увеличение)</w:t>
            </w:r>
          </w:p>
        </w:tc>
        <w:tc>
          <w:tcPr>
            <w:tcW w:w="4865" w:type="dxa"/>
            <w:tcBorders>
              <w:bottom w:val="single" w:sz="4" w:space="0" w:color="000000"/>
              <w:right w:val="single" w:sz="8"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30х </w:t>
            </w:r>
          </w:p>
        </w:tc>
      </w:tr>
      <w:tr>
        <w:trPr>
          <w:trHeight w:val="851" w:hRule="atLeast"/>
        </w:trPr>
        <w:tc>
          <w:tcPr>
            <w:tcW w:w="4205" w:type="dxa"/>
            <w:tcBorders>
              <w:top w:val="single" w:sz="4" w:space="0" w:color="000000"/>
              <w:left w:val="single" w:sz="8"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Зрительная труба (минимальное фокусное расстояние)</w:t>
            </w:r>
          </w:p>
        </w:tc>
        <w:tc>
          <w:tcPr>
            <w:tcW w:w="4865" w:type="dxa"/>
            <w:tcBorders>
              <w:top w:val="single" w:sz="4" w:space="0" w:color="000000"/>
              <w:bottom w:val="single" w:sz="4" w:space="0" w:color="000000"/>
              <w:right w:val="single" w:sz="8"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от 1,7 м до бесконечности </w:t>
            </w:r>
          </w:p>
        </w:tc>
      </w:tr>
      <w:tr>
        <w:trPr>
          <w:trHeight w:val="851" w:hRule="atLeast"/>
        </w:trPr>
        <w:tc>
          <w:tcPr>
            <w:tcW w:w="4205" w:type="dxa"/>
            <w:tcBorders>
              <w:top w:val="single" w:sz="4" w:space="0" w:color="000000"/>
              <w:left w:val="single" w:sz="8"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Питание (батарея)</w:t>
            </w:r>
          </w:p>
        </w:tc>
        <w:tc>
          <w:tcPr>
            <w:tcW w:w="4865" w:type="dxa"/>
            <w:tcBorders>
              <w:top w:val="single" w:sz="4" w:space="0" w:color="000000"/>
              <w:bottom w:val="single" w:sz="4" w:space="0" w:color="000000"/>
              <w:right w:val="single" w:sz="8"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Сменная литий-ионная батарея с возможностью внутренней подзарядки </w:t>
            </w:r>
          </w:p>
        </w:tc>
      </w:tr>
      <w:tr>
        <w:trPr>
          <w:trHeight w:val="567" w:hRule="atLeast"/>
        </w:trPr>
        <w:tc>
          <w:tcPr>
            <w:tcW w:w="4205" w:type="dxa"/>
            <w:tcBorders>
              <w:top w:val="single" w:sz="4" w:space="0" w:color="000000"/>
              <w:left w:val="single" w:sz="8"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Питание (время работы)</w:t>
            </w:r>
          </w:p>
        </w:tc>
        <w:tc>
          <w:tcPr>
            <w:tcW w:w="4865" w:type="dxa"/>
            <w:tcBorders>
              <w:top w:val="single" w:sz="4" w:space="0" w:color="000000"/>
              <w:bottom w:val="single" w:sz="4" w:space="0" w:color="000000"/>
              <w:right w:val="single" w:sz="8"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7 – 9 ч</w:t>
            </w:r>
          </w:p>
        </w:tc>
      </w:tr>
      <w:tr>
        <w:trPr>
          <w:trHeight w:val="567" w:hRule="atLeast"/>
        </w:trPr>
        <w:tc>
          <w:tcPr>
            <w:tcW w:w="4205" w:type="dxa"/>
            <w:tcBorders>
              <w:top w:val="single" w:sz="4" w:space="0" w:color="000000"/>
              <w:left w:val="single" w:sz="8"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Дисплей</w:t>
            </w:r>
          </w:p>
        </w:tc>
        <w:tc>
          <w:tcPr>
            <w:tcW w:w="4865" w:type="dxa"/>
            <w:tcBorders>
              <w:top w:val="single" w:sz="4" w:space="0" w:color="000000"/>
              <w:bottom w:val="single" w:sz="4" w:space="0" w:color="000000"/>
              <w:right w:val="single" w:sz="8"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VGA, цветной, сенсорный, с одной стороны </w:t>
            </w:r>
          </w:p>
        </w:tc>
      </w:tr>
      <w:tr>
        <w:trPr>
          <w:trHeight w:val="567" w:hRule="atLeast"/>
        </w:trPr>
        <w:tc>
          <w:tcPr>
            <w:tcW w:w="4205" w:type="dxa"/>
            <w:tcBorders>
              <w:top w:val="single" w:sz="4" w:space="0" w:color="000000"/>
              <w:left w:val="single" w:sz="8"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Клавиатура</w:t>
            </w:r>
          </w:p>
        </w:tc>
        <w:tc>
          <w:tcPr>
            <w:tcW w:w="4865" w:type="dxa"/>
            <w:tcBorders>
              <w:top w:val="single" w:sz="4" w:space="0" w:color="000000"/>
              <w:bottom w:val="single" w:sz="4" w:space="0" w:color="000000"/>
              <w:right w:val="single" w:sz="8"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36 клавиш, подсветка </w:t>
            </w:r>
          </w:p>
        </w:tc>
      </w:tr>
      <w:tr>
        <w:trPr>
          <w:trHeight w:val="567" w:hRule="atLeast"/>
        </w:trPr>
        <w:tc>
          <w:tcPr>
            <w:tcW w:w="4205" w:type="dxa"/>
            <w:tcBorders>
              <w:top w:val="single" w:sz="4" w:space="0" w:color="000000"/>
              <w:left w:val="single" w:sz="8"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Рабочая температура</w:t>
            </w:r>
          </w:p>
        </w:tc>
        <w:tc>
          <w:tcPr>
            <w:tcW w:w="4865" w:type="dxa"/>
            <w:tcBorders>
              <w:top w:val="single" w:sz="4" w:space="0" w:color="000000"/>
              <w:bottom w:val="single" w:sz="4" w:space="0" w:color="000000"/>
              <w:right w:val="single" w:sz="8"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от –20°C до + 50°C </w:t>
            </w:r>
          </w:p>
        </w:tc>
      </w:tr>
      <w:tr>
        <w:trPr>
          <w:trHeight w:val="567" w:hRule="atLeast"/>
        </w:trPr>
        <w:tc>
          <w:tcPr>
            <w:tcW w:w="4205" w:type="dxa"/>
            <w:tcBorders>
              <w:top w:val="single" w:sz="4" w:space="0" w:color="000000"/>
              <w:left w:val="single" w:sz="8"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Защита от пыли и влаги</w:t>
            </w:r>
          </w:p>
        </w:tc>
        <w:tc>
          <w:tcPr>
            <w:tcW w:w="4865" w:type="dxa"/>
            <w:tcBorders>
              <w:top w:val="single" w:sz="4" w:space="0" w:color="000000"/>
              <w:bottom w:val="single" w:sz="4" w:space="0" w:color="000000"/>
              <w:right w:val="single" w:sz="8"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IP65 </w:t>
            </w:r>
          </w:p>
        </w:tc>
      </w:tr>
      <w:tr>
        <w:trPr>
          <w:trHeight w:val="567" w:hRule="atLeast"/>
        </w:trPr>
        <w:tc>
          <w:tcPr>
            <w:tcW w:w="4205" w:type="dxa"/>
            <w:tcBorders>
              <w:top w:val="single" w:sz="4" w:space="0" w:color="000000"/>
              <w:left w:val="single" w:sz="8" w:space="0" w:color="000000"/>
              <w:bottom w:val="single" w:sz="8"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Вес с аккумулятором</w:t>
            </w:r>
          </w:p>
        </w:tc>
        <w:tc>
          <w:tcPr>
            <w:tcW w:w="4865" w:type="dxa"/>
            <w:tcBorders>
              <w:top w:val="single" w:sz="4" w:space="0" w:color="000000"/>
              <w:bottom w:val="single" w:sz="8" w:space="0" w:color="000000"/>
              <w:right w:val="single" w:sz="8"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7,6 кг</w:t>
            </w:r>
          </w:p>
        </w:tc>
      </w:tr>
    </w:tbl>
    <w:p>
      <w:pPr>
        <w:pStyle w:val="Normal"/>
        <w:rPr>
          <w:rFonts w:ascii="Times New Roman" w:hAnsi="Times New Roman"/>
          <w:sz w:val="24"/>
        </w:rPr>
      </w:pPr>
      <w:r>
        <w:rPr>
          <w:rFonts w:ascii="Times New Roman" w:hAnsi="Times New Roman"/>
          <w:sz w:val="24"/>
        </w:rPr>
      </w:r>
    </w:p>
    <w:p>
      <w:pPr>
        <w:pStyle w:val="Normal"/>
        <w:ind w:left="357" w:right="227" w:firstLine="510"/>
        <w:jc w:val="center"/>
        <w:rPr>
          <w:rFonts w:ascii="Times New Roman" w:hAnsi="Times New Roman" w:eastAsia="Times New Roman" w:cs="Times New Roman"/>
          <w:sz w:val="24"/>
          <w:szCs w:val="24"/>
          <w:lang w:eastAsia="ru-RU"/>
        </w:rPr>
      </w:pPr>
      <w:r>
        <w:rPr/>
        <w:drawing>
          <wp:inline distT="0" distB="0" distL="0" distR="0">
            <wp:extent cx="1918970" cy="1970405"/>
            <wp:effectExtent l="0" t="0" r="0" b="0"/>
            <wp:docPr id="26" name="Рисунок 233" descr="af14988039d32d9f68a058bf18c0cd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33" descr="af14988039d32d9f68a058bf18c0cdcf"/>
                    <pic:cNvPicPr>
                      <a:picLocks noChangeAspect="1" noChangeArrowheads="1"/>
                    </pic:cNvPicPr>
                  </pic:nvPicPr>
                  <pic:blipFill>
                    <a:blip r:embed="rId33"/>
                    <a:stretch>
                      <a:fillRect/>
                    </a:stretch>
                  </pic:blipFill>
                  <pic:spPr bwMode="auto">
                    <a:xfrm>
                      <a:off x="0" y="0"/>
                      <a:ext cx="1918970" cy="1970405"/>
                    </a:xfrm>
                    <a:prstGeom prst="rect">
                      <a:avLst/>
                    </a:prstGeom>
                  </pic:spPr>
                </pic:pic>
              </a:graphicData>
            </a:graphic>
          </wp:inline>
        </w:drawing>
      </w:r>
    </w:p>
    <w:p>
      <w:pPr>
        <w:pStyle w:val="Normal"/>
        <w:spacing w:lineRule="auto" w:line="240"/>
        <w:ind w:left="0" w:right="0"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sz w:val="24"/>
          <w:szCs w:val="20"/>
          <w:lang w:eastAsia="ru-RU"/>
        </w:rPr>
        <w:t>Рисунок 3.18 – Общий вид отражателя Leica GRZ122</w:t>
      </w:r>
    </w:p>
    <w:p>
      <w:pPr>
        <w:pStyle w:val="Normal"/>
        <w:spacing w:lineRule="auto" w:line="240"/>
        <w:ind w:left="0" w:right="0"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sz w:val="24"/>
          <w:szCs w:val="20"/>
          <w:lang w:eastAsia="ru-RU"/>
        </w:rPr>
      </w:r>
    </w:p>
    <w:p>
      <w:pPr>
        <w:pStyle w:val="Normal"/>
        <w:spacing w:lineRule="auto" w:line="240"/>
        <w:ind w:left="0" w:right="0"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sz w:val="24"/>
          <w:szCs w:val="20"/>
          <w:lang w:eastAsia="ru-RU"/>
        </w:rPr>
      </w:r>
    </w:p>
    <w:p>
      <w:pPr>
        <w:pStyle w:val="Normal"/>
        <w:spacing w:lineRule="auto" w:line="240" w:before="0" w:after="120"/>
        <w:ind w:left="0" w:right="0" w:hanging="0"/>
        <w:contextualSpacing/>
        <w:rPr>
          <w:rFonts w:ascii="Times New Roman" w:hAnsi="Times New Roman"/>
          <w:sz w:val="24"/>
        </w:rPr>
      </w:pPr>
      <w:r>
        <w:rPr>
          <w:rFonts w:ascii="Times New Roman" w:hAnsi="Times New Roman"/>
          <w:sz w:val="24"/>
        </w:rPr>
        <w:t>Таблица 3.7 – Технические характеристики отражателей-призм Leica GRZ122</w:t>
      </w:r>
    </w:p>
    <w:tbl>
      <w:tblPr>
        <w:tblW w:w="5000" w:type="pct"/>
        <w:jc w:val="left"/>
        <w:tblInd w:w="0" w:type="dxa"/>
        <w:tblLayout w:type="fixed"/>
        <w:tblCellMar>
          <w:top w:w="0" w:type="dxa"/>
          <w:left w:w="108" w:type="dxa"/>
          <w:bottom w:w="0" w:type="dxa"/>
          <w:right w:w="108" w:type="dxa"/>
        </w:tblCellMar>
      </w:tblPr>
      <w:tblGrid>
        <w:gridCol w:w="1717"/>
        <w:gridCol w:w="1404"/>
        <w:gridCol w:w="1472"/>
        <w:gridCol w:w="1437"/>
        <w:gridCol w:w="1604"/>
        <w:gridCol w:w="1436"/>
      </w:tblGrid>
      <w:tr>
        <w:trPr>
          <w:trHeight w:val="851" w:hRule="atLeast"/>
        </w:trPr>
        <w:tc>
          <w:tcPr>
            <w:tcW w:w="171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Наименование</w:t>
            </w:r>
          </w:p>
        </w:tc>
        <w:tc>
          <w:tcPr>
            <w:tcW w:w="140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Постоян. Призмы, мм</w:t>
            </w:r>
          </w:p>
        </w:tc>
        <w:tc>
          <w:tcPr>
            <w:tcW w:w="147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Точность центрир., мм</w:t>
            </w:r>
          </w:p>
        </w:tc>
        <w:tc>
          <w:tcPr>
            <w:tcW w:w="143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Угловое отклон.,</w:t>
            </w:r>
            <w:r>
              <w:rPr>
                <w:rFonts w:ascii="Times New Roman" w:hAnsi="Times New Roman"/>
                <w:sz w:val="24"/>
              </w:rPr>
              <w:t xml:space="preserve"> "</w:t>
            </w:r>
          </w:p>
        </w:tc>
        <w:tc>
          <w:tcPr>
            <w:tcW w:w="160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Дальность ATR, м</w:t>
            </w:r>
          </w:p>
        </w:tc>
        <w:tc>
          <w:tcPr>
            <w:tcW w:w="143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Схема</w:t>
            </w:r>
          </w:p>
        </w:tc>
      </w:tr>
      <w:tr>
        <w:trPr>
          <w:trHeight w:val="517" w:hRule="atLeast"/>
        </w:trPr>
        <w:tc>
          <w:tcPr>
            <w:tcW w:w="171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40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47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4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60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43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411" w:hRule="atLeast"/>
        </w:trPr>
        <w:tc>
          <w:tcPr>
            <w:tcW w:w="1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GRZ122</w:t>
            </w:r>
          </w:p>
        </w:tc>
        <w:tc>
          <w:tcPr>
            <w:tcW w:w="14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23,1</w:t>
            </w:r>
          </w:p>
        </w:tc>
        <w:tc>
          <w:tcPr>
            <w:tcW w:w="14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2</w:t>
            </w:r>
          </w:p>
        </w:tc>
        <w:tc>
          <w:tcPr>
            <w:tcW w:w="14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6</w:t>
            </w:r>
          </w:p>
        </w:tc>
        <w:tc>
          <w:tcPr>
            <w:tcW w:w="16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600</w:t>
            </w:r>
          </w:p>
        </w:tc>
        <w:tc>
          <w:tcPr>
            <w:tcW w:w="1436"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rPr>
            </w:pPr>
            <w:r>
              <w:rPr/>
              <w:drawing>
                <wp:inline distT="0" distB="0" distL="0" distR="0">
                  <wp:extent cx="605155" cy="566420"/>
                  <wp:effectExtent l="0" t="0" r="0" b="0"/>
                  <wp:docPr id="27" name="Рисунок 234" descr="793242e7c852b08043d9e0730328d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34" descr="793242e7c852b08043d9e0730328d416"/>
                          <pic:cNvPicPr>
                            <a:picLocks noChangeAspect="1" noChangeArrowheads="1"/>
                          </pic:cNvPicPr>
                        </pic:nvPicPr>
                        <pic:blipFill>
                          <a:blip r:embed="rId34"/>
                          <a:srcRect l="0" t="0" r="54939" b="50810"/>
                          <a:stretch>
                            <a:fillRect/>
                          </a:stretch>
                        </pic:blipFill>
                        <pic:spPr bwMode="auto">
                          <a:xfrm>
                            <a:off x="0" y="0"/>
                            <a:ext cx="605155" cy="566420"/>
                          </a:xfrm>
                          <a:prstGeom prst="rect">
                            <a:avLst/>
                          </a:prstGeom>
                        </pic:spPr>
                      </pic:pic>
                    </a:graphicData>
                  </a:graphic>
                </wp:inline>
              </w:drawing>
            </w:r>
          </w:p>
        </w:tc>
      </w:tr>
    </w:tbl>
    <w:p>
      <w:pPr>
        <w:pStyle w:val="Normal"/>
        <w:spacing w:lineRule="auto" w:line="276"/>
        <w:ind w:left="0" w:right="0" w:firstLine="709"/>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ind w:left="357" w:right="227" w:firstLine="510"/>
        <w:jc w:val="center"/>
        <w:rPr>
          <w:rFonts w:ascii="Times New Roman" w:hAnsi="Times New Roman" w:eastAsia="Times New Roman" w:cs="Times New Roman"/>
          <w:sz w:val="24"/>
          <w:szCs w:val="24"/>
          <w:lang w:eastAsia="ru-RU"/>
        </w:rPr>
      </w:pPr>
      <w:r>
        <w:rPr/>
        <w:drawing>
          <wp:inline distT="0" distB="0" distL="0" distR="0">
            <wp:extent cx="2995295" cy="1570990"/>
            <wp:effectExtent l="0" t="0" r="0" b="0"/>
            <wp:docPr id="28"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1" descr=""/>
                    <pic:cNvPicPr>
                      <a:picLocks noChangeAspect="1" noChangeArrowheads="1"/>
                    </pic:cNvPicPr>
                  </pic:nvPicPr>
                  <pic:blipFill>
                    <a:blip r:embed="rId35"/>
                    <a:srcRect l="0" t="0" r="1872" b="0"/>
                    <a:stretch>
                      <a:fillRect/>
                    </a:stretch>
                  </pic:blipFill>
                  <pic:spPr bwMode="auto">
                    <a:xfrm>
                      <a:off x="0" y="0"/>
                      <a:ext cx="2995295" cy="1570990"/>
                    </a:xfrm>
                    <a:prstGeom prst="rect">
                      <a:avLst/>
                    </a:prstGeom>
                  </pic:spPr>
                </pic:pic>
              </a:graphicData>
            </a:graphic>
          </wp:inline>
        </w:drawing>
      </w:r>
    </w:p>
    <w:p>
      <w:pPr>
        <w:pStyle w:val="Normal"/>
        <w:spacing w:lineRule="auto" w:line="240"/>
        <w:ind w:left="0" w:right="0"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sz w:val="24"/>
          <w:szCs w:val="20"/>
          <w:lang w:eastAsia="ru-RU"/>
        </w:rPr>
        <w:t>Рисунок 3.19 – Общий вид ГНСС приёмника Leica GR30</w:t>
      </w:r>
    </w:p>
    <w:p>
      <w:pPr>
        <w:pStyle w:val="Normal"/>
        <w:spacing w:lineRule="auto" w:line="276" w:before="0" w:after="200"/>
        <w:ind w:left="0" w:right="0" w:hanging="0"/>
        <w:contextualSpacing/>
        <w:jc w:val="left"/>
        <w:rPr>
          <w:rFonts w:ascii="Times New Roman" w:hAnsi="Times New Roman" w:eastAsia="Calibri" w:cs="Arial"/>
          <w:sz w:val="24"/>
          <w:szCs w:val="24"/>
        </w:rPr>
      </w:pPr>
      <w:r>
        <w:rPr>
          <w:rFonts w:eastAsia="Calibri" w:cs="Arial" w:ascii="Times New Roman" w:hAnsi="Times New Roman"/>
          <w:sz w:val="24"/>
          <w:szCs w:val="24"/>
        </w:rPr>
      </w:r>
    </w:p>
    <w:p>
      <w:pPr>
        <w:pStyle w:val="Normal"/>
        <w:spacing w:lineRule="auto" w:line="240" w:before="0" w:after="120"/>
        <w:ind w:left="0" w:right="0" w:hanging="0"/>
        <w:contextualSpacing/>
        <w:rPr>
          <w:rFonts w:ascii="Times New Roman" w:hAnsi="Times New Roman"/>
          <w:sz w:val="24"/>
        </w:rPr>
      </w:pPr>
      <w:r>
        <w:rPr>
          <w:rFonts w:ascii="Times New Roman" w:hAnsi="Times New Roman"/>
          <w:sz w:val="24"/>
        </w:rPr>
        <w:t>Таблица 3.8 – Технические характеристики ГНСС-приёмника Leica GR30</w:t>
      </w:r>
    </w:p>
    <w:tbl>
      <w:tblPr>
        <w:tblW w:w="5000" w:type="pct"/>
        <w:jc w:val="left"/>
        <w:tblInd w:w="0" w:type="dxa"/>
        <w:tblLayout w:type="fixed"/>
        <w:tblCellMar>
          <w:top w:w="0" w:type="dxa"/>
          <w:left w:w="108" w:type="dxa"/>
          <w:bottom w:w="0" w:type="dxa"/>
          <w:right w:w="108" w:type="dxa"/>
        </w:tblCellMar>
      </w:tblPr>
      <w:tblGrid>
        <w:gridCol w:w="2242"/>
        <w:gridCol w:w="6828"/>
      </w:tblGrid>
      <w:tr>
        <w:trPr>
          <w:tblHeader w:val="true"/>
          <w:trHeight w:val="765" w:hRule="atLeast"/>
        </w:trPr>
        <w:tc>
          <w:tcPr>
            <w:tcW w:w="22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Наименование</w:t>
            </w:r>
          </w:p>
        </w:tc>
        <w:tc>
          <w:tcPr>
            <w:tcW w:w="68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Характеристика</w:t>
            </w:r>
          </w:p>
        </w:tc>
      </w:tr>
      <w:tr>
        <w:trPr/>
        <w:tc>
          <w:tcPr>
            <w:tcW w:w="22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GNSS технологии</w:t>
            </w:r>
          </w:p>
        </w:tc>
        <w:tc>
          <w:tcPr>
            <w:tcW w:w="68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Запатентованная технология Leica SmartTrack+:</w:t>
            </w:r>
          </w:p>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-Точные измерения фазы несущей всех GNSS систем (СКО&lt;0,5 мм)</w:t>
            </w:r>
          </w:p>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Отличное отслеживание низколетящих спутников</w:t>
            </w:r>
          </w:p>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Минимальное время инициализации</w:t>
            </w:r>
          </w:p>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Улучшенное шумоподавление</w:t>
            </w:r>
          </w:p>
        </w:tc>
      </w:tr>
      <w:tr>
        <w:trPr/>
        <w:tc>
          <w:tcPr>
            <w:tcW w:w="22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GNSS Сигналы </w:t>
            </w:r>
          </w:p>
        </w:tc>
        <w:tc>
          <w:tcPr>
            <w:tcW w:w="68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555 универсальных каналов:</w:t>
            </w:r>
          </w:p>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GPS: L1, L2, L2C, L5</w:t>
            </w:r>
          </w:p>
          <w:p>
            <w:pPr>
              <w:pStyle w:val="Normal"/>
              <w:widowControl w:val="false"/>
              <w:spacing w:lineRule="auto" w:line="240"/>
              <w:ind w:left="0" w:right="0" w:hanging="0"/>
              <w:jc w:val="left"/>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t xml:space="preserve">- </w:t>
            </w:r>
            <w:r>
              <w:rPr>
                <w:rFonts w:eastAsia="Times New Roman" w:cs="Times New Roman" w:ascii="Times New Roman" w:hAnsi="Times New Roman"/>
                <w:sz w:val="24"/>
                <w:szCs w:val="24"/>
              </w:rPr>
              <w:t>ГЛОНАСС</w:t>
            </w:r>
            <w:r>
              <w:rPr>
                <w:rFonts w:eastAsia="Times New Roman" w:cs="Times New Roman" w:ascii="Times New Roman" w:hAnsi="Times New Roman"/>
                <w:sz w:val="24"/>
                <w:szCs w:val="24"/>
                <w:lang w:val="en-US"/>
              </w:rPr>
              <w:t>: L1, L2P, L2C</w:t>
            </w:r>
          </w:p>
          <w:p>
            <w:pPr>
              <w:pStyle w:val="Normal"/>
              <w:widowControl w:val="false"/>
              <w:spacing w:lineRule="auto" w:line="240"/>
              <w:ind w:left="0" w:right="0" w:hanging="0"/>
              <w:jc w:val="left"/>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t>- Galileo: E1, E5a, E5b, AltBOC</w:t>
            </w:r>
          </w:p>
          <w:p>
            <w:pPr>
              <w:pStyle w:val="Normal"/>
              <w:widowControl w:val="false"/>
              <w:spacing w:lineRule="auto" w:line="240"/>
              <w:ind w:left="0" w:right="0" w:hanging="0"/>
              <w:jc w:val="left"/>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t>- BeiDou: B1, B2, B3</w:t>
            </w:r>
          </w:p>
          <w:p>
            <w:pPr>
              <w:pStyle w:val="Normal"/>
              <w:widowControl w:val="false"/>
              <w:spacing w:lineRule="auto" w:line="240"/>
              <w:ind w:left="0" w:right="0" w:hanging="0"/>
              <w:jc w:val="left"/>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t>- QZSS: L1, L2C, L5</w:t>
            </w:r>
          </w:p>
          <w:p>
            <w:pPr>
              <w:pStyle w:val="Normal"/>
              <w:widowControl w:val="false"/>
              <w:spacing w:lineRule="auto" w:line="240"/>
              <w:ind w:left="0" w:right="0" w:hanging="0"/>
              <w:jc w:val="left"/>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t>- SBAS: WAAS, EGNOS, GAGAN, MSAS</w:t>
            </w:r>
          </w:p>
        </w:tc>
      </w:tr>
      <w:tr>
        <w:trPr/>
        <w:tc>
          <w:tcPr>
            <w:tcW w:w="22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Web и FTP сервисы</w:t>
            </w:r>
          </w:p>
        </w:tc>
        <w:tc>
          <w:tcPr>
            <w:tcW w:w="68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Управление и настройка через Web-интерфейс;</w:t>
            </w:r>
          </w:p>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Защищенный доступ по HTTPS, SSL сертификатам и блокировка портов;</w:t>
            </w:r>
          </w:p>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FTP сервер и FTP клиент;</w:t>
            </w:r>
          </w:p>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Отправление сообщений по электронной почте (E-Mail)</w:t>
            </w:r>
          </w:p>
        </w:tc>
      </w:tr>
      <w:tr>
        <w:trPr/>
        <w:tc>
          <w:tcPr>
            <w:tcW w:w="22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Дополнительное ПО</w:t>
            </w:r>
          </w:p>
        </w:tc>
        <w:tc>
          <w:tcPr>
            <w:tcW w:w="68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Leica GNSS Spider. Управление одиночными постоянно действующими базовыми станциями и сетями референцных станций.</w:t>
            </w:r>
          </w:p>
        </w:tc>
      </w:tr>
      <w:tr>
        <w:trPr/>
        <w:tc>
          <w:tcPr>
            <w:tcW w:w="22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Запись данных</w:t>
            </w:r>
          </w:p>
        </w:tc>
        <w:tc>
          <w:tcPr>
            <w:tcW w:w="68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Съемная карта память SD объёмом до 32 Гб. Запись до 12 параллельных файлов измерений. Частота записи до 50 Гц. Поддержка форматов RINEX, Hatanaka и Leica MDB с возможностью Zip архивирования.</w:t>
            </w:r>
          </w:p>
        </w:tc>
      </w:tr>
      <w:tr>
        <w:trPr/>
        <w:tc>
          <w:tcPr>
            <w:tcW w:w="22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Передача данных</w:t>
            </w:r>
          </w:p>
        </w:tc>
        <w:tc>
          <w:tcPr>
            <w:tcW w:w="68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До 20 параллельных потоков данных. Частота передачи до 50 Гц. Поддержка форматов Leica, Leica4G, CMR, CMR+, RTCM v2.1/2.2/2.3, RTCM v3.0/3.1/3.2, BINEX, NMEA 0183 v4.0. Передача данных через серийный, USB и TCP/IP порты. Поддержка NTRIP Caster/Client/Server.</w:t>
            </w:r>
          </w:p>
        </w:tc>
      </w:tr>
      <w:tr>
        <w:trPr>
          <w:trHeight w:val="851" w:hRule="atLeast"/>
        </w:trPr>
        <w:tc>
          <w:tcPr>
            <w:tcW w:w="22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Коммуникацион-ный слот</w:t>
            </w:r>
          </w:p>
        </w:tc>
        <w:tc>
          <w:tcPr>
            <w:tcW w:w="68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Установка встроенного Радио или GSM/GPRS модема</w:t>
            </w:r>
          </w:p>
        </w:tc>
      </w:tr>
      <w:tr>
        <w:trPr/>
        <w:tc>
          <w:tcPr>
            <w:tcW w:w="22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Порты и разъемы</w:t>
            </w:r>
          </w:p>
        </w:tc>
        <w:tc>
          <w:tcPr>
            <w:tcW w:w="68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t>1× RJ45, Ethernet</w:t>
            </w:r>
          </w:p>
          <w:p>
            <w:pPr>
              <w:pStyle w:val="Normal"/>
              <w:widowControl w:val="false"/>
              <w:spacing w:lineRule="auto" w:line="240"/>
              <w:ind w:left="0" w:right="0" w:hanging="0"/>
              <w:jc w:val="left"/>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t xml:space="preserve">1× </w:t>
            </w:r>
            <w:r>
              <w:rPr>
                <w:rFonts w:eastAsia="Times New Roman" w:cs="Times New Roman" w:ascii="Times New Roman" w:hAnsi="Times New Roman"/>
                <w:sz w:val="24"/>
                <w:szCs w:val="24"/>
              </w:rPr>
              <w:t>серийный</w:t>
            </w:r>
            <w:r>
              <w:rPr>
                <w:rFonts w:eastAsia="Times New Roman" w:cs="Times New Roman" w:ascii="Times New Roman" w:hAnsi="Times New Roman"/>
                <w:sz w:val="24"/>
                <w:szCs w:val="24"/>
                <w:lang w:val="en-US"/>
              </w:rPr>
              <w:t xml:space="preserve"> </w:t>
            </w:r>
            <w:r>
              <w:rPr>
                <w:rFonts w:eastAsia="Times New Roman" w:cs="Times New Roman" w:ascii="Times New Roman" w:hAnsi="Times New Roman"/>
                <w:sz w:val="24"/>
                <w:szCs w:val="24"/>
              </w:rPr>
              <w:t>порт</w:t>
            </w:r>
            <w:r>
              <w:rPr>
                <w:rFonts w:eastAsia="Times New Roman" w:cs="Times New Roman" w:ascii="Times New Roman" w:hAnsi="Times New Roman"/>
                <w:sz w:val="24"/>
                <w:szCs w:val="24"/>
                <w:lang w:val="en-US"/>
              </w:rPr>
              <w:t xml:space="preserve"> RS232 Lemo</w:t>
            </w:r>
          </w:p>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1× USB клиент (для подключения к ПК) </w:t>
            </w:r>
          </w:p>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1× генератор внешней частоты</w:t>
            </w:r>
          </w:p>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1× порт питания Lemo (одна основная и одна резервная линия питания)</w:t>
            </w:r>
          </w:p>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1× UART &amp; USB (для съемных коммуникационных устройств)</w:t>
            </w:r>
          </w:p>
        </w:tc>
      </w:tr>
      <w:tr>
        <w:trPr>
          <w:trHeight w:val="397" w:hRule="atLeast"/>
        </w:trPr>
        <w:tc>
          <w:tcPr>
            <w:tcW w:w="22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Клавиши</w:t>
            </w:r>
          </w:p>
        </w:tc>
        <w:tc>
          <w:tcPr>
            <w:tcW w:w="68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Клавиша вкл./выкл. И функциональная клавиша</w:t>
            </w:r>
          </w:p>
        </w:tc>
      </w:tr>
      <w:tr>
        <w:trPr/>
        <w:tc>
          <w:tcPr>
            <w:tcW w:w="22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Световые индикаторы</w:t>
            </w:r>
          </w:p>
        </w:tc>
        <w:tc>
          <w:tcPr>
            <w:tcW w:w="68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6 светодиодных индикаторов: питание, запись данных, память, RT выход, RT вход, позиционирование</w:t>
            </w:r>
          </w:p>
        </w:tc>
      </w:tr>
      <w:tr>
        <w:trPr/>
        <w:tc>
          <w:tcPr>
            <w:tcW w:w="22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Напряжение</w:t>
            </w:r>
          </w:p>
        </w:tc>
        <w:tc>
          <w:tcPr>
            <w:tcW w:w="68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Номинальное 12 VDC, диапазон 10,5 – 28 VDC.  Два внешних входа питания.</w:t>
            </w:r>
          </w:p>
        </w:tc>
      </w:tr>
      <w:tr>
        <w:trPr>
          <w:trHeight w:val="397" w:hRule="atLeast"/>
        </w:trPr>
        <w:tc>
          <w:tcPr>
            <w:tcW w:w="22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Энергопотребление</w:t>
            </w:r>
          </w:p>
        </w:tc>
        <w:tc>
          <w:tcPr>
            <w:tcW w:w="68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Типовая потребляемая мощность 3,5 Вт</w:t>
            </w:r>
          </w:p>
        </w:tc>
      </w:tr>
      <w:tr>
        <w:trPr/>
        <w:tc>
          <w:tcPr>
            <w:tcW w:w="22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Температурный диапазон:</w:t>
            </w:r>
          </w:p>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Рабочий</w:t>
            </w:r>
          </w:p>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Хранения</w:t>
            </w:r>
          </w:p>
        </w:tc>
        <w:tc>
          <w:tcPr>
            <w:tcW w:w="68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-40ºС - +65ºС</w:t>
            </w:r>
          </w:p>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-40ºС - +80ºС</w:t>
            </w:r>
          </w:p>
        </w:tc>
      </w:tr>
      <w:tr>
        <w:trPr/>
        <w:tc>
          <w:tcPr>
            <w:tcW w:w="22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Влажность</w:t>
            </w:r>
          </w:p>
        </w:tc>
        <w:tc>
          <w:tcPr>
            <w:tcW w:w="68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100%, соответствует ISO9022-13-06. ISO9022-12-04 и MIL STD 810G – 507.4-I</w:t>
            </w:r>
          </w:p>
        </w:tc>
      </w:tr>
      <w:tr>
        <w:trPr>
          <w:trHeight w:val="397" w:hRule="atLeast"/>
        </w:trPr>
        <w:tc>
          <w:tcPr>
            <w:tcW w:w="22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Масса</w:t>
            </w:r>
          </w:p>
        </w:tc>
        <w:tc>
          <w:tcPr>
            <w:tcW w:w="68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1,67 кг</w:t>
            </w:r>
          </w:p>
        </w:tc>
      </w:tr>
      <w:tr>
        <w:trPr>
          <w:trHeight w:val="397" w:hRule="atLeast"/>
        </w:trPr>
        <w:tc>
          <w:tcPr>
            <w:tcW w:w="22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Размеры </w:t>
            </w:r>
          </w:p>
        </w:tc>
        <w:tc>
          <w:tcPr>
            <w:tcW w:w="68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220 × 200 × 94 мм</w:t>
            </w:r>
          </w:p>
        </w:tc>
      </w:tr>
      <w:tr>
        <w:trPr/>
        <w:tc>
          <w:tcPr>
            <w:tcW w:w="22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Защита от воды, песка и пыли</w:t>
            </w:r>
          </w:p>
        </w:tc>
        <w:tc>
          <w:tcPr>
            <w:tcW w:w="68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t xml:space="preserve">IP67 </w:t>
            </w:r>
            <w:r>
              <w:rPr>
                <w:rFonts w:eastAsia="Times New Roman" w:cs="Times New Roman" w:ascii="Times New Roman" w:hAnsi="Times New Roman"/>
                <w:sz w:val="24"/>
                <w:szCs w:val="24"/>
              </w:rPr>
              <w:t>в</w:t>
            </w:r>
            <w:r>
              <w:rPr>
                <w:rFonts w:eastAsia="Times New Roman" w:cs="Times New Roman" w:ascii="Times New Roman" w:hAnsi="Times New Roman"/>
                <w:sz w:val="24"/>
                <w:szCs w:val="24"/>
                <w:lang w:val="en-US"/>
              </w:rPr>
              <w:t xml:space="preserve"> </w:t>
            </w:r>
            <w:r>
              <w:rPr>
                <w:rFonts w:eastAsia="Times New Roman" w:cs="Times New Roman" w:ascii="Times New Roman" w:hAnsi="Times New Roman"/>
                <w:sz w:val="24"/>
                <w:szCs w:val="24"/>
              </w:rPr>
              <w:t>соответствии</w:t>
            </w:r>
            <w:r>
              <w:rPr>
                <w:rFonts w:eastAsia="Times New Roman" w:cs="Times New Roman" w:ascii="Times New Roman" w:hAnsi="Times New Roman"/>
                <w:sz w:val="24"/>
                <w:szCs w:val="24"/>
                <w:lang w:val="en-US"/>
              </w:rPr>
              <w:t xml:space="preserve"> IEC60529 </w:t>
            </w:r>
            <w:r>
              <w:rPr>
                <w:rFonts w:eastAsia="Times New Roman" w:cs="Times New Roman" w:ascii="Times New Roman" w:hAnsi="Times New Roman"/>
                <w:sz w:val="24"/>
                <w:szCs w:val="24"/>
              </w:rPr>
              <w:t>и</w:t>
            </w:r>
            <w:r>
              <w:rPr>
                <w:rFonts w:eastAsia="Times New Roman" w:cs="Times New Roman" w:ascii="Times New Roman" w:hAnsi="Times New Roman"/>
                <w:sz w:val="24"/>
                <w:szCs w:val="24"/>
                <w:lang w:val="en-US"/>
              </w:rPr>
              <w:t xml:space="preserve"> MIL STD 810F – 506.4-I, MIL STD 810F – 510.4-I </w:t>
            </w:r>
            <w:r>
              <w:rPr>
                <w:rFonts w:eastAsia="Times New Roman" w:cs="Times New Roman" w:ascii="Times New Roman" w:hAnsi="Times New Roman"/>
                <w:sz w:val="24"/>
                <w:szCs w:val="24"/>
              </w:rPr>
              <w:t>и</w:t>
            </w:r>
            <w:r>
              <w:rPr>
                <w:rFonts w:eastAsia="Times New Roman" w:cs="Times New Roman" w:ascii="Times New Roman" w:hAnsi="Times New Roman"/>
                <w:sz w:val="24"/>
                <w:szCs w:val="24"/>
                <w:lang w:val="en-US"/>
              </w:rPr>
              <w:t xml:space="preserve"> MIL STD 810F – 512.4-I</w:t>
            </w:r>
          </w:p>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Защита от брызг, песка и пыли. Защита от кратковременного погружения в воду на глубину до 1 м</w:t>
            </w:r>
          </w:p>
        </w:tc>
      </w:tr>
    </w:tbl>
    <w:p>
      <w:pPr>
        <w:pStyle w:val="Normal"/>
        <w:ind w:left="284" w:right="22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ind w:left="284" w:right="227" w:hanging="0"/>
        <w:jc w:val="center"/>
        <w:rPr>
          <w:rFonts w:ascii="Times New Roman" w:hAnsi="Times New Roman" w:eastAsia="Times New Roman" w:cs="Times New Roman"/>
          <w:sz w:val="24"/>
          <w:szCs w:val="24"/>
          <w:lang w:eastAsia="ru-RU"/>
        </w:rPr>
      </w:pPr>
      <w:r>
        <w:rPr/>
        <w:drawing>
          <wp:inline distT="0" distB="0" distL="0" distR="0">
            <wp:extent cx="3140710" cy="1835785"/>
            <wp:effectExtent l="0" t="0" r="0" b="0"/>
            <wp:docPr id="29" name="Рисунок 7" descr="b989662cefbb3a29c89d91b665046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7" descr="b989662cefbb3a29c89d91b665046271"/>
                    <pic:cNvPicPr>
                      <a:picLocks noChangeAspect="1" noChangeArrowheads="1"/>
                    </pic:cNvPicPr>
                  </pic:nvPicPr>
                  <pic:blipFill>
                    <a:blip r:embed="rId36"/>
                    <a:srcRect l="0" t="25441" r="0" b="24241"/>
                    <a:stretch>
                      <a:fillRect/>
                    </a:stretch>
                  </pic:blipFill>
                  <pic:spPr bwMode="auto">
                    <a:xfrm>
                      <a:off x="0" y="0"/>
                      <a:ext cx="3140710" cy="1835785"/>
                    </a:xfrm>
                    <a:prstGeom prst="rect">
                      <a:avLst/>
                    </a:prstGeom>
                  </pic:spPr>
                </pic:pic>
              </a:graphicData>
            </a:graphic>
          </wp:inline>
        </w:drawing>
      </w:r>
    </w:p>
    <w:p>
      <w:pPr>
        <w:pStyle w:val="Normal"/>
        <w:spacing w:lineRule="auto" w:line="240"/>
        <w:ind w:left="0" w:right="0"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sz w:val="24"/>
          <w:szCs w:val="20"/>
          <w:lang w:eastAsia="ru-RU"/>
        </w:rPr>
        <w:t>Рисунок 3.20 – Общий вид ГНСС антенны AR25 Choke Ring</w:t>
      </w:r>
    </w:p>
    <w:p>
      <w:pPr>
        <w:pStyle w:val="Normal"/>
        <w:tabs>
          <w:tab w:val="clear" w:pos="708"/>
          <w:tab w:val="left" w:pos="0" w:leader="none"/>
        </w:tabs>
        <w:overflowPunct w:val="false"/>
        <w:ind w:left="0" w:right="0" w:hanging="0"/>
        <w:textAlignment w:val="baseline"/>
        <w:rPr>
          <w:rFonts w:ascii="Times New Roman" w:hAnsi="Times New Roman" w:eastAsia="Calibri" w:cs="Arial"/>
          <w:sz w:val="24"/>
          <w:szCs w:val="24"/>
        </w:rPr>
      </w:pPr>
      <w:r>
        <w:rPr>
          <w:rFonts w:eastAsia="Calibri" w:cs="Arial" w:ascii="Times New Roman" w:hAnsi="Times New Roman"/>
          <w:sz w:val="24"/>
          <w:szCs w:val="24"/>
        </w:rPr>
      </w:r>
    </w:p>
    <w:p>
      <w:pPr>
        <w:pStyle w:val="Normal"/>
        <w:spacing w:lineRule="auto" w:line="240" w:before="0" w:after="120"/>
        <w:ind w:left="0" w:right="0" w:hanging="0"/>
        <w:contextualSpacing/>
        <w:rPr>
          <w:rFonts w:ascii="Times New Roman" w:hAnsi="Times New Roman"/>
          <w:sz w:val="24"/>
        </w:rPr>
      </w:pPr>
      <w:r>
        <w:rPr>
          <w:rFonts w:ascii="Times New Roman" w:hAnsi="Times New Roman"/>
          <w:sz w:val="24"/>
        </w:rPr>
        <w:t xml:space="preserve">Таблица 3.9 – Технические характеристики ГНСС-антенны Leica AR25 Choke Ring </w:t>
      </w:r>
    </w:p>
    <w:tbl>
      <w:tblPr>
        <w:tblW w:w="5000" w:type="pct"/>
        <w:jc w:val="left"/>
        <w:tblInd w:w="0" w:type="dxa"/>
        <w:tblLayout w:type="fixed"/>
        <w:tblCellMar>
          <w:top w:w="0" w:type="dxa"/>
          <w:left w:w="108" w:type="dxa"/>
          <w:bottom w:w="0" w:type="dxa"/>
          <w:right w:w="108" w:type="dxa"/>
        </w:tblCellMar>
      </w:tblPr>
      <w:tblGrid>
        <w:gridCol w:w="2977"/>
        <w:gridCol w:w="6093"/>
      </w:tblGrid>
      <w:tr>
        <w:trPr>
          <w:tblHeader w:val="true"/>
          <w:trHeight w:val="765" w:hRule="atLeast"/>
        </w:trPr>
        <w:tc>
          <w:tcPr>
            <w:tcW w:w="29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Наименование</w:t>
            </w:r>
          </w:p>
        </w:tc>
        <w:tc>
          <w:tcPr>
            <w:tcW w:w="60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Характеристика</w:t>
            </w:r>
          </w:p>
        </w:tc>
      </w:tr>
      <w:tr>
        <w:trPr/>
        <w:tc>
          <w:tcPr>
            <w:tcW w:w="29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Тип антенны</w:t>
            </w:r>
          </w:p>
        </w:tc>
        <w:tc>
          <w:tcPr>
            <w:tcW w:w="60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Спутниковая геодезическая антенна типа Choke Ring с 3D кольцами и элементом Dorne-Margolin</w:t>
            </w:r>
          </w:p>
        </w:tc>
      </w:tr>
      <w:tr>
        <w:trPr/>
        <w:tc>
          <w:tcPr>
            <w:tcW w:w="29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Приём сигналов </w:t>
            </w:r>
          </w:p>
        </w:tc>
        <w:tc>
          <w:tcPr>
            <w:tcW w:w="6093"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14"/>
              </w:numPr>
              <w:tabs>
                <w:tab w:val="clear" w:pos="708"/>
                <w:tab w:val="left" w:pos="0" w:leader="none"/>
                <w:tab w:val="left" w:pos="259" w:leader="none"/>
              </w:tabs>
              <w:spacing w:lineRule="auto" w:line="240"/>
              <w:ind w:left="-167" w:right="0" w:firstLine="142"/>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ГНСС: L1, L2, L5</w:t>
            </w:r>
          </w:p>
          <w:p>
            <w:pPr>
              <w:pStyle w:val="Normal"/>
              <w:widowControl w:val="false"/>
              <w:numPr>
                <w:ilvl w:val="0"/>
                <w:numId w:val="14"/>
              </w:numPr>
              <w:tabs>
                <w:tab w:val="clear" w:pos="708"/>
                <w:tab w:val="left" w:pos="0" w:leader="none"/>
                <w:tab w:val="left" w:pos="259" w:leader="none"/>
              </w:tabs>
              <w:spacing w:lineRule="auto" w:line="240"/>
              <w:ind w:left="-167" w:right="0" w:firstLine="142"/>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GLONASS: L1, L2, L3</w:t>
            </w:r>
          </w:p>
          <w:p>
            <w:pPr>
              <w:pStyle w:val="Normal"/>
              <w:widowControl w:val="false"/>
              <w:numPr>
                <w:ilvl w:val="0"/>
                <w:numId w:val="14"/>
              </w:numPr>
              <w:tabs>
                <w:tab w:val="clear" w:pos="708"/>
                <w:tab w:val="left" w:pos="0" w:leader="none"/>
                <w:tab w:val="left" w:pos="259" w:leader="none"/>
              </w:tabs>
              <w:spacing w:lineRule="auto" w:line="240"/>
              <w:ind w:left="-167" w:right="0" w:firstLine="142"/>
              <w:jc w:val="left"/>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t xml:space="preserve">Galileo: E2-L1-E1, E5a, E5b, E6, AltBOC </w:t>
            </w:r>
          </w:p>
          <w:p>
            <w:pPr>
              <w:pStyle w:val="Normal"/>
              <w:widowControl w:val="false"/>
              <w:numPr>
                <w:ilvl w:val="0"/>
                <w:numId w:val="14"/>
              </w:numPr>
              <w:tabs>
                <w:tab w:val="clear" w:pos="708"/>
                <w:tab w:val="left" w:pos="0" w:leader="none"/>
                <w:tab w:val="left" w:pos="259" w:leader="none"/>
              </w:tabs>
              <w:spacing w:lineRule="auto" w:line="240"/>
              <w:ind w:left="-167" w:right="0" w:firstLine="142"/>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Compass: B1, B2, B3, L5</w:t>
            </w:r>
          </w:p>
          <w:p>
            <w:pPr>
              <w:pStyle w:val="Normal"/>
              <w:widowControl w:val="false"/>
              <w:numPr>
                <w:ilvl w:val="0"/>
                <w:numId w:val="14"/>
              </w:numPr>
              <w:tabs>
                <w:tab w:val="clear" w:pos="708"/>
                <w:tab w:val="left" w:pos="0" w:leader="none"/>
                <w:tab w:val="left" w:pos="259" w:leader="none"/>
              </w:tabs>
              <w:spacing w:lineRule="auto" w:line="240"/>
              <w:ind w:left="-167" w:right="0" w:firstLine="142"/>
              <w:jc w:val="left"/>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t>L-Band (</w:t>
            </w:r>
            <w:r>
              <w:rPr>
                <w:rFonts w:eastAsia="Times New Roman" w:cs="Times New Roman" w:ascii="Times New Roman" w:hAnsi="Times New Roman"/>
                <w:sz w:val="24"/>
                <w:szCs w:val="24"/>
              </w:rPr>
              <w:t>вкл</w:t>
            </w:r>
            <w:r>
              <w:rPr>
                <w:rFonts w:eastAsia="Times New Roman" w:cs="Times New Roman" w:ascii="Times New Roman" w:hAnsi="Times New Roman"/>
                <w:sz w:val="24"/>
                <w:szCs w:val="24"/>
                <w:lang w:val="en-US"/>
              </w:rPr>
              <w:t xml:space="preserve">. SBAS, OmniSTAR </w:t>
            </w:r>
            <w:r>
              <w:rPr>
                <w:rFonts w:eastAsia="Times New Roman" w:cs="Times New Roman" w:ascii="Times New Roman" w:hAnsi="Times New Roman"/>
                <w:sz w:val="24"/>
                <w:szCs w:val="24"/>
              </w:rPr>
              <w:t>и</w:t>
            </w:r>
            <w:r>
              <w:rPr>
                <w:rFonts w:eastAsia="Times New Roman" w:cs="Times New Roman" w:ascii="Times New Roman" w:hAnsi="Times New Roman"/>
                <w:sz w:val="24"/>
                <w:szCs w:val="24"/>
                <w:lang w:val="en-US"/>
              </w:rPr>
              <w:t xml:space="preserve"> CD</w:t>
            </w:r>
            <w:r>
              <w:rPr>
                <w:rFonts w:eastAsia="Times New Roman" w:cs="Times New Roman" w:ascii="Times New Roman" w:hAnsi="Times New Roman"/>
                <w:sz w:val="24"/>
                <w:szCs w:val="24"/>
              </w:rPr>
              <w:t>ГНСС</w:t>
            </w:r>
            <w:r>
              <w:rPr>
                <w:rFonts w:eastAsia="Times New Roman" w:cs="Times New Roman" w:ascii="Times New Roman" w:hAnsi="Times New Roman"/>
                <w:sz w:val="24"/>
                <w:szCs w:val="24"/>
                <w:lang w:val="en-US"/>
              </w:rPr>
              <w:t>)</w:t>
            </w:r>
          </w:p>
        </w:tc>
      </w:tr>
      <w:tr>
        <w:trPr>
          <w:trHeight w:val="397" w:hRule="atLeast"/>
        </w:trPr>
        <w:tc>
          <w:tcPr>
            <w:tcW w:w="29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Размеры</w:t>
            </w:r>
          </w:p>
        </w:tc>
        <w:tc>
          <w:tcPr>
            <w:tcW w:w="60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380 × 200 мм</w:t>
            </w:r>
          </w:p>
        </w:tc>
      </w:tr>
      <w:tr>
        <w:trPr>
          <w:trHeight w:val="397" w:hRule="atLeast"/>
        </w:trPr>
        <w:tc>
          <w:tcPr>
            <w:tcW w:w="29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Масса</w:t>
            </w:r>
          </w:p>
        </w:tc>
        <w:tc>
          <w:tcPr>
            <w:tcW w:w="60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7,6 кг</w:t>
            </w:r>
          </w:p>
        </w:tc>
      </w:tr>
      <w:tr>
        <w:trPr>
          <w:trHeight w:val="397" w:hRule="atLeast"/>
        </w:trPr>
        <w:tc>
          <w:tcPr>
            <w:tcW w:w="29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Напряжение питания</w:t>
            </w:r>
          </w:p>
        </w:tc>
        <w:tc>
          <w:tcPr>
            <w:tcW w:w="60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3.3 – 12 VDC</w:t>
            </w:r>
          </w:p>
        </w:tc>
      </w:tr>
      <w:tr>
        <w:trPr>
          <w:trHeight w:val="397" w:hRule="atLeast"/>
        </w:trPr>
        <w:tc>
          <w:tcPr>
            <w:tcW w:w="29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Тип разъёма</w:t>
            </w:r>
          </w:p>
        </w:tc>
        <w:tc>
          <w:tcPr>
            <w:tcW w:w="60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Тип N с адаптером TNC</w:t>
            </w:r>
          </w:p>
        </w:tc>
      </w:tr>
      <w:tr>
        <w:trPr/>
        <w:tc>
          <w:tcPr>
            <w:tcW w:w="29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Номинальное волновое сопротивление</w:t>
            </w:r>
          </w:p>
        </w:tc>
        <w:tc>
          <w:tcPr>
            <w:tcW w:w="60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50 Ом</w:t>
            </w:r>
          </w:p>
        </w:tc>
      </w:tr>
      <w:tr>
        <w:trPr>
          <w:trHeight w:val="397" w:hRule="atLeast"/>
        </w:trPr>
        <w:tc>
          <w:tcPr>
            <w:tcW w:w="29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Коэффициент Усиление</w:t>
            </w:r>
          </w:p>
        </w:tc>
        <w:tc>
          <w:tcPr>
            <w:tcW w:w="60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типовое 40 дБ</w:t>
            </w:r>
          </w:p>
        </w:tc>
      </w:tr>
      <w:tr>
        <w:trPr>
          <w:trHeight w:val="397" w:hRule="atLeast"/>
        </w:trPr>
        <w:tc>
          <w:tcPr>
            <w:tcW w:w="29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Коэффициент шума </w:t>
            </w:r>
          </w:p>
        </w:tc>
        <w:tc>
          <w:tcPr>
            <w:tcW w:w="60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0.5 – 1.2 дБ</w:t>
            </w:r>
          </w:p>
        </w:tc>
      </w:tr>
      <w:tr>
        <w:trPr/>
        <w:tc>
          <w:tcPr>
            <w:tcW w:w="29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Температурный диапазон: </w:t>
            </w:r>
          </w:p>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Рабочий       </w:t>
            </w:r>
          </w:p>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Хранения</w:t>
            </w:r>
          </w:p>
        </w:tc>
        <w:tc>
          <w:tcPr>
            <w:tcW w:w="6093"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720" w:leader="none"/>
              </w:tabs>
              <w:overflowPunct w:val="false"/>
              <w:spacing w:lineRule="auto" w:line="240"/>
              <w:ind w:left="0" w:right="0" w:firstLine="60"/>
              <w:jc w:val="left"/>
              <w:textAlignment w:val="baseline"/>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08"/>
                <w:tab w:val="left" w:pos="720" w:leader="none"/>
              </w:tabs>
              <w:overflowPunct w:val="false"/>
              <w:spacing w:lineRule="auto" w:line="240"/>
              <w:ind w:left="0" w:right="0" w:firstLine="60"/>
              <w:jc w:val="left"/>
              <w:textAlignment w:val="baseline"/>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08"/>
                <w:tab w:val="left" w:pos="720" w:leader="none"/>
              </w:tabs>
              <w:overflowPunct w:val="false"/>
              <w:spacing w:lineRule="auto" w:line="240"/>
              <w:ind w:left="0" w:right="0" w:hanging="0"/>
              <w:jc w:val="left"/>
              <w:textAlignment w:val="baseline"/>
              <w:rPr>
                <w:rFonts w:ascii="Times New Roman" w:hAnsi="Times New Roman" w:eastAsia="Times New Roman" w:cs="Times New Roman"/>
                <w:sz w:val="24"/>
                <w:szCs w:val="24"/>
              </w:rPr>
            </w:pPr>
            <w:r>
              <w:rPr>
                <w:rFonts w:eastAsia="Times New Roman" w:cs="Times New Roman" w:ascii="Times New Roman" w:hAnsi="Times New Roman"/>
                <w:sz w:val="24"/>
                <w:szCs w:val="24"/>
              </w:rPr>
              <w:t>От -55° C до +85°C</w:t>
            </w:r>
          </w:p>
          <w:p>
            <w:pPr>
              <w:pStyle w:val="Normal"/>
              <w:widowControl w:val="false"/>
              <w:tabs>
                <w:tab w:val="clear" w:pos="708"/>
                <w:tab w:val="left" w:pos="720" w:leader="none"/>
              </w:tabs>
              <w:overflowPunct w:val="false"/>
              <w:spacing w:lineRule="auto" w:line="240"/>
              <w:ind w:left="0" w:right="0" w:hanging="0"/>
              <w:jc w:val="left"/>
              <w:textAlignment w:val="baseline"/>
              <w:rPr>
                <w:rFonts w:ascii="Times New Roman" w:hAnsi="Times New Roman" w:eastAsia="Times New Roman" w:cs="Times New Roman"/>
                <w:sz w:val="24"/>
                <w:szCs w:val="24"/>
              </w:rPr>
            </w:pPr>
            <w:r>
              <w:rPr>
                <w:rFonts w:eastAsia="Times New Roman" w:cs="Times New Roman" w:ascii="Times New Roman" w:hAnsi="Times New Roman"/>
                <w:sz w:val="24"/>
                <w:szCs w:val="24"/>
              </w:rPr>
              <w:t>От -55° C до +90°C</w:t>
            </w:r>
          </w:p>
        </w:tc>
      </w:tr>
      <w:tr>
        <w:trPr/>
        <w:tc>
          <w:tcPr>
            <w:tcW w:w="29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Защита от воздействия внешних факторов</w:t>
            </w:r>
          </w:p>
        </w:tc>
        <w:tc>
          <w:tcPr>
            <w:tcW w:w="60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15"/>
              </w:numPr>
              <w:tabs>
                <w:tab w:val="clear" w:pos="708"/>
                <w:tab w:val="left" w:pos="0" w:leader="none"/>
                <w:tab w:val="left" w:pos="138" w:leader="none"/>
                <w:tab w:val="left" w:pos="280" w:leader="none"/>
                <w:tab w:val="left" w:pos="400" w:leader="none"/>
              </w:tabs>
              <w:spacing w:lineRule="auto" w:line="240"/>
              <w:ind w:left="0" w:right="0" w:firstLine="6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Влажность: до 100%;</w:t>
            </w:r>
          </w:p>
          <w:p>
            <w:pPr>
              <w:pStyle w:val="Normal"/>
              <w:widowControl w:val="false"/>
              <w:numPr>
                <w:ilvl w:val="0"/>
                <w:numId w:val="15"/>
              </w:numPr>
              <w:tabs>
                <w:tab w:val="clear" w:pos="708"/>
                <w:tab w:val="left" w:pos="0" w:leader="none"/>
                <w:tab w:val="left" w:pos="138" w:leader="none"/>
                <w:tab w:val="left" w:pos="280" w:leader="none"/>
                <w:tab w:val="left" w:pos="400" w:leader="none"/>
              </w:tabs>
              <w:spacing w:lineRule="auto" w:line="240"/>
              <w:ind w:left="0" w:right="0" w:firstLine="6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Защита от дождя, пыли, песка, ветра: IP67;</w:t>
            </w:r>
          </w:p>
          <w:p>
            <w:pPr>
              <w:pStyle w:val="Normal"/>
              <w:widowControl w:val="false"/>
              <w:numPr>
                <w:ilvl w:val="0"/>
                <w:numId w:val="15"/>
              </w:numPr>
              <w:tabs>
                <w:tab w:val="clear" w:pos="708"/>
                <w:tab w:val="left" w:pos="0" w:leader="none"/>
                <w:tab w:val="left" w:pos="138" w:leader="none"/>
                <w:tab w:val="left" w:pos="280" w:leader="none"/>
                <w:tab w:val="left" w:pos="400" w:leader="none"/>
              </w:tabs>
              <w:spacing w:lineRule="auto" w:line="240"/>
              <w:ind w:left="0" w:right="0" w:firstLine="6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Водонепроницаемость при кратковременном погружении в воду на глубину до 1 м</w:t>
            </w:r>
          </w:p>
        </w:tc>
      </w:tr>
      <w:tr>
        <w:trPr>
          <w:trHeight w:val="397" w:hRule="atLeast"/>
        </w:trPr>
        <w:tc>
          <w:tcPr>
            <w:tcW w:w="29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Аксессуары</w:t>
            </w:r>
          </w:p>
        </w:tc>
        <w:tc>
          <w:tcPr>
            <w:tcW w:w="60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Защитный колпак (обтекатель)</w:t>
            </w:r>
          </w:p>
        </w:tc>
      </w:tr>
    </w:tbl>
    <w:p>
      <w:pPr>
        <w:pStyle w:val="Normal"/>
        <w:ind w:left="142" w:right="22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ind w:left="142" w:right="227" w:hanging="0"/>
        <w:jc w:val="center"/>
        <w:rPr>
          <w:rFonts w:ascii="Times New Roman" w:hAnsi="Times New Roman" w:eastAsia="Times New Roman" w:cs="Times New Roman"/>
          <w:sz w:val="24"/>
          <w:szCs w:val="24"/>
          <w:lang w:eastAsia="ru-RU"/>
        </w:rPr>
      </w:pPr>
      <w:r>
        <w:rPr/>
        <w:drawing>
          <wp:inline distT="0" distB="0" distL="0" distR="0">
            <wp:extent cx="2974975" cy="1777365"/>
            <wp:effectExtent l="0" t="0" r="0" b="0"/>
            <wp:docPr id="30" name="Рисунок 228" descr="7a62a97a242112649ed65eed7435d2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228" descr="7a62a97a242112649ed65eed7435d29a"/>
                    <pic:cNvPicPr>
                      <a:picLocks noChangeAspect="1" noChangeArrowheads="1"/>
                    </pic:cNvPicPr>
                  </pic:nvPicPr>
                  <pic:blipFill>
                    <a:blip r:embed="rId37"/>
                    <a:srcRect l="0" t="21007" r="0" b="19328"/>
                    <a:stretch>
                      <a:fillRect/>
                    </a:stretch>
                  </pic:blipFill>
                  <pic:spPr bwMode="auto">
                    <a:xfrm>
                      <a:off x="0" y="0"/>
                      <a:ext cx="2974975" cy="1777365"/>
                    </a:xfrm>
                    <a:prstGeom prst="rect">
                      <a:avLst/>
                    </a:prstGeom>
                  </pic:spPr>
                </pic:pic>
              </a:graphicData>
            </a:graphic>
          </wp:inline>
        </w:drawing>
      </w:r>
    </w:p>
    <w:p>
      <w:pPr>
        <w:pStyle w:val="Normal"/>
        <w:spacing w:lineRule="auto" w:line="240"/>
        <w:ind w:left="0" w:right="0"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sz w:val="24"/>
          <w:szCs w:val="20"/>
          <w:lang w:eastAsia="ru-RU"/>
        </w:rPr>
        <w:t>Рисунок 3.21 – Общий вид ГНСС-антенны Leica AR10</w:t>
      </w:r>
    </w:p>
    <w:p>
      <w:pPr>
        <w:pStyle w:val="Normal"/>
        <w:spacing w:lineRule="auto" w:line="240"/>
        <w:ind w:left="0" w:right="0"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sz w:val="24"/>
          <w:szCs w:val="20"/>
          <w:lang w:eastAsia="ru-RU"/>
        </w:rPr>
      </w:r>
    </w:p>
    <w:p>
      <w:pPr>
        <w:pStyle w:val="Normal"/>
        <w:spacing w:lineRule="auto" w:line="240" w:before="0" w:after="120"/>
        <w:ind w:left="0" w:right="0" w:hanging="0"/>
        <w:contextualSpacing/>
        <w:rPr>
          <w:rFonts w:ascii="Times New Roman" w:hAnsi="Times New Roman"/>
          <w:sz w:val="24"/>
        </w:rPr>
      </w:pPr>
      <w:r>
        <w:rPr>
          <w:rFonts w:ascii="Times New Roman" w:hAnsi="Times New Roman"/>
          <w:sz w:val="24"/>
        </w:rPr>
        <w:t>Таблица 3.10 – Технические характеристики ГНСС-антенны Leica AR10</w:t>
      </w:r>
    </w:p>
    <w:tbl>
      <w:tblPr>
        <w:tblW w:w="5000" w:type="pct"/>
        <w:jc w:val="center"/>
        <w:tblInd w:w="0" w:type="dxa"/>
        <w:tblLayout w:type="fixed"/>
        <w:tblCellMar>
          <w:top w:w="0" w:type="dxa"/>
          <w:left w:w="108" w:type="dxa"/>
          <w:bottom w:w="0" w:type="dxa"/>
          <w:right w:w="108" w:type="dxa"/>
        </w:tblCellMar>
      </w:tblPr>
      <w:tblGrid>
        <w:gridCol w:w="4673"/>
        <w:gridCol w:w="4397"/>
      </w:tblGrid>
      <w:tr>
        <w:trPr>
          <w:tblHeader w:val="true"/>
          <w:trHeight w:val="765" w:hRule="atLeast"/>
        </w:trPr>
        <w:tc>
          <w:tcPr>
            <w:tcW w:w="46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Наименование</w:t>
            </w:r>
          </w:p>
        </w:tc>
        <w:tc>
          <w:tcPr>
            <w:tcW w:w="43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Характеристика</w:t>
            </w:r>
          </w:p>
        </w:tc>
      </w:tr>
      <w:tr>
        <w:trPr>
          <w:trHeight w:val="510" w:hRule="atLeast"/>
        </w:trPr>
        <w:tc>
          <w:tcPr>
            <w:tcW w:w="46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Тип</w:t>
            </w:r>
          </w:p>
        </w:tc>
        <w:tc>
          <w:tcPr>
            <w:tcW w:w="43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Антенна с большим встроенным отражающим экраном</w:t>
            </w:r>
          </w:p>
        </w:tc>
      </w:tr>
      <w:tr>
        <w:trPr>
          <w:trHeight w:val="397" w:hRule="atLeast"/>
        </w:trPr>
        <w:tc>
          <w:tcPr>
            <w:tcW w:w="46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Защитный колпак</w:t>
            </w:r>
          </w:p>
        </w:tc>
        <w:tc>
          <w:tcPr>
            <w:tcW w:w="43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Да</w:t>
            </w:r>
          </w:p>
        </w:tc>
      </w:tr>
      <w:tr>
        <w:trPr>
          <w:trHeight w:val="300" w:hRule="atLeast"/>
        </w:trPr>
        <w:tc>
          <w:tcPr>
            <w:tcW w:w="467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Прием сигналов</w:t>
            </w:r>
          </w:p>
        </w:tc>
        <w:tc>
          <w:tcPr>
            <w:tcW w:w="43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GPS: L1, L2 (L2C), L5</w:t>
            </w:r>
          </w:p>
        </w:tc>
      </w:tr>
      <w:tr>
        <w:trPr>
          <w:trHeight w:val="300" w:hRule="atLeast"/>
        </w:trPr>
        <w:tc>
          <w:tcPr>
            <w:tcW w:w="467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43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GLONASS: L1, L2, L3</w:t>
            </w:r>
          </w:p>
        </w:tc>
      </w:tr>
      <w:tr>
        <w:trPr>
          <w:trHeight w:val="300" w:hRule="atLeast"/>
        </w:trPr>
        <w:tc>
          <w:tcPr>
            <w:tcW w:w="467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43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t>Galileo: E1, E5a, E5b, E5a+b (AltBOC), E6</w:t>
            </w:r>
          </w:p>
        </w:tc>
      </w:tr>
      <w:tr>
        <w:trPr>
          <w:trHeight w:val="300" w:hRule="atLeast"/>
        </w:trPr>
        <w:tc>
          <w:tcPr>
            <w:tcW w:w="467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43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Compass: B1, B2, B3</w:t>
            </w:r>
          </w:p>
        </w:tc>
      </w:tr>
      <w:tr>
        <w:trPr>
          <w:trHeight w:val="300" w:hRule="atLeast"/>
        </w:trPr>
        <w:tc>
          <w:tcPr>
            <w:tcW w:w="467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43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t>L-Band: SBAS, OmniSTAR, CDGPS</w:t>
            </w:r>
          </w:p>
        </w:tc>
      </w:tr>
      <w:tr>
        <w:trPr>
          <w:trHeight w:val="397" w:hRule="atLeast"/>
        </w:trPr>
        <w:tc>
          <w:tcPr>
            <w:tcW w:w="46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Размеры (диаметр × высота)</w:t>
            </w:r>
          </w:p>
        </w:tc>
        <w:tc>
          <w:tcPr>
            <w:tcW w:w="43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240 × 140 мм</w:t>
            </w:r>
          </w:p>
        </w:tc>
      </w:tr>
      <w:tr>
        <w:trPr>
          <w:trHeight w:val="397" w:hRule="atLeast"/>
        </w:trPr>
        <w:tc>
          <w:tcPr>
            <w:tcW w:w="46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Вес</w:t>
            </w:r>
          </w:p>
        </w:tc>
        <w:tc>
          <w:tcPr>
            <w:tcW w:w="43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1,1 кг</w:t>
            </w:r>
          </w:p>
        </w:tc>
      </w:tr>
      <w:tr>
        <w:trPr>
          <w:trHeight w:val="397" w:hRule="atLeast"/>
        </w:trPr>
        <w:tc>
          <w:tcPr>
            <w:tcW w:w="46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Напряжение</w:t>
            </w:r>
          </w:p>
        </w:tc>
        <w:tc>
          <w:tcPr>
            <w:tcW w:w="43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3,3 – 12 VDC</w:t>
            </w:r>
          </w:p>
        </w:tc>
      </w:tr>
      <w:tr>
        <w:trPr>
          <w:trHeight w:val="397" w:hRule="atLeast"/>
        </w:trPr>
        <w:tc>
          <w:tcPr>
            <w:tcW w:w="46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Ток потребления</w:t>
            </w:r>
          </w:p>
        </w:tc>
        <w:tc>
          <w:tcPr>
            <w:tcW w:w="43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100 мА</w:t>
            </w:r>
          </w:p>
        </w:tc>
      </w:tr>
      <w:tr>
        <w:trPr>
          <w:trHeight w:val="397" w:hRule="atLeast"/>
        </w:trPr>
        <w:tc>
          <w:tcPr>
            <w:tcW w:w="46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Тип разъема</w:t>
            </w:r>
          </w:p>
        </w:tc>
        <w:tc>
          <w:tcPr>
            <w:tcW w:w="43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TNC (розетка)</w:t>
            </w:r>
          </w:p>
        </w:tc>
      </w:tr>
      <w:tr>
        <w:trPr>
          <w:trHeight w:val="397" w:hRule="atLeast"/>
        </w:trPr>
        <w:tc>
          <w:tcPr>
            <w:tcW w:w="46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Крепление</w:t>
            </w:r>
          </w:p>
        </w:tc>
        <w:tc>
          <w:tcPr>
            <w:tcW w:w="43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Резьба 5/8</w:t>
            </w:r>
          </w:p>
        </w:tc>
      </w:tr>
      <w:tr>
        <w:trPr>
          <w:trHeight w:val="397" w:hRule="atLeast"/>
        </w:trPr>
        <w:tc>
          <w:tcPr>
            <w:tcW w:w="46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Волновое сопротивление, номинальное</w:t>
            </w:r>
          </w:p>
        </w:tc>
        <w:tc>
          <w:tcPr>
            <w:tcW w:w="43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50 Ом</w:t>
            </w:r>
          </w:p>
        </w:tc>
      </w:tr>
      <w:tr>
        <w:trPr>
          <w:trHeight w:val="397" w:hRule="atLeast"/>
        </w:trPr>
        <w:tc>
          <w:tcPr>
            <w:tcW w:w="46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Коэффициент усиления, номинальный</w:t>
            </w:r>
          </w:p>
        </w:tc>
        <w:tc>
          <w:tcPr>
            <w:tcW w:w="43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29 дБ</w:t>
            </w:r>
          </w:p>
        </w:tc>
      </w:tr>
      <w:tr>
        <w:trPr>
          <w:trHeight w:val="397" w:hRule="atLeast"/>
        </w:trPr>
        <w:tc>
          <w:tcPr>
            <w:tcW w:w="46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Коэффициент шума</w:t>
            </w:r>
          </w:p>
        </w:tc>
        <w:tc>
          <w:tcPr>
            <w:tcW w:w="43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&lt; 1,8 дБ</w:t>
            </w:r>
          </w:p>
        </w:tc>
      </w:tr>
      <w:tr>
        <w:trPr>
          <w:trHeight w:val="397" w:hRule="atLeast"/>
        </w:trPr>
        <w:tc>
          <w:tcPr>
            <w:tcW w:w="46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Стабильность фазового центра</w:t>
            </w:r>
          </w:p>
        </w:tc>
        <w:tc>
          <w:tcPr>
            <w:tcW w:w="43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&lt; 1 мм</w:t>
            </w:r>
          </w:p>
        </w:tc>
      </w:tr>
      <w:tr>
        <w:trPr>
          <w:trHeight w:val="397" w:hRule="atLeast"/>
        </w:trPr>
        <w:tc>
          <w:tcPr>
            <w:tcW w:w="46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Рабочий температурный диапазон</w:t>
            </w:r>
          </w:p>
        </w:tc>
        <w:tc>
          <w:tcPr>
            <w:tcW w:w="43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От -40°C до +70°C</w:t>
            </w:r>
          </w:p>
        </w:tc>
      </w:tr>
      <w:tr>
        <w:trPr>
          <w:trHeight w:val="397" w:hRule="atLeast"/>
        </w:trPr>
        <w:tc>
          <w:tcPr>
            <w:tcW w:w="46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Температурный диапазон хранения</w:t>
            </w:r>
          </w:p>
        </w:tc>
        <w:tc>
          <w:tcPr>
            <w:tcW w:w="43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От -55°C до +85°C</w:t>
            </w:r>
          </w:p>
        </w:tc>
      </w:tr>
      <w:tr>
        <w:trPr>
          <w:trHeight w:val="397" w:hRule="atLeast"/>
        </w:trPr>
        <w:tc>
          <w:tcPr>
            <w:tcW w:w="46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Влажность</w:t>
            </w:r>
          </w:p>
        </w:tc>
        <w:tc>
          <w:tcPr>
            <w:tcW w:w="43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До 100%</w:t>
            </w:r>
          </w:p>
        </w:tc>
      </w:tr>
      <w:tr>
        <w:trPr>
          <w:trHeight w:val="397" w:hRule="atLeast"/>
        </w:trPr>
        <w:tc>
          <w:tcPr>
            <w:tcW w:w="46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Защита от дождя, пыли и песка</w:t>
            </w:r>
          </w:p>
        </w:tc>
        <w:tc>
          <w:tcPr>
            <w:tcW w:w="43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IP67</w:t>
            </w:r>
          </w:p>
        </w:tc>
      </w:tr>
      <w:tr>
        <w:trPr>
          <w:trHeight w:val="397" w:hRule="atLeast"/>
        </w:trPr>
        <w:tc>
          <w:tcPr>
            <w:tcW w:w="46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Погружение в воду до 1 м</w:t>
            </w:r>
          </w:p>
        </w:tc>
        <w:tc>
          <w:tcPr>
            <w:tcW w:w="43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Да</w:t>
            </w:r>
          </w:p>
        </w:tc>
      </w:tr>
      <w:tr>
        <w:trPr>
          <w:trHeight w:val="397" w:hRule="atLeast"/>
        </w:trPr>
        <w:tc>
          <w:tcPr>
            <w:tcW w:w="467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Вибрация</w:t>
            </w:r>
          </w:p>
        </w:tc>
        <w:tc>
          <w:tcPr>
            <w:tcW w:w="43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ISO9036-05, 10 до 55 Гц</w:t>
            </w:r>
          </w:p>
        </w:tc>
      </w:tr>
      <w:tr>
        <w:trPr>
          <w:trHeight w:val="397" w:hRule="atLeast"/>
        </w:trPr>
        <w:tc>
          <w:tcPr>
            <w:tcW w:w="467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43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±0,15 мм, 5 циклов</w:t>
            </w:r>
          </w:p>
        </w:tc>
      </w:tr>
      <w:tr>
        <w:trPr>
          <w:trHeight w:val="397" w:hRule="atLeast"/>
        </w:trPr>
        <w:tc>
          <w:tcPr>
            <w:tcW w:w="46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Падение на твердую поверхность</w:t>
            </w:r>
          </w:p>
        </w:tc>
        <w:tc>
          <w:tcPr>
            <w:tcW w:w="43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t>1,2 м</w:t>
            </w:r>
          </w:p>
        </w:tc>
      </w:tr>
    </w:tbl>
    <w:p>
      <w:pPr>
        <w:pStyle w:val="Normal"/>
        <w:rPr>
          <w:rFonts w:ascii="Times New Roman" w:hAnsi="Times New Roman"/>
          <w:sz w:val="24"/>
        </w:rPr>
      </w:pPr>
      <w:r>
        <w:rPr>
          <w:rFonts w:ascii="Times New Roman" w:hAnsi="Times New Roman"/>
          <w:sz w:val="24"/>
        </w:rPr>
      </w:r>
    </w:p>
    <w:p>
      <w:pPr>
        <w:pStyle w:val="Normal"/>
        <w:rPr>
          <w:rFonts w:ascii="Times New Roman" w:hAnsi="Times New Roman"/>
          <w:sz w:val="24"/>
        </w:rPr>
      </w:pPr>
      <w:r>
        <w:rPr>
          <w:rFonts w:ascii="Times New Roman" w:hAnsi="Times New Roman"/>
          <w:sz w:val="24"/>
        </w:rPr>
        <w:t>Метеостанции применяются для измерения температуры и атмосферного давления микроклиматических зон каждой базовой геодезической станции, а также разностей температур и атмосферного давления микроклиматических зон каждой базовой геодезической станции и здания ГАЭС. Полученные метеоданные используются для внесения поправок при обработке данных линейно-угловых и спутниковых измерений.</w:t>
      </w:r>
    </w:p>
    <w:p>
      <w:pPr>
        <w:pStyle w:val="Normal"/>
        <w:rPr>
          <w:rFonts w:ascii="Times New Roman" w:hAnsi="Times New Roman"/>
          <w:sz w:val="24"/>
        </w:rPr>
      </w:pPr>
      <w:r>
        <w:rPr>
          <w:rFonts w:ascii="Times New Roman" w:hAnsi="Times New Roman"/>
          <w:sz w:val="24"/>
        </w:rPr>
        <w:t>Информационные средства связи и передачи данных применяются для построения автоматизированной системы опроса и управления геодезической КИА.</w:t>
      </w:r>
    </w:p>
    <w:p>
      <w:pPr>
        <w:pStyle w:val="Normal"/>
        <w:rPr>
          <w:rFonts w:ascii="Times New Roman" w:hAnsi="Times New Roman"/>
          <w:sz w:val="24"/>
        </w:rPr>
      </w:pPr>
      <w:r>
        <w:rPr>
          <w:rFonts w:ascii="Times New Roman" w:hAnsi="Times New Roman"/>
          <w:sz w:val="24"/>
        </w:rPr>
        <w:t>Программные комплексы применяются для управления геодезической КИА в автоматическом режиме, а также для постобработки и анализа полученных данных, составления отчетов и визуализации.</w:t>
      </w:r>
    </w:p>
    <w:p>
      <w:pPr>
        <w:pStyle w:val="Normal"/>
        <w:rPr>
          <w:rFonts w:ascii="Times New Roman" w:hAnsi="Times New Roman"/>
          <w:sz w:val="24"/>
        </w:rPr>
      </w:pPr>
      <w:r>
        <w:rPr>
          <w:rFonts w:ascii="Times New Roman" w:hAnsi="Times New Roman"/>
          <w:sz w:val="24"/>
        </w:rPr>
        <w:t>Совместное применение основной геодезической КИА, вспомогательного оборудование и программного комплекса позволяет организовать автоматизированную систему геодезического мониторинга (АСГМ).</w:t>
      </w:r>
    </w:p>
    <w:p>
      <w:pPr>
        <w:pStyle w:val="Normal"/>
        <w:rPr>
          <w:rFonts w:ascii="Times New Roman" w:hAnsi="Times New Roman"/>
          <w:sz w:val="24"/>
        </w:rPr>
      </w:pPr>
      <w:r>
        <w:rPr>
          <w:rFonts w:ascii="Times New Roman" w:hAnsi="Times New Roman"/>
          <w:sz w:val="24"/>
        </w:rPr>
        <w:t>АСГМ применяется для постоянных (непрерывных) дистанционных инструментальных наблюдений, обеспечивающих получение качественной и достоверной информации о пространственном положении ГТС в необходимых объёмах.</w:t>
      </w:r>
    </w:p>
    <w:p>
      <w:pPr>
        <w:pStyle w:val="Normal"/>
        <w:rPr>
          <w:rFonts w:ascii="Times New Roman" w:hAnsi="Times New Roman"/>
          <w:sz w:val="24"/>
        </w:rPr>
      </w:pPr>
      <w:r>
        <w:rPr>
          <w:rFonts w:ascii="Times New Roman" w:hAnsi="Times New Roman"/>
          <w:sz w:val="24"/>
        </w:rPr>
        <w:t>АСГМ структурно включает в себя следующие элементы:</w:t>
      </w:r>
    </w:p>
    <w:p>
      <w:pPr>
        <w:pStyle w:val="Normal"/>
        <w:rPr>
          <w:rFonts w:ascii="Times New Roman" w:hAnsi="Times New Roman"/>
          <w:sz w:val="24"/>
        </w:rPr>
      </w:pPr>
      <w:r>
        <w:rPr>
          <w:rFonts w:ascii="Times New Roman" w:hAnsi="Times New Roman"/>
          <w:sz w:val="24"/>
        </w:rPr>
        <w:t>- нижний уровень – КИА, система телекоммуникаций, преобразования и передачи информации в цифровом коде на сервер сбора, обработки и хранения данных АСГМ;</w:t>
      </w:r>
    </w:p>
    <w:p>
      <w:pPr>
        <w:pStyle w:val="Normal"/>
        <w:rPr>
          <w:rFonts w:ascii="Times New Roman" w:hAnsi="Times New Roman"/>
          <w:sz w:val="24"/>
        </w:rPr>
      </w:pPr>
      <w:r>
        <w:rPr>
          <w:rFonts w:ascii="Times New Roman" w:hAnsi="Times New Roman"/>
          <w:sz w:val="24"/>
        </w:rPr>
        <w:t>- верхний уровень – программно-технический комплекс, содержащий сервер АСГМ с компьютерным и программным обеспечением для обработки, анализа и визуализации полученных данных.</w:t>
      </w:r>
    </w:p>
    <w:p>
      <w:pPr>
        <w:pStyle w:val="Normal"/>
        <w:rPr>
          <w:rFonts w:ascii="Times New Roman" w:hAnsi="Times New Roman"/>
          <w:sz w:val="24"/>
        </w:rPr>
      </w:pPr>
      <w:r>
        <w:rPr>
          <w:rFonts w:ascii="Times New Roman" w:hAnsi="Times New Roman"/>
          <w:sz w:val="24"/>
        </w:rPr>
        <w:t>На нижнем уровне АСГМ использует непосредственно измерительные устройства. Общим требованием к измерительным устройствам является их унифицированный цифровой выход стандартного вида, что достигается с помощью использования конвертеров интерфейса. Также нижний уровень АСГМ включает в себя средства коммутации измерительных устройств и линии связи для передачи сигналов от измерительных устройств на сервер АСГМ. Для присоединения измерительных устройств к линии связи с промышленным интерфейсом используются конвертеры интерфейса. Применение цифровых кодов с использованием стандартного интерфейса позволяет осуществлять передачу данных по проводным и беспроводным линиям связи. Кабельные (проводные) линии связи применяются для передачи сигнала от КИА до телекоммуникационного шкафа, с расположенным в нём оборудованием беспроводной передачи данных. Беспроводные линии связи используются для связи с программным обеспечением, расположенном на сервере АСГМ.</w:t>
      </w:r>
    </w:p>
    <w:p>
      <w:pPr>
        <w:pStyle w:val="Normal"/>
        <w:rPr>
          <w:rFonts w:ascii="Times New Roman" w:hAnsi="Times New Roman"/>
          <w:sz w:val="24"/>
        </w:rPr>
      </w:pPr>
      <w:r>
        <w:rPr>
          <w:rFonts w:ascii="Times New Roman" w:hAnsi="Times New Roman"/>
          <w:sz w:val="24"/>
        </w:rPr>
        <w:t>Верхний уровень АСГМ представляет собой программно-технический комплекс, включающий центральный блок на базе промышленного сервера сбора данных, базовое и специализированное программное обеспечение для управления автоматизированным опросом датчиков, обработки, анализа и визуализации полученных данных в табличном и графическом виде, а также автоматизированные рабочие места. Также на верхнем уровне АСГМ производится интеграция с комплексом программ в составе информационно-диагностической системы (ИДС) контроля безопасности ГТС «БИНГ-3». ИДС «БИНГ-3» взаимодействует с АСГМ на программном уровне.</w:t>
      </w:r>
    </w:p>
    <w:p>
      <w:pPr>
        <w:pStyle w:val="Normal"/>
        <w:rPr>
          <w:rFonts w:ascii="Times New Roman" w:hAnsi="Times New Roman"/>
          <w:sz w:val="24"/>
        </w:rPr>
      </w:pPr>
      <w:r>
        <w:rPr>
          <w:rFonts w:ascii="Times New Roman" w:hAnsi="Times New Roman"/>
          <w:sz w:val="24"/>
        </w:rPr>
        <w:t>ИДС «БИНГ-3» предназначена для сбора, хранения, обработки, визуализации и анализа информации о состоянии, режимах работы и безопасности ГТС по результатам данных натурных наблюдений и периодических обследований. Система предоставляет пользователю наглядную графическую, табличную и текстовую интерпретацию результатов инструментальных и визуальных натурных наблюдений. Система имеет математический аппарат для аппроксимации, экстраполяции и статистического анализа результатов инструментальных измерений, с применением различных аналитических функций, и логических процедур.</w:t>
      </w:r>
    </w:p>
    <w:p>
      <w:pPr>
        <w:pStyle w:val="Normal"/>
        <w:rPr>
          <w:rFonts w:ascii="Times New Roman" w:hAnsi="Times New Roman"/>
          <w:sz w:val="24"/>
        </w:rPr>
      </w:pPr>
      <w:r>
        <w:rPr>
          <w:rFonts w:ascii="Times New Roman" w:hAnsi="Times New Roman"/>
          <w:sz w:val="24"/>
        </w:rPr>
        <w:t>АСГМ решает следующие задачи:</w:t>
      </w:r>
    </w:p>
    <w:p>
      <w:pPr>
        <w:pStyle w:val="Normal"/>
        <w:rPr>
          <w:rFonts w:ascii="Times New Roman" w:hAnsi="Times New Roman"/>
          <w:sz w:val="24"/>
        </w:rPr>
      </w:pPr>
      <w:r>
        <w:rPr>
          <w:rFonts w:ascii="Times New Roman" w:hAnsi="Times New Roman"/>
          <w:sz w:val="24"/>
        </w:rPr>
        <w:t>- автоматический сбор, первичная обработка и анализ показателей пространственного положения здания ГАЭС, части ГТС станционного узла и склонов;</w:t>
      </w:r>
    </w:p>
    <w:p>
      <w:pPr>
        <w:pStyle w:val="Normal"/>
        <w:rPr>
          <w:rFonts w:ascii="Times New Roman" w:hAnsi="Times New Roman"/>
          <w:sz w:val="24"/>
        </w:rPr>
      </w:pPr>
      <w:r>
        <w:rPr>
          <w:rFonts w:ascii="Times New Roman" w:hAnsi="Times New Roman"/>
          <w:sz w:val="24"/>
        </w:rPr>
        <w:t>- наглядное отображение поступающей информации в реальном времени в формализованном виде (графики, эпюры, таблицы, текстовая информация);</w:t>
      </w:r>
    </w:p>
    <w:p>
      <w:pPr>
        <w:pStyle w:val="Normal"/>
        <w:rPr>
          <w:rFonts w:ascii="Times New Roman" w:hAnsi="Times New Roman"/>
          <w:sz w:val="24"/>
        </w:rPr>
      </w:pPr>
      <w:r>
        <w:rPr>
          <w:rFonts w:ascii="Times New Roman" w:hAnsi="Times New Roman"/>
          <w:sz w:val="24"/>
        </w:rPr>
        <w:t>- оперативная диагностика пространственного положения здания ГАЭС путём определения соответствия диагностических показателей состояния ГТС их критериальным значениям;</w:t>
      </w:r>
    </w:p>
    <w:p>
      <w:pPr>
        <w:pStyle w:val="Normal"/>
        <w:rPr>
          <w:rFonts w:ascii="Times New Roman" w:hAnsi="Times New Roman"/>
          <w:sz w:val="24"/>
        </w:rPr>
      </w:pPr>
      <w:r>
        <w:rPr>
          <w:rFonts w:ascii="Times New Roman" w:hAnsi="Times New Roman"/>
          <w:sz w:val="24"/>
        </w:rPr>
        <w:t>- архивирование собранной информации и вывод её из архива по запросам пользователей в формах таблиц, графиков и протокола событий;</w:t>
      </w:r>
    </w:p>
    <w:p>
      <w:pPr>
        <w:pStyle w:val="Normal"/>
        <w:rPr>
          <w:rFonts w:ascii="Times New Roman" w:hAnsi="Times New Roman"/>
          <w:sz w:val="24"/>
        </w:rPr>
      </w:pPr>
      <w:r>
        <w:rPr>
          <w:rFonts w:ascii="Times New Roman" w:hAnsi="Times New Roman"/>
          <w:sz w:val="24"/>
        </w:rPr>
        <w:t>- архивирование информации на центральном сервере сбора данных для её санкционированного использования другими программами и пользователями;</w:t>
      </w:r>
    </w:p>
    <w:p>
      <w:pPr>
        <w:pStyle w:val="Normal"/>
        <w:rPr>
          <w:rFonts w:ascii="Times New Roman" w:hAnsi="Times New Roman"/>
          <w:sz w:val="24"/>
        </w:rPr>
      </w:pPr>
      <w:r>
        <w:rPr>
          <w:rFonts w:ascii="Times New Roman" w:hAnsi="Times New Roman"/>
          <w:sz w:val="24"/>
        </w:rPr>
        <w:t>- диагностика датчиков и технических средств АСГМ;</w:t>
      </w:r>
    </w:p>
    <w:p>
      <w:pPr>
        <w:pStyle w:val="Normal"/>
        <w:rPr>
          <w:rFonts w:ascii="Times New Roman" w:hAnsi="Times New Roman"/>
          <w:sz w:val="24"/>
        </w:rPr>
      </w:pPr>
      <w:r>
        <w:rPr>
          <w:rFonts w:ascii="Times New Roman" w:hAnsi="Times New Roman"/>
          <w:sz w:val="24"/>
        </w:rPr>
        <w:t>- передача информации в ИДС «БИНГ-3» в необходимом формате.</w:t>
      </w:r>
    </w:p>
    <w:p>
      <w:pPr>
        <w:pStyle w:val="Normal"/>
        <w:rPr>
          <w:rFonts w:ascii="Times New Roman" w:hAnsi="Times New Roman"/>
          <w:sz w:val="24"/>
        </w:rPr>
      </w:pPr>
      <w:r>
        <w:rPr>
          <w:rFonts w:ascii="Times New Roman" w:hAnsi="Times New Roman"/>
          <w:sz w:val="24"/>
        </w:rPr>
        <w:t>Для реализации системы связи данного проекта применяются беспроводные устройства передачи данных по технологии 4</w:t>
      </w:r>
      <w:r>
        <w:rPr>
          <w:rFonts w:ascii="Times New Roman" w:hAnsi="Times New Roman"/>
          <w:sz w:val="24"/>
          <w:lang w:val="en-US"/>
        </w:rPr>
        <w:t>G</w:t>
      </w:r>
      <w:r>
        <w:rPr>
          <w:rFonts w:ascii="Times New Roman" w:hAnsi="Times New Roman"/>
          <w:sz w:val="24"/>
        </w:rPr>
        <w:t xml:space="preserve"> (</w:t>
      </w:r>
      <w:r>
        <w:rPr>
          <w:rFonts w:ascii="Times New Roman" w:hAnsi="Times New Roman"/>
          <w:sz w:val="24"/>
          <w:lang w:val="en-US"/>
        </w:rPr>
        <w:t>LTE</w:t>
      </w:r>
      <w:r>
        <w:rPr>
          <w:rFonts w:ascii="Times New Roman" w:hAnsi="Times New Roman"/>
          <w:sz w:val="24"/>
        </w:rPr>
        <w:t>) и кабели уличного исполнения с соответствующим классом защиты.</w:t>
      </w:r>
    </w:p>
    <w:p>
      <w:pPr>
        <w:pStyle w:val="Normal"/>
        <w:rPr>
          <w:rFonts w:ascii="Times New Roman" w:hAnsi="Times New Roman"/>
          <w:sz w:val="24"/>
        </w:rPr>
      </w:pPr>
      <w:r>
        <w:rPr>
          <w:rFonts w:ascii="Times New Roman" w:hAnsi="Times New Roman"/>
          <w:sz w:val="24"/>
        </w:rPr>
        <w:t>Измерительные устройства связаны с сервером АСГМ с помощью кабеля и беспроводной связи по технологии 4</w:t>
      </w:r>
      <w:r>
        <w:rPr>
          <w:rFonts w:ascii="Times New Roman" w:hAnsi="Times New Roman"/>
          <w:sz w:val="24"/>
          <w:lang w:val="en-US"/>
        </w:rPr>
        <w:t>G</w:t>
      </w:r>
      <w:r>
        <w:rPr>
          <w:rFonts w:ascii="Times New Roman" w:hAnsi="Times New Roman"/>
          <w:sz w:val="24"/>
        </w:rPr>
        <w:t xml:space="preserve"> (</w:t>
      </w:r>
      <w:r>
        <w:rPr>
          <w:rFonts w:ascii="Times New Roman" w:hAnsi="Times New Roman"/>
          <w:sz w:val="24"/>
          <w:lang w:val="en-US"/>
        </w:rPr>
        <w:t>LTE</w:t>
      </w:r>
      <w:r>
        <w:rPr>
          <w:rFonts w:ascii="Times New Roman" w:hAnsi="Times New Roman"/>
          <w:sz w:val="24"/>
        </w:rPr>
        <w:t>).</w:t>
      </w:r>
    </w:p>
    <w:p>
      <w:pPr>
        <w:pStyle w:val="Normal"/>
        <w:rPr>
          <w:rFonts w:ascii="Times New Roman" w:hAnsi="Times New Roman"/>
          <w:sz w:val="24"/>
        </w:rPr>
      </w:pPr>
      <w:r>
        <w:rPr>
          <w:rFonts w:ascii="Times New Roman" w:hAnsi="Times New Roman"/>
          <w:sz w:val="24"/>
        </w:rPr>
        <w:t>Режим работы АСГМ – непрерывный круглосуточный автоматический.</w:t>
      </w:r>
    </w:p>
    <w:p>
      <w:pPr>
        <w:pStyle w:val="Normal"/>
        <w:rPr>
          <w:rFonts w:ascii="Times New Roman" w:hAnsi="Times New Roman"/>
          <w:sz w:val="24"/>
        </w:rPr>
      </w:pPr>
      <w:r>
        <w:rPr>
          <w:rFonts w:ascii="Times New Roman" w:hAnsi="Times New Roman"/>
          <w:sz w:val="24"/>
        </w:rPr>
      </w:r>
    </w:p>
    <w:p>
      <w:pPr>
        <w:pStyle w:val="Normal"/>
        <w:rPr>
          <w:rFonts w:ascii="Times New Roman" w:hAnsi="Times New Roman"/>
          <w:b/>
          <w:sz w:val="24"/>
        </w:rPr>
      </w:pPr>
      <w:r>
        <w:rPr>
          <w:rFonts w:ascii="Times New Roman" w:hAnsi="Times New Roman"/>
          <w:b/>
          <w:sz w:val="24"/>
        </w:rPr>
        <w:t>Автоматизированная система диагностического контроля (ГТС станционного узла)</w:t>
      </w:r>
    </w:p>
    <w:p>
      <w:pPr>
        <w:pStyle w:val="Normal"/>
        <w:rPr>
          <w:rFonts w:ascii="Times New Roman" w:hAnsi="Times New Roman"/>
          <w:sz w:val="24"/>
        </w:rPr>
      </w:pPr>
      <w:r>
        <w:rPr>
          <w:rFonts w:ascii="Times New Roman" w:hAnsi="Times New Roman"/>
          <w:sz w:val="24"/>
        </w:rPr>
        <w:t>На строительный период на ГТС Загорской ГАЭС-2 предусмотрена автоматизированная система диагностического контроля (далее – АСДК) ГТС станционного узла. АСДК состоит из первичных средств измерения — струнных измерительных преобразователей (далее – СИП), установленных в сооружения по мере их возведения, и аппаратуры для опроса, коммутации, периодического измерения сигналов от СИП, их преобразования в физическую величину, хранения и передачи информации по запросу в систему мониторинга.</w:t>
      </w:r>
    </w:p>
    <w:p>
      <w:pPr>
        <w:pStyle w:val="Normal"/>
        <w:rPr>
          <w:rFonts w:ascii="Times New Roman" w:hAnsi="Times New Roman"/>
          <w:sz w:val="24"/>
        </w:rPr>
      </w:pPr>
      <w:r>
        <w:rPr>
          <w:rFonts w:ascii="Times New Roman" w:hAnsi="Times New Roman"/>
          <w:sz w:val="24"/>
        </w:rPr>
        <w:t>АСДК в строительный период представляет собой интегрированную систему, включающей в себя автоматизированную систему опроса КИА (далее – АСО КИА) и информационно-диагностическую систему «БИНГ-3».</w:t>
      </w:r>
    </w:p>
    <w:p>
      <w:pPr>
        <w:pStyle w:val="Normal"/>
        <w:rPr>
          <w:rFonts w:ascii="Times New Roman" w:hAnsi="Times New Roman"/>
          <w:sz w:val="24"/>
        </w:rPr>
      </w:pPr>
      <w:r>
        <w:rPr>
          <w:rFonts w:ascii="Times New Roman" w:hAnsi="Times New Roman"/>
          <w:sz w:val="24"/>
        </w:rPr>
        <w:t>АСО КИА включает в себя:</w:t>
      </w:r>
    </w:p>
    <w:p>
      <w:pPr>
        <w:pStyle w:val="Normal"/>
        <w:rPr>
          <w:rFonts w:ascii="Times New Roman" w:hAnsi="Times New Roman"/>
          <w:sz w:val="24"/>
        </w:rPr>
      </w:pPr>
      <w:r>
        <w:rPr>
          <w:rFonts w:ascii="Times New Roman" w:hAnsi="Times New Roman"/>
          <w:sz w:val="24"/>
        </w:rPr>
        <w:t>- всю закладную струнную КИА в здании ГАЭС (за исключением КИА НДС, размещенных в спиральных камерах гидроагрегатов № 8 и № 9).</w:t>
      </w:r>
    </w:p>
    <w:p>
      <w:pPr>
        <w:pStyle w:val="Normal"/>
        <w:rPr>
          <w:rFonts w:ascii="Times New Roman" w:hAnsi="Times New Roman"/>
          <w:sz w:val="24"/>
        </w:rPr>
      </w:pPr>
      <w:r>
        <w:rPr>
          <w:rFonts w:ascii="Times New Roman" w:hAnsi="Times New Roman"/>
          <w:sz w:val="24"/>
        </w:rPr>
        <w:t>- КИА за пространственным положением ГТС станционного узла и прилегающей территории (марки автоматизированного тахеометра, ПВЗ).</w:t>
      </w:r>
    </w:p>
    <w:p>
      <w:pPr>
        <w:pStyle w:val="Normal"/>
        <w:rPr>
          <w:rFonts w:ascii="Times New Roman" w:hAnsi="Times New Roman"/>
          <w:sz w:val="24"/>
        </w:rPr>
      </w:pPr>
      <w:r>
        <w:rPr>
          <w:rFonts w:ascii="Times New Roman" w:hAnsi="Times New Roman"/>
          <w:sz w:val="24"/>
        </w:rPr>
        <w:t>Коммутация СИП осуществляется в специализированных коммутационных шкафах КШ-24 (далее – КШ) (см. рисунок 3.22), рассчитанных на подключение 24 СИП.</w:t>
      </w:r>
    </w:p>
    <w:p>
      <w:pPr>
        <w:pStyle w:val="Normal"/>
        <w:rPr>
          <w:rFonts w:ascii="Times New Roman" w:hAnsi="Times New Roman"/>
          <w:sz w:val="24"/>
        </w:rPr>
      </w:pPr>
      <w:r>
        <w:rPr>
          <w:rFonts w:ascii="Times New Roman" w:hAnsi="Times New Roman"/>
          <w:sz w:val="24"/>
        </w:rPr>
      </w:r>
    </w:p>
    <w:p>
      <w:pPr>
        <w:pStyle w:val="Normal"/>
        <w:widowControl w:val="false"/>
        <w:spacing w:lineRule="auto" w:line="276" w:before="0" w:after="0"/>
        <w:ind w:left="0" w:right="0" w:hanging="0"/>
        <w:contextualSpacing/>
        <w:jc w:val="center"/>
        <w:rPr>
          <w:rFonts w:eastAsia="Calibri" w:cs="Times New Roman"/>
          <w:szCs w:val="24"/>
        </w:rPr>
      </w:pPr>
      <w:r>
        <w:rPr/>
        <w:drawing>
          <wp:inline distT="0" distB="0" distL="0" distR="0">
            <wp:extent cx="2927350" cy="2185035"/>
            <wp:effectExtent l="0" t="0" r="0" b="0"/>
            <wp:docPr id="31" name="Рисунок 70" descr="http://www.niies.rushydro.ru/images/content/niies/works/ksh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70" descr="http://www.niies.rushydro.ru/images/content/niies/works/ksh24.jpg"/>
                    <pic:cNvPicPr>
                      <a:picLocks noChangeAspect="1" noChangeArrowheads="1"/>
                    </pic:cNvPicPr>
                  </pic:nvPicPr>
                  <pic:blipFill>
                    <a:blip r:embed="rId38"/>
                    <a:stretch>
                      <a:fillRect/>
                    </a:stretch>
                  </pic:blipFill>
                  <pic:spPr bwMode="auto">
                    <a:xfrm>
                      <a:off x="0" y="0"/>
                      <a:ext cx="2927350" cy="2185035"/>
                    </a:xfrm>
                    <a:prstGeom prst="rect">
                      <a:avLst/>
                    </a:prstGeom>
                  </pic:spPr>
                </pic:pic>
              </a:graphicData>
            </a:graphic>
          </wp:inline>
        </w:drawing>
      </w:r>
    </w:p>
    <w:p>
      <w:pPr>
        <w:pStyle w:val="Normal"/>
        <w:spacing w:lineRule="auto" w:line="240"/>
        <w:ind w:left="0" w:right="0"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sz w:val="24"/>
          <w:szCs w:val="20"/>
          <w:lang w:eastAsia="ru-RU"/>
        </w:rPr>
        <w:t>Рисунок 3.22 – Коммутационный шкаф КШ-24</w:t>
      </w:r>
    </w:p>
    <w:p>
      <w:pPr>
        <w:pStyle w:val="Normal"/>
        <w:rPr>
          <w:rFonts w:ascii="Times New Roman" w:hAnsi="Times New Roman"/>
          <w:sz w:val="24"/>
        </w:rPr>
      </w:pPr>
      <w:r>
        <w:rPr>
          <w:rFonts w:ascii="Times New Roman" w:hAnsi="Times New Roman"/>
          <w:sz w:val="24"/>
        </w:rPr>
      </w:r>
    </w:p>
    <w:p>
      <w:pPr>
        <w:pStyle w:val="Normal"/>
        <w:rPr>
          <w:rFonts w:ascii="Times New Roman" w:hAnsi="Times New Roman"/>
          <w:sz w:val="24"/>
        </w:rPr>
      </w:pPr>
      <w:r>
        <w:rPr>
          <w:rFonts w:ascii="Times New Roman" w:hAnsi="Times New Roman"/>
          <w:sz w:val="24"/>
        </w:rPr>
        <w:t>Кроме того, КШ предназначен для подключения к СИП переносного периодомера (МПП, ПС и др., см. рисунок 3.23), а также для подключения СИП к многоканальным программируемым терминалам (далее – МПТ) при построении автоматизированных систем измерения (см. рисунок 3.24). Периодомер специализированный предназначен для работы с установленными на ГТС СИП с импульсным возбуждением. Он обеспечивает измерение периода струнного датчика и индикацию измерений. Посредством многожильного телефонного кабеля КШ подключаются к МПТ.</w:t>
      </w:r>
    </w:p>
    <w:p>
      <w:pPr>
        <w:pStyle w:val="Normal"/>
        <w:rPr>
          <w:rFonts w:ascii="Times New Roman" w:hAnsi="Times New Roman"/>
          <w:sz w:val="24"/>
        </w:rPr>
      </w:pPr>
      <w:r>
        <w:rPr>
          <w:rFonts w:ascii="Times New Roman" w:hAnsi="Times New Roman"/>
          <w:sz w:val="24"/>
        </w:rPr>
        <w:t>МПТ – это ядро системы автоматизированного сбора, обработки, хранения и оценки информации о состоянии ГТС. При этом МПТ работает в локальной сети под управлением компьютера, в который инсталлируется специальное программное обеспечение и архив.</w:t>
      </w:r>
    </w:p>
    <w:p>
      <w:pPr>
        <w:pStyle w:val="Normal"/>
        <w:rPr>
          <w:rFonts w:ascii="Times New Roman" w:hAnsi="Times New Roman"/>
          <w:sz w:val="24"/>
        </w:rPr>
      </w:pPr>
      <w:r>
        <w:rPr>
          <w:rFonts w:ascii="Times New Roman" w:hAnsi="Times New Roman"/>
          <w:sz w:val="24"/>
        </w:rPr>
        <w:t>МПТ рассчитан на обработку 120 СИП. АСО КИА включает в себя МПТ в количестве 4 шт., при этом МПТ между собой подключаются последовательно и далее в центральный пункт АСДК (далее – ЦП АСДК). Согласно исходным данным ЦП АСДК подключается к станционной сети интернет. В качестве резервной связи интернет, ЦП АСДК оборудован GSM-антенной. В помещении с ЦП АСДК расположены два автоматизированных рабочих места (АРМ).</w:t>
      </w:r>
    </w:p>
    <w:p>
      <w:pPr>
        <w:pStyle w:val="Normal"/>
        <w:spacing w:lineRule="auto" w:line="240"/>
        <w:ind w:left="0" w:right="0" w:hanging="0"/>
        <w:jc w:val="center"/>
        <w:rPr>
          <w:rFonts w:ascii="Times New Roman" w:hAnsi="Times New Roman" w:eastAsia="Times New Roman" w:cs="Times New Roman"/>
          <w:sz w:val="24"/>
          <w:szCs w:val="20"/>
          <w:lang w:eastAsia="ru-RU"/>
        </w:rPr>
      </w:pPr>
      <w:r>
        <w:rPr/>
        <w:drawing>
          <wp:inline distT="0" distB="0" distL="0" distR="0">
            <wp:extent cx="1971675" cy="2058035"/>
            <wp:effectExtent l="0" t="0" r="0" b="0"/>
            <wp:docPr id="32" name="Рисунок 71" descr="http://www.niies.rushydro.ru/images/content/niies/works/p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71" descr="http://www.niies.rushydro.ru/images/content/niies/works/ps11.jpg"/>
                    <pic:cNvPicPr>
                      <a:picLocks noChangeAspect="1" noChangeArrowheads="1"/>
                    </pic:cNvPicPr>
                  </pic:nvPicPr>
                  <pic:blipFill>
                    <a:blip r:embed="rId39"/>
                    <a:stretch>
                      <a:fillRect/>
                    </a:stretch>
                  </pic:blipFill>
                  <pic:spPr bwMode="auto">
                    <a:xfrm>
                      <a:off x="0" y="0"/>
                      <a:ext cx="1971675" cy="2058035"/>
                    </a:xfrm>
                    <a:prstGeom prst="rect">
                      <a:avLst/>
                    </a:prstGeom>
                  </pic:spPr>
                </pic:pic>
              </a:graphicData>
            </a:graphic>
          </wp:inline>
        </w:drawing>
      </w:r>
    </w:p>
    <w:p>
      <w:pPr>
        <w:pStyle w:val="Normal"/>
        <w:spacing w:lineRule="auto" w:line="240"/>
        <w:ind w:left="0" w:right="0"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sz w:val="24"/>
          <w:szCs w:val="20"/>
          <w:lang w:eastAsia="ru-RU"/>
        </w:rPr>
        <w:t>Рисунок 3.23 – Периодомер специализированный ПС</w:t>
      </w:r>
    </w:p>
    <w:p>
      <w:pPr>
        <w:pStyle w:val="Normal"/>
        <w:spacing w:lineRule="auto" w:line="240"/>
        <w:ind w:left="0" w:right="0"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sz w:val="24"/>
          <w:szCs w:val="20"/>
          <w:lang w:eastAsia="ru-RU"/>
        </w:rPr>
      </w:r>
    </w:p>
    <w:p>
      <w:pPr>
        <w:pStyle w:val="Normal"/>
        <w:spacing w:lineRule="auto" w:line="240"/>
        <w:ind w:left="0" w:right="0" w:hanging="0"/>
        <w:jc w:val="center"/>
        <w:rPr>
          <w:rFonts w:ascii="Times New Roman" w:hAnsi="Times New Roman" w:eastAsia="Times New Roman" w:cs="Times New Roman"/>
          <w:sz w:val="24"/>
          <w:szCs w:val="20"/>
          <w:lang w:eastAsia="ru-RU"/>
        </w:rPr>
      </w:pPr>
      <w:r>
        <w:rPr/>
        <w:drawing>
          <wp:inline distT="0" distB="0" distL="0" distR="0">
            <wp:extent cx="2019300" cy="1666875"/>
            <wp:effectExtent l="0" t="0" r="0" b="0"/>
            <wp:docPr id="33" name="Рисунок 67" descr="http://www.niies.rushydro.ru/images/content/niies/works/m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67" descr="http://www.niies.rushydro.ru/images/content/niies/works/mpt.jpg"/>
                    <pic:cNvPicPr>
                      <a:picLocks noChangeAspect="1" noChangeArrowheads="1"/>
                    </pic:cNvPicPr>
                  </pic:nvPicPr>
                  <pic:blipFill>
                    <a:blip r:embed="rId40"/>
                    <a:stretch>
                      <a:fillRect/>
                    </a:stretch>
                  </pic:blipFill>
                  <pic:spPr bwMode="auto">
                    <a:xfrm>
                      <a:off x="0" y="0"/>
                      <a:ext cx="2019300" cy="1666875"/>
                    </a:xfrm>
                    <a:prstGeom prst="rect">
                      <a:avLst/>
                    </a:prstGeom>
                  </pic:spPr>
                </pic:pic>
              </a:graphicData>
            </a:graphic>
          </wp:inline>
        </w:drawing>
      </w:r>
    </w:p>
    <w:p>
      <w:pPr>
        <w:pStyle w:val="Normal"/>
        <w:spacing w:lineRule="auto" w:line="240"/>
        <w:ind w:left="0" w:right="0" w:hanging="0"/>
        <w:jc w:val="center"/>
        <w:rPr>
          <w:rFonts w:ascii="Times New Roman" w:hAnsi="Times New Roman" w:eastAsia="Times New Roman" w:cs="Times New Roman"/>
          <w:sz w:val="24"/>
          <w:szCs w:val="20"/>
          <w:lang w:eastAsia="ru-RU"/>
        </w:rPr>
      </w:pPr>
      <w:r>
        <w:rPr>
          <w:rFonts w:eastAsia="Times New Roman" w:cs="Times New Roman" w:ascii="Times New Roman" w:hAnsi="Times New Roman"/>
          <w:sz w:val="24"/>
          <w:szCs w:val="20"/>
          <w:lang w:eastAsia="ru-RU"/>
        </w:rPr>
        <w:t>Рисунок 3.24 – Многоканальный программируемый терминал</w:t>
      </w:r>
    </w:p>
    <w:p>
      <w:pPr>
        <w:pStyle w:val="Normal"/>
        <w:rPr>
          <w:rFonts w:ascii="Times New Roman" w:hAnsi="Times New Roman"/>
          <w:sz w:val="24"/>
        </w:rPr>
      </w:pPr>
      <w:r>
        <w:rPr>
          <w:rFonts w:ascii="Times New Roman" w:hAnsi="Times New Roman"/>
          <w:sz w:val="24"/>
        </w:rPr>
      </w:r>
    </w:p>
    <w:p>
      <w:pPr>
        <w:pStyle w:val="Normal"/>
        <w:rPr>
          <w:rFonts w:ascii="Times New Roman" w:hAnsi="Times New Roman"/>
          <w:sz w:val="24"/>
        </w:rPr>
      </w:pPr>
      <w:r>
        <w:rPr>
          <w:rFonts w:ascii="Times New Roman" w:hAnsi="Times New Roman"/>
          <w:sz w:val="24"/>
        </w:rPr>
        <w:t>ИДС «БИНГ-3» предназначена для сбора, хранения, обработки, визуализации и анализа информации о состоянии, режимах работы и безопасности ГТС по результатам данных натурных наблюдений и периодических обследований. Система предоставляет пользователю наглядную графическую, табличную и текстовую интерпретацию результатов инструментальных и визуальных натурных наблюдений. Система имеет математический аппарат для аппроксимации, экстраполяции и статистического анализа результатов инструментальных измерений с применением различных аналитических функций, и логических процедур.</w:t>
      </w:r>
    </w:p>
    <w:p>
      <w:pPr>
        <w:pStyle w:val="Normal"/>
        <w:rPr>
          <w:rFonts w:ascii="Times New Roman" w:hAnsi="Times New Roman"/>
          <w:sz w:val="24"/>
        </w:rPr>
      </w:pPr>
      <w:r>
        <w:rPr>
          <w:rFonts w:ascii="Times New Roman" w:hAnsi="Times New Roman"/>
          <w:sz w:val="24"/>
        </w:rPr>
        <w:t>АСДК решает следующие задачи:</w:t>
      </w:r>
    </w:p>
    <w:p>
      <w:pPr>
        <w:pStyle w:val="Normal"/>
        <w:rPr>
          <w:rFonts w:ascii="Times New Roman" w:hAnsi="Times New Roman"/>
          <w:sz w:val="24"/>
        </w:rPr>
      </w:pPr>
      <w:r>
        <w:rPr>
          <w:rFonts w:ascii="Times New Roman" w:hAnsi="Times New Roman"/>
          <w:sz w:val="24"/>
        </w:rPr>
        <w:t>- сбор, первичная обработка и анализ показателей состояния здания ГАЭС и части ГТС станционного узла;</w:t>
      </w:r>
    </w:p>
    <w:p>
      <w:pPr>
        <w:pStyle w:val="Normal"/>
        <w:rPr>
          <w:rFonts w:ascii="Times New Roman" w:hAnsi="Times New Roman"/>
          <w:sz w:val="24"/>
        </w:rPr>
      </w:pPr>
      <w:r>
        <w:rPr>
          <w:rFonts w:ascii="Times New Roman" w:hAnsi="Times New Roman"/>
          <w:sz w:val="24"/>
        </w:rPr>
        <w:t>- наглядное отображение поступающей информации в реальном масштабе времени в формализованном виде (графики, эпюры, таблицы, текстовая информация);</w:t>
      </w:r>
    </w:p>
    <w:p>
      <w:pPr>
        <w:pStyle w:val="Normal"/>
        <w:rPr>
          <w:rFonts w:ascii="Times New Roman" w:hAnsi="Times New Roman"/>
          <w:sz w:val="24"/>
        </w:rPr>
      </w:pPr>
      <w:r>
        <w:rPr>
          <w:rFonts w:ascii="Times New Roman" w:hAnsi="Times New Roman"/>
          <w:sz w:val="24"/>
        </w:rPr>
        <w:t>- оперативная диагностика состояния сооружения путём определения соответствия диагностических показателей состояния гидротехнического сооружения их критериальным значениям;</w:t>
      </w:r>
    </w:p>
    <w:p>
      <w:pPr>
        <w:pStyle w:val="Normal"/>
        <w:rPr>
          <w:rFonts w:ascii="Times New Roman" w:hAnsi="Times New Roman"/>
          <w:sz w:val="24"/>
        </w:rPr>
      </w:pPr>
      <w:r>
        <w:rPr>
          <w:rFonts w:ascii="Times New Roman" w:hAnsi="Times New Roman"/>
          <w:sz w:val="24"/>
        </w:rPr>
        <w:t>- архивирование собранной информации и вывод её из архива по запросам пользователей в формах таблиц, графиков и протокола событий;</w:t>
      </w:r>
    </w:p>
    <w:p>
      <w:pPr>
        <w:pStyle w:val="Normal"/>
        <w:rPr>
          <w:rFonts w:ascii="Times New Roman" w:hAnsi="Times New Roman"/>
          <w:sz w:val="24"/>
        </w:rPr>
      </w:pPr>
      <w:r>
        <w:rPr>
          <w:rFonts w:ascii="Times New Roman" w:hAnsi="Times New Roman"/>
          <w:sz w:val="24"/>
        </w:rPr>
        <w:t>- архивирование информации на центральном сервере сбора данных для её санкционированного использования другими программами и пользователями;</w:t>
      </w:r>
    </w:p>
    <w:p>
      <w:pPr>
        <w:sectPr>
          <w:headerReference w:type="default" r:id="rId41"/>
          <w:headerReference w:type="first" r:id="rId42"/>
          <w:footerReference w:type="default" r:id="rId43"/>
          <w:footerReference w:type="first" r:id="rId44"/>
          <w:type w:val="nextPage"/>
          <w:pgSz w:w="11906" w:h="16838"/>
          <w:pgMar w:left="1701" w:right="1134" w:gutter="0" w:header="397" w:top="1139" w:footer="171" w:bottom="1021"/>
          <w:pgNumType w:fmt="decimal"/>
          <w:formProt w:val="false"/>
          <w:textDirection w:val="lrTb"/>
          <w:docGrid w:type="default" w:linePitch="360" w:charSpace="4096"/>
        </w:sectPr>
        <w:pStyle w:val="Normal"/>
        <w:rPr>
          <w:rFonts w:ascii="Times New Roman" w:hAnsi="Times New Roman"/>
          <w:sz w:val="24"/>
        </w:rPr>
      </w:pPr>
      <w:r>
        <w:rPr>
          <w:rFonts w:ascii="Times New Roman" w:hAnsi="Times New Roman"/>
          <w:sz w:val="24"/>
        </w:rPr>
        <w:t>- диагностика датчиков и технических средств АСДК.</w:t>
      </w:r>
      <w:r>
        <w:br w:type="page"/>
      </w:r>
    </w:p>
    <w:p>
      <w:pPr>
        <w:pStyle w:val="Heading1"/>
        <w:numPr>
          <w:ilvl w:val="0"/>
        </w:numPr>
        <w:ind w:left="0" w:right="0" w:hanging="0"/>
        <w:rPr>
          <w:rFonts w:ascii="Times New Roman" w:hAnsi="Times New Roman"/>
        </w:rPr>
      </w:pPr>
      <w:bookmarkStart w:id="50" w:name="__RefHeading___Toc39904_2889022187"/>
      <w:bookmarkEnd w:id="35"/>
      <w:bookmarkEnd w:id="50"/>
      <w:r>
        <w:rPr>
          <w:rFonts w:ascii="Times New Roman" w:hAnsi="Times New Roman"/>
        </w:rPr>
        <w:t xml:space="preserve">4. </w:t>
      </w:r>
      <w:bookmarkStart w:id="51" w:name="_Toc215650189"/>
      <w:bookmarkStart w:id="52" w:name="_Toc7087073"/>
      <w:r>
        <w:rPr>
          <w:rFonts w:ascii="Times New Roman" w:hAnsi="Times New Roman"/>
        </w:rPr>
        <w:t>Проведение натурных наблюдений</w:t>
      </w:r>
      <w:bookmarkEnd w:id="51"/>
      <w:bookmarkEnd w:id="52"/>
    </w:p>
    <w:p>
      <w:pPr>
        <w:pStyle w:val="Heading2"/>
        <w:numPr>
          <w:ilvl w:val="0"/>
        </w:numPr>
        <w:ind w:left="0" w:right="0" w:hanging="0"/>
        <w:rPr>
          <w:rFonts w:ascii="Times New Roman" w:hAnsi="Times New Roman"/>
        </w:rPr>
      </w:pPr>
      <w:bookmarkStart w:id="53" w:name="__RefHeading___Toc39906_2889022187"/>
      <w:bookmarkEnd w:id="53"/>
      <w:r>
        <w:rPr>
          <w:rFonts w:ascii="Times New Roman" w:hAnsi="Times New Roman"/>
        </w:rPr>
        <w:t xml:space="preserve">4.1 </w:t>
      </w:r>
      <w:bookmarkStart w:id="54" w:name="_Toc7087074"/>
      <w:bookmarkStart w:id="55" w:name="_Toc215650190"/>
      <w:r>
        <w:rPr>
          <w:rFonts w:ascii="Times New Roman" w:hAnsi="Times New Roman"/>
        </w:rPr>
        <w:t>Проведение визуальных наблюдений</w:t>
      </w:r>
      <w:bookmarkEnd w:id="55"/>
      <w:r>
        <w:rPr>
          <w:rFonts w:ascii="Times New Roman" w:hAnsi="Times New Roman"/>
        </w:rPr>
        <w:t xml:space="preserve"> </w:t>
      </w:r>
      <w:bookmarkEnd w:id="54"/>
    </w:p>
    <w:p>
      <w:pPr>
        <w:pStyle w:val="Normal"/>
        <w:rPr>
          <w:rFonts w:ascii="Times New Roman" w:hAnsi="Times New Roman"/>
          <w:sz w:val="24"/>
        </w:rPr>
      </w:pPr>
      <w:r>
        <w:rPr>
          <w:rFonts w:ascii="Times New Roman" w:hAnsi="Times New Roman"/>
          <w:sz w:val="24"/>
        </w:rPr>
        <w:t>Визуальные наблюдения являются важнейшим средством контроля работы и состояния ГТС и прилегающей территории. Они позволяют выявить начало нежелательных или даже опасных явлений и процессов, обнаружить дефекты, снижающие эксплуатационную надёжность сооружений, своевременно принять меры для их ликвидации, а также определить, в случае необходимости, состав инструментальных наблюдений. Визуальные наблюдения заключаются в систематических осмотрах контролируемых ГТС и прилегающей территории. Визуальные наблюдения проводятся специалистами путём детальных, визуальных осмотров сооружений и их конструктивных элементов с применением простейших измерительных приборов, приспособлений и других методов распознания.</w:t>
      </w:r>
    </w:p>
    <w:p>
      <w:pPr>
        <w:pStyle w:val="Heading2"/>
        <w:numPr>
          <w:ilvl w:val="0"/>
        </w:numPr>
        <w:ind w:left="0" w:right="0" w:hanging="0"/>
        <w:rPr>
          <w:rFonts w:ascii="Times New Roman" w:hAnsi="Times New Roman"/>
        </w:rPr>
      </w:pPr>
      <w:bookmarkStart w:id="56" w:name="__RefHeading___Toc39908_2889022187"/>
      <w:bookmarkEnd w:id="56"/>
      <w:r>
        <w:rPr>
          <w:rFonts w:ascii="Times New Roman" w:hAnsi="Times New Roman"/>
        </w:rPr>
        <w:t>4</w:t>
      </w:r>
      <w:bookmarkStart w:id="57" w:name="_Toc215650191"/>
      <w:r>
        <w:rPr>
          <w:rFonts w:ascii="Times New Roman" w:hAnsi="Times New Roman"/>
        </w:rPr>
        <w:t>.1.1 Объекты визуальных наблюдений</w:t>
      </w:r>
      <w:bookmarkEnd w:id="57"/>
    </w:p>
    <w:p>
      <w:pPr>
        <w:pStyle w:val="Normal"/>
        <w:rPr>
          <w:rFonts w:ascii="Times New Roman" w:hAnsi="Times New Roman"/>
          <w:sz w:val="24"/>
        </w:rPr>
      </w:pPr>
      <w:r>
        <w:rPr>
          <w:rFonts w:ascii="Times New Roman" w:hAnsi="Times New Roman"/>
          <w:sz w:val="24"/>
        </w:rPr>
        <w:t>По грунтовым сооружениям, склонам и откосам – поверхность гребня, берм, верхового и низового откосов, состояние крепления откосов, водоотводящих лотков, дренажных выпусков, состояние контрольно-измерительной аппаратуры и т.д.</w:t>
      </w:r>
    </w:p>
    <w:p>
      <w:pPr>
        <w:pStyle w:val="Normal"/>
        <w:rPr>
          <w:rFonts w:ascii="Times New Roman" w:hAnsi="Times New Roman"/>
          <w:sz w:val="24"/>
        </w:rPr>
      </w:pPr>
      <w:r>
        <w:rPr>
          <w:rFonts w:ascii="Times New Roman" w:hAnsi="Times New Roman"/>
          <w:sz w:val="24"/>
        </w:rPr>
        <w:t>По бетонным сооружениям – поверхность напорной грани и фундаментной плиты, поверхность основных несущих конструкций (перекрытий, колонн), противофильтрационных элементов (шпонок), дренажных выпусков, контрольно-измерительной аппаратуры и т.д.</w:t>
      </w:r>
    </w:p>
    <w:p>
      <w:pPr>
        <w:pStyle w:val="Heading2"/>
        <w:numPr>
          <w:ilvl w:val="0"/>
        </w:numPr>
        <w:ind w:left="0" w:right="0" w:hanging="0"/>
        <w:rPr>
          <w:rFonts w:ascii="Times New Roman" w:hAnsi="Times New Roman"/>
        </w:rPr>
      </w:pPr>
      <w:bookmarkStart w:id="58" w:name="__RefHeading___Toc39910_2889022187"/>
      <w:bookmarkEnd w:id="58"/>
      <w:r>
        <w:rPr>
          <w:rFonts w:ascii="Times New Roman" w:hAnsi="Times New Roman"/>
        </w:rPr>
        <w:t>4</w:t>
      </w:r>
      <w:bookmarkStart w:id="59" w:name="_Toc215650192"/>
      <w:bookmarkStart w:id="60" w:name="_Toc7087075"/>
      <w:r>
        <w:rPr>
          <w:rFonts w:ascii="Times New Roman" w:hAnsi="Times New Roman"/>
        </w:rPr>
        <w:t>.1.2 Методика проведения визуальных наблюдений</w:t>
      </w:r>
      <w:bookmarkEnd w:id="59"/>
      <w:bookmarkEnd w:id="60"/>
    </w:p>
    <w:p>
      <w:pPr>
        <w:pStyle w:val="Normal"/>
        <w:rPr>
          <w:rFonts w:ascii="Times New Roman" w:hAnsi="Times New Roman"/>
          <w:sz w:val="24"/>
        </w:rPr>
      </w:pPr>
      <w:r>
        <w:rPr>
          <w:rFonts w:ascii="Times New Roman" w:hAnsi="Times New Roman"/>
          <w:sz w:val="24"/>
        </w:rPr>
        <w:t>Визуальные наблюдения проводят путём общих систематических осмотров контролируемых сооружений, основных конструктивных элементов и прилегающей к сооружению территории с применением простейших измерительных инструментов и приборов (бинокли, фотоаппараты, рулетки, штангенциркули, щупы, микроскопы и прочее) с целью оценки состояния, выявления дефектов и неблагоприятных процессов, снижающих их надёжность.</w:t>
      </w:r>
    </w:p>
    <w:p>
      <w:pPr>
        <w:pStyle w:val="Normal"/>
        <w:rPr>
          <w:rFonts w:ascii="Times New Roman" w:hAnsi="Times New Roman"/>
          <w:sz w:val="24"/>
        </w:rPr>
      </w:pPr>
      <w:r>
        <w:rPr>
          <w:rFonts w:ascii="Times New Roman" w:hAnsi="Times New Roman"/>
          <w:sz w:val="24"/>
        </w:rPr>
        <w:t>Основными принципами методики и техники выполнения визуальных наблюдений следует считать: тщательность осмотра сооружений, их элементов и прилегающей территории; систематичность наблюдений во времени; сравнимость результатов, полученных на различных (по времени) стадиях наблюдений. Исходя из этого, маршруты обхода должны обеспечивать полный осмотр (вплоть до каждого квадратного метра) и строго соблюдаться. Все повреждения или неблагоприятные явления, выявленные на сооружении, маркируются, фотографируются, заносятся в журнал наблюдений и отображаются на картах-развертках.</w:t>
      </w:r>
    </w:p>
    <w:p>
      <w:pPr>
        <w:pStyle w:val="Normal"/>
        <w:rPr>
          <w:rFonts w:ascii="Times New Roman" w:hAnsi="Times New Roman"/>
          <w:sz w:val="24"/>
        </w:rPr>
      </w:pPr>
      <w:r>
        <w:rPr>
          <w:rFonts w:ascii="Times New Roman" w:hAnsi="Times New Roman"/>
          <w:sz w:val="24"/>
        </w:rPr>
        <w:t>Сравнение результатов начального и последующих циклов визуальных наблюдений за тем или иным дефектом, явлением или процессом должно производиться регулярно путём сопоставления численных значений или качественных показателей контролируемых параметров, а также методом наложения чертежей, рисунков, схем, фотографий, полученных для одного и того же объекта при различных циклах, но в идентичных условиях съёмки и масштабности. При этом основные построения, цифровые и качественные показатели рекомендуется наносить на карты-развертки сооружения или карты соответствующих его фрагментов.</w:t>
      </w:r>
    </w:p>
    <w:p>
      <w:pPr>
        <w:pStyle w:val="Normal"/>
        <w:rPr>
          <w:rFonts w:ascii="Times New Roman" w:hAnsi="Times New Roman"/>
          <w:sz w:val="24"/>
        </w:rPr>
      </w:pPr>
      <w:r>
        <w:rPr>
          <w:rFonts w:ascii="Times New Roman" w:hAnsi="Times New Roman"/>
          <w:sz w:val="24"/>
        </w:rPr>
        <w:t>При проведении наблюдений следует строго соблюдать правила безопасности при обслуживании гидротехнических сооружений и гидромеханического оборудования энергоснабжающих организаций.</w:t>
      </w:r>
    </w:p>
    <w:p>
      <w:pPr>
        <w:pStyle w:val="Normal"/>
        <w:rPr>
          <w:rFonts w:ascii="Times New Roman" w:hAnsi="Times New Roman"/>
          <w:sz w:val="24"/>
        </w:rPr>
      </w:pPr>
      <w:r>
        <w:rPr>
          <w:rFonts w:ascii="Times New Roman" w:hAnsi="Times New Roman"/>
          <w:sz w:val="24"/>
        </w:rPr>
        <w:t>Следовать к месту проведения наблюдений и обратно следует строго по безопасным маршрутам. В целях обеспечения безопасности при выполнении обхода сооружений, состав группы обходчиков должен состоять не менее чем из двух сотрудников, при этом наблюдения должны проводится техническим персоналом (наблюдатель, техник) с участием инженера-гидротехника. Осмотр дренажно-смотровых колодцев должен выполняться после проверки их газоанализатором.</w:t>
      </w:r>
    </w:p>
    <w:p>
      <w:pPr>
        <w:pStyle w:val="Normal"/>
        <w:rPr>
          <w:rFonts w:ascii="Times New Roman" w:hAnsi="Times New Roman"/>
          <w:sz w:val="24"/>
        </w:rPr>
      </w:pPr>
      <w:r>
        <w:rPr>
          <w:rFonts w:ascii="Times New Roman" w:hAnsi="Times New Roman"/>
          <w:sz w:val="24"/>
        </w:rPr>
        <w:t>Визуальные наблюдения на бетонных и железобетонных сооружениях включают:</w:t>
      </w:r>
    </w:p>
    <w:p>
      <w:pPr>
        <w:pStyle w:val="Normal"/>
        <w:rPr>
          <w:rFonts w:ascii="Times New Roman" w:hAnsi="Times New Roman"/>
          <w:sz w:val="24"/>
        </w:rPr>
      </w:pPr>
      <w:r>
        <w:rPr>
          <w:rFonts w:ascii="Times New Roman" w:hAnsi="Times New Roman"/>
          <w:sz w:val="24"/>
        </w:rPr>
        <w:t>-</w:t>
        <w:tab/>
        <w:t>выявление и оценку механических, коррозийных и химических повреждений и разрушений бетона сооружения и его ответственных элементов;</w:t>
      </w:r>
    </w:p>
    <w:p>
      <w:pPr>
        <w:pStyle w:val="Normal"/>
        <w:rPr>
          <w:rFonts w:ascii="Times New Roman" w:hAnsi="Times New Roman"/>
          <w:sz w:val="24"/>
        </w:rPr>
      </w:pPr>
      <w:r>
        <w:rPr>
          <w:rFonts w:ascii="Times New Roman" w:hAnsi="Times New Roman"/>
          <w:sz w:val="24"/>
        </w:rPr>
        <w:t>-</w:t>
        <w:tab/>
        <w:t>регистрацию образований и оценку характера трещин в бетонной кладке и в несущих нагрузку элементах, вызванных различными факторами;</w:t>
      </w:r>
    </w:p>
    <w:p>
      <w:pPr>
        <w:pStyle w:val="Normal"/>
        <w:rPr>
          <w:rFonts w:ascii="Times New Roman" w:hAnsi="Times New Roman"/>
          <w:sz w:val="24"/>
        </w:rPr>
      </w:pPr>
      <w:r>
        <w:rPr>
          <w:rFonts w:ascii="Times New Roman" w:hAnsi="Times New Roman"/>
          <w:sz w:val="24"/>
        </w:rPr>
        <w:t>-</w:t>
        <w:tab/>
        <w:t>контроль необратимых заметных раскрытий швов;</w:t>
      </w:r>
    </w:p>
    <w:p>
      <w:pPr>
        <w:pStyle w:val="Normal"/>
        <w:rPr>
          <w:rFonts w:ascii="Times New Roman" w:hAnsi="Times New Roman"/>
          <w:sz w:val="24"/>
        </w:rPr>
      </w:pPr>
      <w:r>
        <w:rPr>
          <w:rFonts w:ascii="Times New Roman" w:hAnsi="Times New Roman"/>
          <w:sz w:val="24"/>
        </w:rPr>
        <w:t>-</w:t>
        <w:tab/>
        <w:t>выявление и оценку повреждений защитного слоя бетона (карбонизация, отслоения);</w:t>
      </w:r>
    </w:p>
    <w:p>
      <w:pPr>
        <w:pStyle w:val="Normal"/>
        <w:rPr>
          <w:rFonts w:ascii="Times New Roman" w:hAnsi="Times New Roman"/>
          <w:sz w:val="24"/>
        </w:rPr>
      </w:pPr>
      <w:r>
        <w:rPr>
          <w:rFonts w:ascii="Times New Roman" w:hAnsi="Times New Roman"/>
          <w:sz w:val="24"/>
        </w:rPr>
        <w:t>-</w:t>
        <w:tab/>
        <w:t>оценку процесса коррозии и механических повреждений арматуры;</w:t>
      </w:r>
    </w:p>
    <w:p>
      <w:pPr>
        <w:pStyle w:val="Normal"/>
        <w:rPr>
          <w:rFonts w:ascii="Times New Roman" w:hAnsi="Times New Roman"/>
          <w:sz w:val="24"/>
        </w:rPr>
      </w:pPr>
      <w:r>
        <w:rPr>
          <w:rFonts w:ascii="Times New Roman" w:hAnsi="Times New Roman"/>
          <w:sz w:val="24"/>
        </w:rPr>
        <w:t>-</w:t>
        <w:tab/>
        <w:t>регистрацию очагов и оценку интенсивности процессов выщелачивания бетона (вымывание извести фильтрующейся водой);</w:t>
      </w:r>
    </w:p>
    <w:p>
      <w:pPr>
        <w:pStyle w:val="Normal"/>
        <w:rPr>
          <w:rFonts w:ascii="Times New Roman" w:hAnsi="Times New Roman"/>
          <w:sz w:val="24"/>
        </w:rPr>
      </w:pPr>
      <w:r>
        <w:rPr>
          <w:rFonts w:ascii="Times New Roman" w:hAnsi="Times New Roman"/>
          <w:sz w:val="24"/>
        </w:rPr>
        <w:t>-</w:t>
        <w:tab/>
        <w:t>контроль протечек воды через швы, трещины, бетон.</w:t>
      </w:r>
    </w:p>
    <w:p>
      <w:pPr>
        <w:pStyle w:val="Normal"/>
        <w:rPr>
          <w:rFonts w:ascii="Times New Roman" w:hAnsi="Times New Roman"/>
          <w:sz w:val="24"/>
        </w:rPr>
      </w:pPr>
      <w:r>
        <w:rPr>
          <w:rFonts w:ascii="Times New Roman" w:hAnsi="Times New Roman"/>
          <w:sz w:val="24"/>
        </w:rPr>
        <w:t>Визуальные наблюдения на грунтовых сооружениях, откосах, склонах и прилегающей территории включают:</w:t>
      </w:r>
    </w:p>
    <w:p>
      <w:pPr>
        <w:pStyle w:val="Normal"/>
        <w:rPr>
          <w:rFonts w:ascii="Times New Roman" w:hAnsi="Times New Roman"/>
          <w:sz w:val="24"/>
        </w:rPr>
      </w:pPr>
      <w:r>
        <w:rPr>
          <w:rFonts w:ascii="Times New Roman" w:hAnsi="Times New Roman"/>
          <w:sz w:val="24"/>
        </w:rPr>
        <w:t>-</w:t>
        <w:tab/>
        <w:t>выявление и оценку неконтролируемых выходов фильтрации через сооружения, основание, берега, сопряжения;</w:t>
      </w:r>
    </w:p>
    <w:p>
      <w:pPr>
        <w:pStyle w:val="Normal"/>
        <w:rPr>
          <w:rFonts w:ascii="Times New Roman" w:hAnsi="Times New Roman"/>
          <w:sz w:val="24"/>
        </w:rPr>
      </w:pPr>
      <w:r>
        <w:rPr>
          <w:rFonts w:ascii="Times New Roman" w:hAnsi="Times New Roman"/>
          <w:sz w:val="24"/>
        </w:rPr>
        <w:t>-</w:t>
        <w:tab/>
        <w:t>регистрацию и оценку очагов фильтрационно-суффозионных выносов грунта из сооружения, основания, береговых и пойменных массивов, примыкающих к сооружению;</w:t>
      </w:r>
    </w:p>
    <w:p>
      <w:pPr>
        <w:pStyle w:val="Normal"/>
        <w:rPr>
          <w:rFonts w:ascii="Times New Roman" w:hAnsi="Times New Roman"/>
          <w:sz w:val="24"/>
        </w:rPr>
      </w:pPr>
      <w:r>
        <w:rPr>
          <w:rFonts w:ascii="Times New Roman" w:hAnsi="Times New Roman"/>
          <w:sz w:val="24"/>
        </w:rPr>
        <w:t>-</w:t>
        <w:tab/>
        <w:t>контроль работы и состояния дренажей, водоотводящих выпусков, канав и кюветов;</w:t>
      </w:r>
    </w:p>
    <w:p>
      <w:pPr>
        <w:pStyle w:val="Normal"/>
        <w:rPr>
          <w:rFonts w:ascii="Times New Roman" w:hAnsi="Times New Roman"/>
          <w:sz w:val="24"/>
        </w:rPr>
      </w:pPr>
      <w:r>
        <w:rPr>
          <w:rFonts w:ascii="Times New Roman" w:hAnsi="Times New Roman"/>
          <w:sz w:val="24"/>
        </w:rPr>
        <w:t>-</w:t>
        <w:tab/>
        <w:t>контроль грунтовых деформаций и фильтрации в зонах сопряжения грунтового сооружения с бетонными сооружениями и берегами;</w:t>
      </w:r>
    </w:p>
    <w:p>
      <w:pPr>
        <w:pStyle w:val="Normal"/>
        <w:rPr>
          <w:rFonts w:ascii="Times New Roman" w:hAnsi="Times New Roman"/>
          <w:sz w:val="24"/>
        </w:rPr>
      </w:pPr>
      <w:r>
        <w:rPr>
          <w:rFonts w:ascii="Times New Roman" w:hAnsi="Times New Roman"/>
          <w:sz w:val="24"/>
        </w:rPr>
        <w:t>-</w:t>
        <w:tab/>
        <w:t>фиксирование мест заболачивания территории, примыкающей к подошве сооружения в нижнем бьефе;</w:t>
      </w:r>
    </w:p>
    <w:p>
      <w:pPr>
        <w:pStyle w:val="Normal"/>
        <w:rPr>
          <w:rFonts w:ascii="Times New Roman" w:hAnsi="Times New Roman"/>
          <w:sz w:val="24"/>
        </w:rPr>
      </w:pPr>
      <w:r>
        <w:rPr>
          <w:rFonts w:ascii="Times New Roman" w:hAnsi="Times New Roman"/>
          <w:sz w:val="24"/>
        </w:rPr>
        <w:t>-</w:t>
        <w:tab/>
        <w:t>выявление и оценку местных деформаций откосов, гребня и берм плотин (дамб), а также береговых склонов в примыканиях;</w:t>
      </w:r>
    </w:p>
    <w:p>
      <w:pPr>
        <w:pStyle w:val="Normal"/>
        <w:rPr>
          <w:rFonts w:ascii="Times New Roman" w:hAnsi="Times New Roman"/>
          <w:sz w:val="24"/>
        </w:rPr>
      </w:pPr>
      <w:r>
        <w:rPr>
          <w:rFonts w:ascii="Times New Roman" w:hAnsi="Times New Roman"/>
          <w:sz w:val="24"/>
        </w:rPr>
        <w:t>-</w:t>
        <w:tab/>
        <w:t>выявление, регистрацию и оценку развития всевозможных трещин на гребне, откосах и бермах;</w:t>
      </w:r>
    </w:p>
    <w:p>
      <w:pPr>
        <w:pStyle w:val="Normal"/>
        <w:rPr>
          <w:rFonts w:ascii="Times New Roman" w:hAnsi="Times New Roman"/>
          <w:sz w:val="24"/>
        </w:rPr>
      </w:pPr>
      <w:r>
        <w:rPr>
          <w:rFonts w:ascii="Times New Roman" w:hAnsi="Times New Roman"/>
          <w:sz w:val="24"/>
        </w:rPr>
        <w:t>-</w:t>
        <w:tab/>
        <w:t>контроль состояния креплений верхового и низового откосов, крепления берегов;</w:t>
      </w:r>
    </w:p>
    <w:p>
      <w:pPr>
        <w:pStyle w:val="Normal"/>
        <w:rPr>
          <w:rFonts w:ascii="Times New Roman" w:hAnsi="Times New Roman"/>
          <w:sz w:val="24"/>
        </w:rPr>
      </w:pPr>
      <w:r>
        <w:rPr>
          <w:rFonts w:ascii="Times New Roman" w:hAnsi="Times New Roman"/>
          <w:sz w:val="24"/>
        </w:rPr>
        <w:t>-</w:t>
        <w:tab/>
        <w:t>наблюдения за эрозией берегов;</w:t>
      </w:r>
    </w:p>
    <w:p>
      <w:pPr>
        <w:pStyle w:val="Normal"/>
        <w:rPr>
          <w:rFonts w:ascii="Times New Roman" w:hAnsi="Times New Roman"/>
          <w:sz w:val="24"/>
        </w:rPr>
      </w:pPr>
      <w:r>
        <w:rPr>
          <w:rFonts w:ascii="Times New Roman" w:hAnsi="Times New Roman"/>
          <w:sz w:val="24"/>
        </w:rPr>
        <w:t>-</w:t>
        <w:tab/>
        <w:t>наблюдения за образованием наледей на низовом откосе и прилегающей территории, за ледовым и температурным режимами и мутностью воды водоёмов, образовавшихся в нижнем бьефе вследствие фильтрации;</w:t>
      </w:r>
    </w:p>
    <w:p>
      <w:pPr>
        <w:pStyle w:val="Normal"/>
        <w:rPr>
          <w:rFonts w:ascii="Times New Roman" w:hAnsi="Times New Roman"/>
          <w:sz w:val="24"/>
        </w:rPr>
      </w:pPr>
      <w:r>
        <w:rPr>
          <w:rFonts w:ascii="Times New Roman" w:hAnsi="Times New Roman"/>
          <w:sz w:val="24"/>
        </w:rPr>
        <w:t>-</w:t>
        <w:tab/>
        <w:t>выявление признаков морозного выветривания материалов тела плотины (дамбы);</w:t>
      </w:r>
    </w:p>
    <w:p>
      <w:pPr>
        <w:pStyle w:val="Normal"/>
        <w:rPr>
          <w:rFonts w:ascii="Times New Roman" w:hAnsi="Times New Roman"/>
          <w:sz w:val="24"/>
        </w:rPr>
      </w:pPr>
      <w:r>
        <w:rPr>
          <w:rFonts w:ascii="Times New Roman" w:hAnsi="Times New Roman"/>
          <w:sz w:val="24"/>
        </w:rPr>
        <w:t>-</w:t>
        <w:tab/>
        <w:t>наблюдения за размывами и подмывами сооружения и берегов со стоны нижнего бьефа;</w:t>
      </w:r>
    </w:p>
    <w:p>
      <w:pPr>
        <w:pStyle w:val="Normal"/>
        <w:rPr>
          <w:rFonts w:ascii="Times New Roman" w:hAnsi="Times New Roman"/>
          <w:sz w:val="24"/>
        </w:rPr>
      </w:pPr>
      <w:r>
        <w:rPr>
          <w:rFonts w:ascii="Times New Roman" w:hAnsi="Times New Roman"/>
          <w:sz w:val="24"/>
        </w:rPr>
        <w:t>-</w:t>
        <w:tab/>
        <w:t>наблюдения за развитием древесно-кустарниковой растительности, травяного покрова и поведением землеройных животных на грунтовых сооружениях.</w:t>
      </w:r>
    </w:p>
    <w:p>
      <w:pPr>
        <w:pStyle w:val="Normal"/>
        <w:rPr>
          <w:rFonts w:ascii="Times New Roman" w:hAnsi="Times New Roman"/>
          <w:sz w:val="24"/>
        </w:rPr>
      </w:pPr>
      <w:r>
        <w:rPr>
          <w:rFonts w:ascii="Times New Roman" w:hAnsi="Times New Roman"/>
          <w:sz w:val="24"/>
        </w:rPr>
        <w:t>При организации и проведении визуальных наблюдений за состоянием и работой железобетонных сооружений необходимо исходить из следующих принципиальных положений:</w:t>
      </w:r>
    </w:p>
    <w:p>
      <w:pPr>
        <w:pStyle w:val="Normal"/>
        <w:rPr>
          <w:rFonts w:ascii="Times New Roman" w:hAnsi="Times New Roman"/>
          <w:sz w:val="24"/>
        </w:rPr>
      </w:pPr>
      <w:r>
        <w:rPr>
          <w:rFonts w:ascii="Times New Roman" w:hAnsi="Times New Roman"/>
          <w:sz w:val="24"/>
        </w:rPr>
        <w:t xml:space="preserve">- сооружения разбиваются на участки осмотра и маркируются; </w:t>
      </w:r>
    </w:p>
    <w:p>
      <w:pPr>
        <w:pStyle w:val="Normal"/>
        <w:rPr>
          <w:rFonts w:ascii="Times New Roman" w:hAnsi="Times New Roman"/>
          <w:sz w:val="24"/>
        </w:rPr>
      </w:pPr>
      <w:r>
        <w:rPr>
          <w:rFonts w:ascii="Times New Roman" w:hAnsi="Times New Roman"/>
          <w:sz w:val="24"/>
        </w:rPr>
        <w:t>- на участках осмотра выявляются и фиксируются все повреждения и неблагоприятные явления, возникающие во время строительства и эксплуатации сооружения;</w:t>
      </w:r>
    </w:p>
    <w:p>
      <w:pPr>
        <w:pStyle w:val="Normal"/>
        <w:rPr>
          <w:rFonts w:ascii="Times New Roman" w:hAnsi="Times New Roman"/>
          <w:sz w:val="24"/>
        </w:rPr>
      </w:pPr>
      <w:r>
        <w:rPr>
          <w:rFonts w:ascii="Times New Roman" w:hAnsi="Times New Roman"/>
          <w:sz w:val="24"/>
        </w:rPr>
        <w:t>- на каждый участок осмотра составляется карта-развёртка поверхностей (план-схема), на которую наносятся все обнаруженные повреждения или неблагоприятные явления (пример карты-развёртки приведён на рисунке 4.1.1).</w:t>
      </w:r>
    </w:p>
    <w:p>
      <w:pPr>
        <w:pStyle w:val="Normal"/>
        <w:rPr>
          <w:rFonts w:ascii="Times New Roman" w:hAnsi="Times New Roman"/>
          <w:sz w:val="24"/>
        </w:rPr>
      </w:pPr>
      <w:r>
        <w:rPr>
          <w:rFonts w:ascii="Times New Roman" w:hAnsi="Times New Roman"/>
          <w:sz w:val="24"/>
        </w:rPr>
      </w:r>
    </w:p>
    <w:p>
      <w:pPr>
        <w:pStyle w:val="Normal"/>
        <w:ind w:left="0" w:right="0" w:hanging="0"/>
        <w:jc w:val="center"/>
        <w:rPr>
          <w:rFonts w:ascii="Times New Roman" w:hAnsi="Times New Roman"/>
          <w:sz w:val="24"/>
        </w:rPr>
      </w:pPr>
      <w:r>
        <w:rPr/>
        <w:drawing>
          <wp:inline distT="0" distB="0" distL="0" distR="0">
            <wp:extent cx="5572125" cy="2989580"/>
            <wp:effectExtent l="0" t="0" r="0" b="0"/>
            <wp:docPr id="34" name="Рисунок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48" descr=""/>
                    <pic:cNvPicPr>
                      <a:picLocks noChangeAspect="1" noChangeArrowheads="1"/>
                    </pic:cNvPicPr>
                  </pic:nvPicPr>
                  <pic:blipFill>
                    <a:blip r:embed="rId45"/>
                    <a:stretch>
                      <a:fillRect/>
                    </a:stretch>
                  </pic:blipFill>
                  <pic:spPr bwMode="auto">
                    <a:xfrm>
                      <a:off x="0" y="0"/>
                      <a:ext cx="5572125" cy="2989580"/>
                    </a:xfrm>
                    <a:prstGeom prst="rect">
                      <a:avLst/>
                    </a:prstGeom>
                  </pic:spPr>
                </pic:pic>
              </a:graphicData>
            </a:graphic>
          </wp:inline>
        </w:drawing>
      </w:r>
    </w:p>
    <w:p>
      <w:pPr>
        <w:pStyle w:val="Normal"/>
        <w:ind w:left="0" w:right="0" w:hanging="0"/>
        <w:jc w:val="center"/>
        <w:rPr>
          <w:rFonts w:ascii="Times New Roman" w:hAnsi="Times New Roman"/>
          <w:sz w:val="24"/>
        </w:rPr>
      </w:pPr>
      <w:r>
        <w:rPr/>
        <w:drawing>
          <wp:inline distT="0" distB="0" distL="0" distR="0">
            <wp:extent cx="6031865" cy="1254760"/>
            <wp:effectExtent l="0" t="0" r="0" b="0"/>
            <wp:docPr id="35" name="Рисунок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69" descr=""/>
                    <pic:cNvPicPr>
                      <a:picLocks noChangeAspect="1" noChangeArrowheads="1"/>
                    </pic:cNvPicPr>
                  </pic:nvPicPr>
                  <pic:blipFill>
                    <a:blip r:embed="rId46"/>
                    <a:stretch>
                      <a:fillRect/>
                    </a:stretch>
                  </pic:blipFill>
                  <pic:spPr bwMode="auto">
                    <a:xfrm>
                      <a:off x="0" y="0"/>
                      <a:ext cx="6031865" cy="1254760"/>
                    </a:xfrm>
                    <a:prstGeom prst="rect">
                      <a:avLst/>
                    </a:prstGeom>
                  </pic:spPr>
                </pic:pic>
              </a:graphicData>
            </a:graphic>
          </wp:inline>
        </w:drawing>
      </w:r>
    </w:p>
    <w:p>
      <w:pPr>
        <w:pStyle w:val="Normal"/>
        <w:rPr>
          <w:rFonts w:ascii="Times New Roman" w:hAnsi="Times New Roman"/>
          <w:sz w:val="24"/>
        </w:rPr>
      </w:pPr>
      <w:r>
        <w:rPr>
          <w:rFonts w:ascii="Times New Roman" w:hAnsi="Times New Roman"/>
          <w:sz w:val="24"/>
        </w:rPr>
        <w:t>Рисунок 4.1.1 – Пример карты-развёртки с нанесенными дефектами в галереи</w:t>
      </w:r>
    </w:p>
    <w:p>
      <w:pPr>
        <w:pStyle w:val="Normal"/>
        <w:rPr>
          <w:rFonts w:ascii="Times New Roman" w:hAnsi="Times New Roman"/>
          <w:sz w:val="24"/>
        </w:rPr>
      </w:pPr>
      <w:r>
        <w:rPr>
          <w:rFonts w:ascii="Times New Roman" w:hAnsi="Times New Roman"/>
          <w:sz w:val="24"/>
        </w:rPr>
      </w:r>
    </w:p>
    <w:p>
      <w:pPr>
        <w:pStyle w:val="Normal"/>
        <w:rPr>
          <w:rFonts w:ascii="Times New Roman" w:hAnsi="Times New Roman"/>
          <w:sz w:val="24"/>
        </w:rPr>
      </w:pPr>
      <w:r>
        <w:rPr>
          <w:rFonts w:ascii="Times New Roman" w:hAnsi="Times New Roman"/>
          <w:sz w:val="24"/>
        </w:rPr>
        <w:t>Визуальные маршруты обхода сооружения должны обеспечивать полный их осмотр и должны строго соблюдаться.</w:t>
      </w:r>
    </w:p>
    <w:p>
      <w:pPr>
        <w:pStyle w:val="Normal"/>
        <w:rPr>
          <w:rFonts w:ascii="Times New Roman" w:hAnsi="Times New Roman"/>
          <w:sz w:val="24"/>
        </w:rPr>
      </w:pPr>
      <w:r>
        <w:rPr>
          <w:rFonts w:ascii="Times New Roman" w:hAnsi="Times New Roman"/>
          <w:sz w:val="24"/>
        </w:rPr>
        <w:t>Результаты визуальных наблюдений оформляются в журнале визуальных наблюдений. На основании анализа материалов наблюдений производиться оперативная оценка состояния сооружений (форма журнала визуальных наблюдений приведена в графической части настоящего Регламента в приложении К).</w:t>
      </w:r>
    </w:p>
    <w:p>
      <w:pPr>
        <w:pStyle w:val="Normal"/>
        <w:rPr>
          <w:rFonts w:ascii="Times New Roman" w:hAnsi="Times New Roman"/>
          <w:sz w:val="24"/>
        </w:rPr>
      </w:pPr>
      <w:r>
        <w:rPr>
          <w:rFonts w:ascii="Times New Roman" w:hAnsi="Times New Roman"/>
          <w:sz w:val="24"/>
        </w:rPr>
        <w:t xml:space="preserve">Строительные дефекты и повреждения, не оказывающие влияния на надёжность и безопасность сооружений (нефильтрующие раковины и каверны, отколы бетона, обнажённая арматура, места непроработанного бетона, неснятая опалубка и т.п.), при первом цикле визуальных наблюдений заносятся в специальную ведомость дефектов. Эти дефекты не нуждаются в систематическом наблюдении и должны устраняться по возможности. </w:t>
      </w:r>
    </w:p>
    <w:p>
      <w:pPr>
        <w:pStyle w:val="Normal"/>
        <w:rPr>
          <w:rFonts w:ascii="Times New Roman" w:hAnsi="Times New Roman"/>
          <w:sz w:val="24"/>
        </w:rPr>
      </w:pPr>
      <w:r>
        <w:rPr>
          <w:rFonts w:ascii="Times New Roman" w:hAnsi="Times New Roman"/>
          <w:sz w:val="24"/>
        </w:rPr>
        <w:t>В недоступных местах (потолок, участки стен и колонн выше человеческого роста) осмотры осуществляются с помощью бинокля.</w:t>
      </w:r>
    </w:p>
    <w:p>
      <w:pPr>
        <w:pStyle w:val="Normal"/>
        <w:rPr>
          <w:rFonts w:ascii="Times New Roman" w:hAnsi="Times New Roman"/>
          <w:sz w:val="24"/>
        </w:rPr>
      </w:pPr>
      <w:r>
        <w:rPr>
          <w:rFonts w:ascii="Times New Roman" w:hAnsi="Times New Roman"/>
          <w:sz w:val="24"/>
        </w:rPr>
        <w:t>Границы участков осмотра наружных и внутренних поверхностей бетонных сооружений доступных осмотру, целесообразно установить по деформационным швам; маркировать участки осмотра следует в соответствии с принятой нумерацией секций. Кроме того, отмечаются и маркируются на месте дренажные скважины основания, места установки измерительного оборудования (водосборники, лотки, мерные водосливы, щелемеры, маяки, и т.п.).</w:t>
      </w:r>
    </w:p>
    <w:p>
      <w:pPr>
        <w:pStyle w:val="Normal"/>
        <w:rPr>
          <w:rFonts w:ascii="Times New Roman" w:hAnsi="Times New Roman"/>
          <w:sz w:val="24"/>
        </w:rPr>
      </w:pPr>
      <w:r>
        <w:rPr>
          <w:rFonts w:ascii="Times New Roman" w:hAnsi="Times New Roman"/>
          <w:sz w:val="24"/>
        </w:rPr>
        <w:t xml:space="preserve">На участках осмотра бетонных сооружений выявляются и фиксируются на месте все повреждения или неблагоприятные явления (трещины, явления деформационного характера, очаги фильтрации воды и т.п.). Наиболее крупные повреждения фотографируются, а фотографии прикладываются. Фотосъёмка производится с одного и того же места, с идентичным расположением кадра, одинаковым увеличением. Фотосъёмку желательно производить в одни и те же дни месяца, при одинаковом освещении. </w:t>
      </w:r>
    </w:p>
    <w:p>
      <w:pPr>
        <w:pStyle w:val="Normal"/>
        <w:rPr>
          <w:rFonts w:ascii="Times New Roman" w:hAnsi="Times New Roman"/>
          <w:sz w:val="24"/>
        </w:rPr>
      </w:pPr>
      <w:r>
        <w:rPr>
          <w:rFonts w:ascii="Times New Roman" w:hAnsi="Times New Roman"/>
          <w:sz w:val="24"/>
        </w:rPr>
        <w:t>На картах-развёртках участков осмотра поверхностей сооружения условными обозначениями в соответствии с принятой маркировкой наносятся конструктивные элементы, установленная КИА, а также повреждения или неблагоприятные явления. Протекающие дрены, швы, трещины, фильтрующие участки фиксируются с указанием интенсивности их излива, характеризуемой следующим образом:</w:t>
      </w:r>
    </w:p>
    <w:p>
      <w:pPr>
        <w:pStyle w:val="Normal"/>
        <w:rPr>
          <w:rFonts w:ascii="Times New Roman" w:hAnsi="Times New Roman"/>
          <w:sz w:val="24"/>
        </w:rPr>
      </w:pPr>
      <w:r>
        <w:rPr>
          <w:rFonts w:ascii="Times New Roman" w:hAnsi="Times New Roman"/>
          <w:sz w:val="24"/>
        </w:rPr>
        <w:t>- влажные пятна – бетон на ощупь сырой;</w:t>
      </w:r>
    </w:p>
    <w:p>
      <w:pPr>
        <w:pStyle w:val="Normal"/>
        <w:rPr>
          <w:rFonts w:ascii="Times New Roman" w:hAnsi="Times New Roman"/>
          <w:sz w:val="24"/>
        </w:rPr>
      </w:pPr>
      <w:r>
        <w:rPr>
          <w:rFonts w:ascii="Times New Roman" w:hAnsi="Times New Roman"/>
          <w:sz w:val="24"/>
        </w:rPr>
        <w:t>- мокрые пятна – рука увлажняется;</w:t>
      </w:r>
    </w:p>
    <w:p>
      <w:pPr>
        <w:pStyle w:val="Normal"/>
        <w:rPr>
          <w:rFonts w:ascii="Times New Roman" w:hAnsi="Times New Roman"/>
          <w:sz w:val="24"/>
        </w:rPr>
      </w:pPr>
      <w:r>
        <w:rPr>
          <w:rFonts w:ascii="Times New Roman" w:hAnsi="Times New Roman"/>
          <w:sz w:val="24"/>
        </w:rPr>
        <w:t>- сочащиеся участки поверхности – без течи, но покрытые каплями воды;</w:t>
      </w:r>
    </w:p>
    <w:p>
      <w:pPr>
        <w:pStyle w:val="Normal"/>
        <w:rPr>
          <w:rFonts w:ascii="Times New Roman" w:hAnsi="Times New Roman"/>
          <w:sz w:val="24"/>
        </w:rPr>
      </w:pPr>
      <w:r>
        <w:rPr>
          <w:rFonts w:ascii="Times New Roman" w:hAnsi="Times New Roman"/>
          <w:sz w:val="24"/>
        </w:rPr>
        <w:t>- малые течи – стекающие капли, средние стекающие струйки;</w:t>
      </w:r>
    </w:p>
    <w:p>
      <w:pPr>
        <w:pStyle w:val="Normal"/>
        <w:rPr>
          <w:rFonts w:ascii="Times New Roman" w:hAnsi="Times New Roman"/>
          <w:sz w:val="24"/>
        </w:rPr>
      </w:pPr>
      <w:r>
        <w:rPr>
          <w:rFonts w:ascii="Times New Roman" w:hAnsi="Times New Roman"/>
          <w:sz w:val="24"/>
        </w:rPr>
        <w:t>- большие течи -  наличие сплошного слоя текущей по бетону воды;</w:t>
      </w:r>
    </w:p>
    <w:p>
      <w:pPr>
        <w:pStyle w:val="Normal"/>
        <w:rPr>
          <w:rFonts w:ascii="Times New Roman" w:hAnsi="Times New Roman"/>
          <w:sz w:val="24"/>
        </w:rPr>
      </w:pPr>
      <w:r>
        <w:rPr>
          <w:rFonts w:ascii="Times New Roman" w:hAnsi="Times New Roman"/>
          <w:sz w:val="24"/>
        </w:rPr>
        <w:t>- свищи – отдельные струи, отрывающиеся от бетона;</w:t>
      </w:r>
    </w:p>
    <w:p>
      <w:pPr>
        <w:pStyle w:val="Normal"/>
        <w:rPr>
          <w:rFonts w:ascii="Times New Roman" w:hAnsi="Times New Roman"/>
          <w:sz w:val="24"/>
        </w:rPr>
      </w:pPr>
      <w:r>
        <w:rPr>
          <w:rFonts w:ascii="Times New Roman" w:hAnsi="Times New Roman"/>
          <w:sz w:val="24"/>
        </w:rPr>
        <w:t>- подтёки – налёты продуктов выщелачивания на поверхности бетона.</w:t>
      </w:r>
    </w:p>
    <w:p>
      <w:pPr>
        <w:pStyle w:val="Normal"/>
        <w:rPr>
          <w:rFonts w:ascii="Times New Roman" w:hAnsi="Times New Roman"/>
          <w:sz w:val="24"/>
        </w:rPr>
      </w:pPr>
      <w:r>
        <w:rPr>
          <w:rFonts w:ascii="Times New Roman" w:hAnsi="Times New Roman"/>
          <w:sz w:val="24"/>
        </w:rPr>
        <w:t>На участке осмотра персонал должен передвигаться от повреждения к повреждению согласно их нумерации, фиксируя изменения, произошедшие со времени их последнего осмотра, обращая внимание на возможность появления нового повреждения или неблагоприятного явления.</w:t>
      </w:r>
    </w:p>
    <w:p>
      <w:pPr>
        <w:pStyle w:val="Normal"/>
        <w:rPr>
          <w:rFonts w:ascii="Times New Roman" w:hAnsi="Times New Roman"/>
          <w:sz w:val="24"/>
        </w:rPr>
      </w:pPr>
      <w:r>
        <w:rPr>
          <w:rFonts w:ascii="Times New Roman" w:hAnsi="Times New Roman"/>
          <w:sz w:val="24"/>
        </w:rPr>
        <w:t>Приблизительную оценку прочности бетона при визуальном осмотре следует делать путём простукивания молотком и опробованием зубилом. Глухой звук, вмятины при ударе и слабое сопротивление отколу указывает на снижение прочности бетона. Если при этом на значительных участках обнаруживаются дефекты, то на этих участках производится определение прочности бетона в поверхностном слое механическими методами – с помощью диска Губера или шарикового молотка И.А. Физделя, К.П. Кашкарова и др. Эти исследования выполняются по указанию и с участием научно-исследовательской организации. В случае необходимости производятся лабораторные испытания выбуренных образцов бетона или исследования неразрушающими методами контроля с целью разработки мероприятий для восстановления монолитности сооружения.</w:t>
      </w:r>
    </w:p>
    <w:p>
      <w:pPr>
        <w:pStyle w:val="Normal"/>
        <w:rPr>
          <w:rFonts w:ascii="Times New Roman" w:hAnsi="Times New Roman"/>
          <w:sz w:val="24"/>
        </w:rPr>
      </w:pPr>
      <w:r>
        <w:rPr>
          <w:rFonts w:ascii="Times New Roman" w:hAnsi="Times New Roman"/>
          <w:sz w:val="24"/>
        </w:rPr>
        <w:t>При записях в журнале визуальных наблюдений указываются характеристики повреждений или неблагоприятных явлений, например:</w:t>
      </w:r>
    </w:p>
    <w:p>
      <w:pPr>
        <w:pStyle w:val="Normal"/>
        <w:rPr>
          <w:rFonts w:ascii="Times New Roman" w:hAnsi="Times New Roman"/>
          <w:sz w:val="24"/>
        </w:rPr>
      </w:pPr>
      <w:r>
        <w:rPr>
          <w:rFonts w:ascii="Times New Roman" w:hAnsi="Times New Roman"/>
          <w:sz w:val="24"/>
        </w:rPr>
        <w:t>- деформационные швы – характер фильтрации воды, повреждения кромок, следы вытекания заполнителя, состояние уплотнений;</w:t>
      </w:r>
    </w:p>
    <w:p>
      <w:pPr>
        <w:pStyle w:val="Normal"/>
        <w:rPr>
          <w:rFonts w:ascii="Times New Roman" w:hAnsi="Times New Roman"/>
          <w:sz w:val="24"/>
        </w:rPr>
      </w:pPr>
      <w:r>
        <w:rPr>
          <w:rFonts w:ascii="Times New Roman" w:hAnsi="Times New Roman"/>
          <w:sz w:val="24"/>
        </w:rPr>
        <w:t>- трещины и швы – размеры с указанием раскрытия;</w:t>
      </w:r>
    </w:p>
    <w:p>
      <w:pPr>
        <w:pStyle w:val="Normal"/>
        <w:rPr>
          <w:rFonts w:ascii="Times New Roman" w:hAnsi="Times New Roman"/>
          <w:sz w:val="24"/>
        </w:rPr>
      </w:pPr>
      <w:r>
        <w:rPr>
          <w:rFonts w:ascii="Times New Roman" w:hAnsi="Times New Roman"/>
          <w:sz w:val="24"/>
        </w:rPr>
        <w:t>- пятна – степень влажности;</w:t>
      </w:r>
    </w:p>
    <w:p>
      <w:pPr>
        <w:pStyle w:val="Normal"/>
        <w:rPr>
          <w:rFonts w:ascii="Times New Roman" w:hAnsi="Times New Roman"/>
          <w:sz w:val="24"/>
        </w:rPr>
      </w:pPr>
      <w:r>
        <w:rPr>
          <w:rFonts w:ascii="Times New Roman" w:hAnsi="Times New Roman"/>
          <w:sz w:val="24"/>
        </w:rPr>
        <w:t>- течи – интенсивность;</w:t>
      </w:r>
    </w:p>
    <w:p>
      <w:pPr>
        <w:pStyle w:val="Normal"/>
        <w:rPr>
          <w:rFonts w:ascii="Times New Roman" w:hAnsi="Times New Roman"/>
          <w:sz w:val="24"/>
        </w:rPr>
      </w:pPr>
      <w:r>
        <w:rPr>
          <w:rFonts w:ascii="Times New Roman" w:hAnsi="Times New Roman"/>
          <w:sz w:val="24"/>
        </w:rPr>
        <w:t>- раковины – глубина, обнажённость арматуры, наличие или отсутствие фильтрации, потёков;</w:t>
      </w:r>
    </w:p>
    <w:p>
      <w:pPr>
        <w:pStyle w:val="Normal"/>
        <w:rPr>
          <w:rFonts w:ascii="Times New Roman" w:hAnsi="Times New Roman"/>
          <w:sz w:val="24"/>
        </w:rPr>
      </w:pPr>
      <w:r>
        <w:rPr>
          <w:rFonts w:ascii="Times New Roman" w:hAnsi="Times New Roman"/>
          <w:sz w:val="24"/>
        </w:rPr>
        <w:t>- отслаивание и другие местные повреждения бетона – обнажение арматуры, выкрашивание углов и рёбер, общая характеристика данного дефекта;</w:t>
      </w:r>
    </w:p>
    <w:p>
      <w:pPr>
        <w:pStyle w:val="Normal"/>
        <w:rPr>
          <w:rFonts w:ascii="Times New Roman" w:hAnsi="Times New Roman"/>
          <w:sz w:val="24"/>
        </w:rPr>
      </w:pPr>
      <w:r>
        <w:rPr>
          <w:rFonts w:ascii="Times New Roman" w:hAnsi="Times New Roman"/>
          <w:sz w:val="24"/>
        </w:rPr>
        <w:t>- налёты и подтёки – площадь, толщина, цвет, влажность или сухость, наличие фильтрации.</w:t>
      </w:r>
    </w:p>
    <w:p>
      <w:pPr>
        <w:pStyle w:val="Normal"/>
        <w:rPr>
          <w:rFonts w:ascii="Times New Roman" w:hAnsi="Times New Roman"/>
          <w:sz w:val="24"/>
        </w:rPr>
      </w:pPr>
      <w:r>
        <w:rPr>
          <w:rFonts w:ascii="Times New Roman" w:hAnsi="Times New Roman"/>
          <w:sz w:val="24"/>
        </w:rPr>
        <w:t>Трещины, возникающие в элементах гидротехнических сооружений, подразделяются на усадочные, температурные и эксплуатационные.</w:t>
      </w:r>
    </w:p>
    <w:p>
      <w:pPr>
        <w:pStyle w:val="Normal"/>
        <w:rPr>
          <w:rFonts w:ascii="Times New Roman" w:hAnsi="Times New Roman"/>
          <w:sz w:val="24"/>
        </w:rPr>
      </w:pPr>
      <w:r>
        <w:rPr>
          <w:rFonts w:ascii="Times New Roman" w:hAnsi="Times New Roman"/>
          <w:sz w:val="24"/>
        </w:rPr>
        <w:t>Усадочные – появляются в период твердения бетона при его сжатии, вызванном усадочными явлениями материала.</w:t>
      </w:r>
    </w:p>
    <w:p>
      <w:pPr>
        <w:pStyle w:val="Normal"/>
        <w:rPr>
          <w:rFonts w:ascii="Times New Roman" w:hAnsi="Times New Roman"/>
          <w:sz w:val="24"/>
        </w:rPr>
      </w:pPr>
      <w:r>
        <w:rPr>
          <w:rFonts w:ascii="Times New Roman" w:hAnsi="Times New Roman"/>
          <w:sz w:val="24"/>
        </w:rPr>
        <w:t>Осадочные – возникают при строительстве и эксплуатации гидротехнических сооружений в результате неравномерных осадок или подъёмов. Они чаще всего пронизывают значительную часть сооружения или всю его толщу. Осадочные трещины наиболее опасные.</w:t>
      </w:r>
    </w:p>
    <w:p>
      <w:pPr>
        <w:pStyle w:val="Normal"/>
        <w:rPr>
          <w:rFonts w:ascii="Times New Roman" w:hAnsi="Times New Roman"/>
          <w:sz w:val="24"/>
        </w:rPr>
      </w:pPr>
      <w:r>
        <w:rPr>
          <w:rFonts w:ascii="Times New Roman" w:hAnsi="Times New Roman"/>
          <w:sz w:val="24"/>
        </w:rPr>
        <w:t>Температурные трещины образуются также в периоды твердения бетона и эксплуатации при изменении температурных и температурно-влажностных воздействий.</w:t>
      </w:r>
    </w:p>
    <w:p>
      <w:pPr>
        <w:pStyle w:val="Normal"/>
        <w:rPr>
          <w:rFonts w:ascii="Times New Roman" w:hAnsi="Times New Roman"/>
          <w:sz w:val="24"/>
        </w:rPr>
      </w:pPr>
      <w:r>
        <w:rPr>
          <w:rFonts w:ascii="Times New Roman" w:hAnsi="Times New Roman"/>
          <w:sz w:val="24"/>
        </w:rPr>
        <w:t>Эксплуатационные (силовые) – возникают также в результате перегрузок отдельных элементов или всего сооружения в период эксплуатации. Они также относятся к категории наиболее опасных и со временем могут изменять свои геометрические параметры.</w:t>
      </w:r>
    </w:p>
    <w:p>
      <w:pPr>
        <w:pStyle w:val="Normal"/>
        <w:rPr>
          <w:rFonts w:ascii="Times New Roman" w:hAnsi="Times New Roman"/>
          <w:sz w:val="24"/>
        </w:rPr>
      </w:pPr>
      <w:r>
        <w:rPr>
          <w:rFonts w:ascii="Times New Roman" w:hAnsi="Times New Roman"/>
          <w:sz w:val="24"/>
        </w:rPr>
        <w:t>В зависимости от характера развития трещины подразделяют на прогрессирующие (активные), увеличивающиеся с течением времени; стабилизирующиеся (затухающие), развитие которых уменьшается; неактивные (пассивные), имеющие практически стабильные размеры.</w:t>
      </w:r>
    </w:p>
    <w:p>
      <w:pPr>
        <w:pStyle w:val="Normal"/>
        <w:rPr>
          <w:rFonts w:ascii="Times New Roman" w:hAnsi="Times New Roman"/>
          <w:sz w:val="24"/>
        </w:rPr>
      </w:pPr>
      <w:r>
        <w:rPr>
          <w:rFonts w:ascii="Times New Roman" w:hAnsi="Times New Roman"/>
          <w:sz w:val="24"/>
        </w:rPr>
        <w:t>Наблюдения за трещинами заключаются в изучении закономерностей их поведения во времени, определении их длины и степени раскрытия. Длина трещины и её местоположение определяется с помощью рулетки с точностью до 0,1 м. Для качественного определения состояния трещины необходимо использовать специальные гипсовые или стеклянные маяки, устанавливаемые на трещину. Для определения количественной величины её раскрытия применяется либо штрих-шаблон с нанесёнными штрихами разной толщины через 0,1 мм, либо переносная лупа с мерными делениями, либо микроскоп Бринелля МПБ-2 с ценой деления 0,05 мм. Наиболее крупные трещины необходимо оборудовать щелемерами.</w:t>
      </w:r>
    </w:p>
    <w:p>
      <w:pPr>
        <w:pStyle w:val="Normal"/>
        <w:rPr>
          <w:rFonts w:ascii="Times New Roman" w:hAnsi="Times New Roman"/>
          <w:sz w:val="24"/>
        </w:rPr>
      </w:pPr>
      <w:r>
        <w:rPr>
          <w:rFonts w:ascii="Times New Roman" w:hAnsi="Times New Roman"/>
          <w:sz w:val="24"/>
        </w:rPr>
        <w:t>При обнаружении новой трещины необходимо выполнить следующее:</w:t>
      </w:r>
    </w:p>
    <w:p>
      <w:pPr>
        <w:pStyle w:val="Normal"/>
        <w:rPr>
          <w:rFonts w:ascii="Times New Roman" w:hAnsi="Times New Roman"/>
          <w:sz w:val="24"/>
        </w:rPr>
      </w:pPr>
      <w:r>
        <w:rPr>
          <w:rFonts w:ascii="Times New Roman" w:hAnsi="Times New Roman"/>
          <w:sz w:val="24"/>
        </w:rPr>
        <w:t>- проследить визуально трещину на всем её протяжении;</w:t>
      </w:r>
    </w:p>
    <w:p>
      <w:pPr>
        <w:pStyle w:val="Normal"/>
        <w:rPr>
          <w:rFonts w:ascii="Times New Roman" w:hAnsi="Times New Roman"/>
          <w:sz w:val="24"/>
        </w:rPr>
      </w:pPr>
      <w:r>
        <w:rPr>
          <w:rFonts w:ascii="Times New Roman" w:hAnsi="Times New Roman"/>
          <w:sz w:val="24"/>
        </w:rPr>
        <w:t>- след трещины от её начала до конца отметить;</w:t>
      </w:r>
    </w:p>
    <w:p>
      <w:pPr>
        <w:pStyle w:val="Normal"/>
        <w:rPr>
          <w:rFonts w:ascii="Times New Roman" w:hAnsi="Times New Roman"/>
          <w:sz w:val="24"/>
        </w:rPr>
      </w:pPr>
      <w:r>
        <w:rPr>
          <w:rFonts w:ascii="Times New Roman" w:hAnsi="Times New Roman"/>
          <w:sz w:val="24"/>
        </w:rPr>
        <w:t>- сфотографировать трещину в её продольном направлении и в местах с максимальным её раскрытием, положив поперёк трещины какой-либо предмет для масштабности (авторучку, блокнот, линейку и т.п.);</w:t>
      </w:r>
    </w:p>
    <w:p>
      <w:pPr>
        <w:pStyle w:val="Normal"/>
        <w:rPr>
          <w:rFonts w:ascii="Times New Roman" w:hAnsi="Times New Roman"/>
          <w:sz w:val="24"/>
        </w:rPr>
      </w:pPr>
      <w:r>
        <w:rPr>
          <w:rFonts w:ascii="Times New Roman" w:hAnsi="Times New Roman"/>
          <w:sz w:val="24"/>
        </w:rPr>
        <w:t>- через определённые интервалы, например, через 2 – 3 м или через 5 – 10 м, в зависимости от общей длины трещины, тщательно измерить ширину раскрытия трещины с максимально возможной точностью (если между гранями трещины есть уступы – их следует также замерить), результаты измерений записать в журнал (заранее следует присвоить трещине какой-либо порядковый номер, например, Тр. № 1, Тр. № 2 и т.д.);</w:t>
      </w:r>
    </w:p>
    <w:p>
      <w:pPr>
        <w:pStyle w:val="Normal"/>
        <w:rPr>
          <w:rFonts w:ascii="Times New Roman" w:hAnsi="Times New Roman"/>
          <w:sz w:val="24"/>
        </w:rPr>
      </w:pPr>
      <w:r>
        <w:rPr>
          <w:rFonts w:ascii="Times New Roman" w:hAnsi="Times New Roman"/>
          <w:sz w:val="24"/>
        </w:rPr>
        <w:t>- тщательно нанести трещину на масштабную карту-развёртку перекрытия и стены здания;</w:t>
      </w:r>
    </w:p>
    <w:p>
      <w:pPr>
        <w:pStyle w:val="Normal"/>
        <w:rPr>
          <w:rFonts w:ascii="Times New Roman" w:hAnsi="Times New Roman"/>
          <w:sz w:val="24"/>
        </w:rPr>
      </w:pPr>
      <w:r>
        <w:rPr>
          <w:rFonts w:ascii="Times New Roman" w:hAnsi="Times New Roman"/>
          <w:sz w:val="24"/>
        </w:rPr>
        <w:t>- в местах измерений раскрытия трещины и уступов на карте обозначить цифрами полученные величины;</w:t>
      </w:r>
    </w:p>
    <w:p>
      <w:pPr>
        <w:pStyle w:val="Normal"/>
        <w:rPr>
          <w:rFonts w:ascii="Times New Roman" w:hAnsi="Times New Roman"/>
          <w:sz w:val="24"/>
        </w:rPr>
      </w:pPr>
      <w:r>
        <w:rPr>
          <w:rFonts w:ascii="Times New Roman" w:hAnsi="Times New Roman"/>
          <w:sz w:val="24"/>
        </w:rPr>
        <w:t>- на карте-развёртке необходимо чётко обозначить трещину с присвоенным ей номером и пометить дату, когда она была обнаружена;</w:t>
      </w:r>
    </w:p>
    <w:p>
      <w:pPr>
        <w:pStyle w:val="Normal"/>
        <w:rPr>
          <w:rFonts w:ascii="Times New Roman" w:hAnsi="Times New Roman"/>
          <w:sz w:val="24"/>
        </w:rPr>
      </w:pPr>
      <w:r>
        <w:rPr>
          <w:rFonts w:ascii="Times New Roman" w:hAnsi="Times New Roman"/>
          <w:sz w:val="24"/>
        </w:rPr>
        <w:t>- организовать систематические наблюдения за поведением трещины (изменениями её раскрытия и протяженности, см. рисунок 4.1.2).</w:t>
      </w:r>
    </w:p>
    <w:p>
      <w:pPr>
        <w:pStyle w:val="Normal"/>
        <w:rPr>
          <w:rFonts w:ascii="Times New Roman" w:hAnsi="Times New Roman"/>
          <w:sz w:val="24"/>
        </w:rPr>
      </w:pPr>
      <w:r>
        <w:rPr>
          <w:rFonts w:ascii="Times New Roman" w:hAnsi="Times New Roman"/>
          <w:sz w:val="24"/>
        </w:rPr>
      </w:r>
    </w:p>
    <w:p>
      <w:pPr>
        <w:pStyle w:val="Normal"/>
        <w:spacing w:lineRule="auto" w:line="240"/>
        <w:ind w:left="0" w:right="0" w:hanging="0"/>
        <w:jc w:val="center"/>
        <w:rPr>
          <w:rFonts w:ascii="Times New Roman" w:hAnsi="Times New Roman"/>
          <w:sz w:val="24"/>
        </w:rPr>
      </w:pPr>
      <w:r>
        <w:rPr/>
        <w:drawing>
          <wp:inline distT="0" distB="0" distL="0" distR="0">
            <wp:extent cx="5853430" cy="4085590"/>
            <wp:effectExtent l="0" t="0" r="0" b="0"/>
            <wp:docPr id="36" name="Рисунок 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74" descr=""/>
                    <pic:cNvPicPr>
                      <a:picLocks noChangeAspect="1" noChangeArrowheads="1"/>
                    </pic:cNvPicPr>
                  </pic:nvPicPr>
                  <pic:blipFill>
                    <a:blip r:embed="rId47"/>
                    <a:stretch>
                      <a:fillRect/>
                    </a:stretch>
                  </pic:blipFill>
                  <pic:spPr bwMode="auto">
                    <a:xfrm>
                      <a:off x="0" y="0"/>
                      <a:ext cx="5853430" cy="4085590"/>
                    </a:xfrm>
                    <a:prstGeom prst="rect">
                      <a:avLst/>
                    </a:prstGeom>
                  </pic:spPr>
                </pic:pic>
              </a:graphicData>
            </a:graphic>
          </wp:inline>
        </w:drawing>
      </w:r>
    </w:p>
    <w:p>
      <w:pPr>
        <w:pStyle w:val="Normal"/>
        <w:spacing w:lineRule="auto" w:line="240"/>
        <w:ind w:left="0" w:right="0" w:hanging="0"/>
        <w:jc w:val="center"/>
        <w:rPr>
          <w:rFonts w:ascii="Times New Roman" w:hAnsi="Times New Roman"/>
          <w:sz w:val="24"/>
        </w:rPr>
      </w:pPr>
      <w:r>
        <w:rPr>
          <w:rFonts w:ascii="Times New Roman" w:hAnsi="Times New Roman"/>
          <w:sz w:val="24"/>
        </w:rPr>
        <w:t>Рисунок 4.1.2 – Контроль раскрытия трещины</w:t>
      </w:r>
    </w:p>
    <w:p>
      <w:pPr>
        <w:pStyle w:val="Normal"/>
        <w:rPr>
          <w:rFonts w:ascii="Times New Roman" w:hAnsi="Times New Roman"/>
          <w:sz w:val="24"/>
        </w:rPr>
      </w:pPr>
      <w:r>
        <w:rPr>
          <w:rFonts w:ascii="Times New Roman" w:hAnsi="Times New Roman"/>
          <w:sz w:val="24"/>
        </w:rPr>
      </w:r>
    </w:p>
    <w:p>
      <w:pPr>
        <w:pStyle w:val="Normal"/>
        <w:rPr>
          <w:rFonts w:ascii="Times New Roman" w:hAnsi="Times New Roman"/>
          <w:sz w:val="24"/>
        </w:rPr>
      </w:pPr>
      <w:r>
        <w:rPr>
          <w:rFonts w:ascii="Times New Roman" w:hAnsi="Times New Roman"/>
          <w:sz w:val="24"/>
        </w:rPr>
        <w:t>Наблюдения за раскрытием/закрытием существующих и новых трещин на поверхности бетона выполняются при помощи микроскопа Бринелля МПБ-2 или МПБ- 3 (см. рисунок 4.1.3), а также при помощи существующих одноосных щелемеров (см. рисунок 4.1.4).</w:t>
      </w:r>
    </w:p>
    <w:p>
      <w:pPr>
        <w:pStyle w:val="Normal"/>
        <w:rPr>
          <w:rFonts w:ascii="Times New Roman" w:hAnsi="Times New Roman"/>
          <w:sz w:val="24"/>
        </w:rPr>
      </w:pPr>
      <w:r>
        <w:rPr>
          <w:rFonts w:ascii="Times New Roman" w:hAnsi="Times New Roman"/>
          <w:sz w:val="24"/>
        </w:rPr>
        <w:t xml:space="preserve">Раскрытие трещин анализируют совместно с интенсивностью фильтрации через неё. Повышенная фильтрация свидетельствует об увеличении раскрытия трещины или, если размеры не изменились, на интенсивное выщелачивание бетона. Уменьшение фильтрации может быть вызвано кольматацией (самозалечиванием) трещины или раскрытого шва. </w:t>
      </w:r>
    </w:p>
    <w:p>
      <w:pPr>
        <w:pStyle w:val="Normal"/>
        <w:rPr>
          <w:rFonts w:ascii="Times New Roman" w:hAnsi="Times New Roman"/>
          <w:sz w:val="24"/>
        </w:rPr>
      </w:pPr>
      <w:r>
        <w:rPr>
          <w:rFonts w:ascii="Times New Roman" w:hAnsi="Times New Roman"/>
          <w:sz w:val="24"/>
        </w:rPr>
        <w:t>При наблюдениях за трещинами оценивают также их расположение относительно направлений максимальных растягивающих напряжений. Трещины обычно развиваются перпендикулярно направлению растяжения.</w:t>
      </w:r>
    </w:p>
    <w:p>
      <w:pPr>
        <w:pStyle w:val="Normal"/>
        <w:rPr>
          <w:rFonts w:ascii="Times New Roman" w:hAnsi="Times New Roman"/>
          <w:sz w:val="24"/>
        </w:rPr>
      </w:pPr>
      <w:r>
        <w:rPr>
          <w:rFonts w:ascii="Times New Roman" w:hAnsi="Times New Roman"/>
          <w:sz w:val="24"/>
        </w:rPr>
      </w:r>
    </w:p>
    <w:p>
      <w:pPr>
        <w:pStyle w:val="Normal"/>
        <w:spacing w:lineRule="auto" w:line="240"/>
        <w:ind w:left="0" w:right="0" w:hanging="0"/>
        <w:jc w:val="center"/>
        <w:rPr>
          <w:rFonts w:ascii="Times New Roman" w:hAnsi="Times New Roman"/>
          <w:sz w:val="24"/>
        </w:rPr>
      </w:pPr>
      <w:r>
        <w:rPr/>
        <w:drawing>
          <wp:inline distT="0" distB="0" distL="0" distR="0">
            <wp:extent cx="4321175" cy="3942715"/>
            <wp:effectExtent l="0" t="0" r="0" b="0"/>
            <wp:docPr id="37" name="Рисунок 75" descr="https://здание-инфо.рф/wp-content/uploads/2014/10/5-5-a-b-v_Mikroskop_lupa_sch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75" descr="https://здание-инфо.рф/wp-content/uploads/2014/10/5-5-a-b-v_Mikroskop_lupa_schup.png"/>
                    <pic:cNvPicPr>
                      <a:picLocks noChangeAspect="1" noChangeArrowheads="1"/>
                    </pic:cNvPicPr>
                  </pic:nvPicPr>
                  <pic:blipFill>
                    <a:blip r:embed="rId48"/>
                    <a:stretch>
                      <a:fillRect/>
                    </a:stretch>
                  </pic:blipFill>
                  <pic:spPr bwMode="auto">
                    <a:xfrm>
                      <a:off x="0" y="0"/>
                      <a:ext cx="4321175" cy="3942715"/>
                    </a:xfrm>
                    <a:prstGeom prst="rect">
                      <a:avLst/>
                    </a:prstGeom>
                  </pic:spPr>
                </pic:pic>
              </a:graphicData>
            </a:graphic>
          </wp:inline>
        </w:drawing>
      </w:r>
    </w:p>
    <w:p>
      <w:pPr>
        <w:pStyle w:val="Normal"/>
        <w:spacing w:lineRule="auto" w:line="240"/>
        <w:ind w:left="0" w:right="0" w:hanging="0"/>
        <w:jc w:val="center"/>
        <w:rPr>
          <w:rFonts w:ascii="Times New Roman" w:hAnsi="Times New Roman"/>
          <w:sz w:val="24"/>
        </w:rPr>
      </w:pPr>
      <w:r>
        <w:rPr>
          <w:rFonts w:ascii="Times New Roman" w:hAnsi="Times New Roman"/>
          <w:sz w:val="24"/>
        </w:rPr>
        <w:t>Рисунок 4.1.3 – Замер трещины при помощи микроскопа Бринелля</w:t>
      </w:r>
    </w:p>
    <w:p>
      <w:pPr>
        <w:pStyle w:val="Normal"/>
        <w:spacing w:lineRule="auto" w:line="240"/>
        <w:jc w:val="center"/>
        <w:rPr>
          <w:rFonts w:ascii="Times New Roman" w:hAnsi="Times New Roman"/>
          <w:sz w:val="24"/>
        </w:rPr>
      </w:pPr>
      <w:r>
        <w:rPr>
          <w:rFonts w:ascii="Times New Roman" w:hAnsi="Times New Roman"/>
          <w:sz w:val="24"/>
        </w:rPr>
      </w:r>
    </w:p>
    <w:p>
      <w:pPr>
        <w:pStyle w:val="Normal"/>
        <w:spacing w:lineRule="auto" w:line="240"/>
        <w:ind w:left="0" w:right="0" w:hanging="0"/>
        <w:jc w:val="center"/>
        <w:rPr>
          <w:rFonts w:ascii="Times New Roman" w:hAnsi="Times New Roman"/>
          <w:sz w:val="24"/>
        </w:rPr>
      </w:pPr>
      <w:r>
        <w:rPr/>
        <mc:AlternateContent>
          <mc:Choice Requires="wps">
            <w:drawing>
              <wp:anchor behindDoc="0" distT="0" distB="0" distL="635" distR="0" simplePos="0" locked="0" layoutInCell="0" allowOverlap="1" relativeHeight="52">
                <wp:simplePos x="0" y="0"/>
                <wp:positionH relativeFrom="column">
                  <wp:posOffset>2806065</wp:posOffset>
                </wp:positionH>
                <wp:positionV relativeFrom="paragraph">
                  <wp:posOffset>271780</wp:posOffset>
                </wp:positionV>
                <wp:extent cx="847725" cy="304800"/>
                <wp:effectExtent l="635" t="0" r="0" b="0"/>
                <wp:wrapNone/>
                <wp:docPr id="38" name="Поле 34"/>
                <a:graphic xmlns:a="http://schemas.openxmlformats.org/drawingml/2006/main">
                  <a:graphicData uri="http://schemas.microsoft.com/office/word/2010/wordprocessingShape">
                    <wps:wsp>
                      <wps:cNvSpPr/>
                      <wps:spPr>
                        <a:xfrm>
                          <a:off x="0" y="0"/>
                          <a:ext cx="847800" cy="304920"/>
                        </a:xfrm>
                        <a:prstGeom prst="rect">
                          <a:avLst/>
                        </a:prstGeom>
                        <a:noFill/>
                        <a:ln w="6480">
                          <a:noFill/>
                        </a:ln>
                      </wps:spPr>
                      <wps:style>
                        <a:lnRef idx="0"/>
                        <a:fillRef idx="0"/>
                        <a:effectRef idx="0"/>
                        <a:fontRef idx="minor"/>
                      </wps:style>
                      <wps:txbx>
                        <w:txbxContent>
                          <w:p>
                            <w:pPr>
                              <w:pStyle w:val="Style177"/>
                              <w:spacing w:lineRule="auto" w:line="240"/>
                              <w:ind w:left="0" w:right="0" w:hanging="0"/>
                              <w:rPr>
                                <w:color w:val="FF0000"/>
                                <w:sz w:val="28"/>
                              </w:rPr>
                            </w:pPr>
                            <w:r>
                              <w:rPr>
                                <w:color w:val="FF0000"/>
                                <w:sz w:val="28"/>
                              </w:rPr>
                              <w:t>трещина</w:t>
                            </w:r>
                          </w:p>
                        </w:txbxContent>
                      </wps:txbx>
                      <wps:bodyPr anchor="t">
                        <a:noAutofit/>
                      </wps:bodyPr>
                    </wps:wsp>
                  </a:graphicData>
                </a:graphic>
              </wp:anchor>
            </w:drawing>
          </mc:Choice>
          <mc:Fallback>
            <w:pict>
              <v:rect id="shape_0" ID="Поле 34" path="m0,0l-2147483645,0l-2147483645,-2147483646l0,-2147483646xe" stroked="f" o:allowincell="f" style="position:absolute;margin-left:220.95pt;margin-top:21.4pt;width:66.7pt;height:23.95pt;mso-wrap-style:square;v-text-anchor:top">
                <v:fill o:detectmouseclick="t" on="false"/>
                <v:stroke color="#3465a4" weight="6480" joinstyle="round" endcap="flat"/>
                <v:textbox>
                  <w:txbxContent>
                    <w:p>
                      <w:pPr>
                        <w:pStyle w:val="Style177"/>
                        <w:spacing w:lineRule="auto" w:line="240"/>
                        <w:ind w:left="0" w:right="0" w:hanging="0"/>
                        <w:rPr>
                          <w:color w:val="FF0000"/>
                          <w:sz w:val="28"/>
                        </w:rPr>
                      </w:pPr>
                      <w:r>
                        <w:rPr>
                          <w:color w:val="FF0000"/>
                          <w:sz w:val="28"/>
                        </w:rPr>
                        <w:t>трещина</w:t>
                      </w:r>
                    </w:p>
                  </w:txbxContent>
                </v:textbox>
                <w10:wrap type="none"/>
              </v:rect>
            </w:pict>
          </mc:Fallback>
        </mc:AlternateContent>
        <mc:AlternateContent>
          <mc:Choice Requires="wps">
            <w:drawing>
              <wp:anchor behindDoc="0" distT="0" distB="0" distL="635" distR="0" simplePos="0" locked="0" layoutInCell="0" allowOverlap="1" relativeHeight="55">
                <wp:simplePos x="0" y="0"/>
                <wp:positionH relativeFrom="column">
                  <wp:posOffset>824865</wp:posOffset>
                </wp:positionH>
                <wp:positionV relativeFrom="paragraph">
                  <wp:posOffset>1862455</wp:posOffset>
                </wp:positionV>
                <wp:extent cx="1114425" cy="304800"/>
                <wp:effectExtent l="635" t="0" r="0" b="0"/>
                <wp:wrapNone/>
                <wp:docPr id="40" name="Поле 35"/>
                <a:graphic xmlns:a="http://schemas.openxmlformats.org/drawingml/2006/main">
                  <a:graphicData uri="http://schemas.microsoft.com/office/word/2010/wordprocessingShape">
                    <wps:wsp>
                      <wps:cNvSpPr/>
                      <wps:spPr>
                        <a:xfrm>
                          <a:off x="0" y="0"/>
                          <a:ext cx="1114560" cy="304920"/>
                        </a:xfrm>
                        <a:prstGeom prst="rect">
                          <a:avLst/>
                        </a:prstGeom>
                        <a:noFill/>
                        <a:ln w="6480">
                          <a:noFill/>
                        </a:ln>
                      </wps:spPr>
                      <wps:style>
                        <a:lnRef idx="0"/>
                        <a:fillRef idx="0"/>
                        <a:effectRef idx="0"/>
                        <a:fontRef idx="minor"/>
                      </wps:style>
                      <wps:txbx>
                        <w:txbxContent>
                          <w:p>
                            <w:pPr>
                              <w:pStyle w:val="Style177"/>
                              <w:spacing w:lineRule="auto" w:line="240"/>
                              <w:ind w:left="0" w:right="0" w:hanging="0"/>
                              <w:rPr>
                                <w:color w:val="FF0000"/>
                                <w:sz w:val="28"/>
                              </w:rPr>
                            </w:pPr>
                            <w:r>
                              <w:rPr>
                                <w:color w:val="FF0000"/>
                                <w:sz w:val="28"/>
                              </w:rPr>
                              <w:t>мет. штыри</w:t>
                            </w:r>
                          </w:p>
                        </w:txbxContent>
                      </wps:txbx>
                      <wps:bodyPr anchor="t">
                        <a:noAutofit/>
                      </wps:bodyPr>
                    </wps:wsp>
                  </a:graphicData>
                </a:graphic>
              </wp:anchor>
            </w:drawing>
          </mc:Choice>
          <mc:Fallback>
            <w:pict>
              <v:rect id="shape_0" ID="Поле 35" path="m0,0l-2147483645,0l-2147483645,-2147483646l0,-2147483646xe" stroked="f" o:allowincell="f" style="position:absolute;margin-left:64.95pt;margin-top:146.65pt;width:87.7pt;height:23.95pt;mso-wrap-style:square;v-text-anchor:top">
                <v:fill o:detectmouseclick="t" on="false"/>
                <v:stroke color="#3465a4" weight="6480" joinstyle="round" endcap="flat"/>
                <v:textbox>
                  <w:txbxContent>
                    <w:p>
                      <w:pPr>
                        <w:pStyle w:val="Style177"/>
                        <w:spacing w:lineRule="auto" w:line="240"/>
                        <w:ind w:left="0" w:right="0" w:hanging="0"/>
                        <w:rPr>
                          <w:color w:val="FF0000"/>
                          <w:sz w:val="28"/>
                        </w:rPr>
                      </w:pPr>
                      <w:r>
                        <w:rPr>
                          <w:color w:val="FF0000"/>
                          <w:sz w:val="28"/>
                        </w:rPr>
                        <w:t>мет. штыри</w:t>
                      </w:r>
                    </w:p>
                  </w:txbxContent>
                </v:textbox>
                <w10:wrap type="none"/>
              </v:rect>
            </w:pict>
          </mc:Fallback>
        </mc:AlternateContent>
        <mc:AlternateContent>
          <mc:Choice Requires="wps">
            <w:drawing>
              <wp:anchor behindDoc="0" distT="5715" distB="0" distL="635" distR="5080" simplePos="0" locked="0" layoutInCell="0" allowOverlap="1" relativeHeight="57">
                <wp:simplePos x="0" y="0"/>
                <wp:positionH relativeFrom="column">
                  <wp:posOffset>2610485</wp:posOffset>
                </wp:positionH>
                <wp:positionV relativeFrom="paragraph">
                  <wp:posOffset>471805</wp:posOffset>
                </wp:positionV>
                <wp:extent cx="266700" cy="314325"/>
                <wp:effectExtent l="635" t="5715" r="5080" b="0"/>
                <wp:wrapNone/>
                <wp:docPr id="42" name="Прямая со стрелкой 36"/>
                <a:graphic xmlns:a="http://schemas.openxmlformats.org/drawingml/2006/main">
                  <a:graphicData uri="http://schemas.microsoft.com/office/word/2010/wordprocessingShape">
                    <wps:wsp>
                      <wps:cNvSpPr/>
                      <wps:spPr>
                        <a:xfrm flipH="1">
                          <a:off x="0" y="0"/>
                          <a:ext cx="266760" cy="314280"/>
                        </a:xfrm>
                        <a:prstGeom prst="straightConnector1">
                          <a:avLst/>
                        </a:prstGeom>
                        <a:noFill/>
                        <a:ln w="9360">
                          <a:solidFill>
                            <a:srgbClr val="ff0000"/>
                          </a:solidFill>
                          <a:round/>
                          <a:tailEnd len="med" type="arrow" w="med"/>
                        </a:ln>
                      </wps:spPr>
                      <wps:style>
                        <a:lnRef idx="0"/>
                        <a:fillRef idx="0"/>
                        <a:effectRef idx="0"/>
                        <a:fontRef idx="minor"/>
                      </wps:style>
                      <wps:bodyPr/>
                    </wps:wsp>
                  </a:graphicData>
                </a:graphic>
              </wp:anchor>
            </w:drawing>
          </mc:Choice>
          <mc:Fallback>
            <w:pict>
              <v:shape id="shape_0" ID="Прямая со стрелкой 36" path="m0,0l-2147483648,-2147483647e" stroked="t" o:allowincell="f" style="position:absolute;margin-left:205.55pt;margin-top:37.15pt;width:20.95pt;height:24.7pt;flip:x;mso-wrap-style:none;v-text-anchor:middle" type="_x0000_t32">
                <v:fill o:detectmouseclick="t" on="false"/>
                <v:stroke color="red" weight="9360" endarrow="open" endarrowwidth="medium" endarrowlength="medium" joinstyle="round" endcap="flat"/>
                <w10:wrap type="none"/>
              </v:shape>
            </w:pict>
          </mc:Fallback>
        </mc:AlternateContent>
        <mc:AlternateContent>
          <mc:Choice Requires="wps">
            <w:drawing>
              <wp:anchor behindDoc="0" distT="11430" distB="5080" distL="5080" distR="635" simplePos="0" locked="0" layoutInCell="0" allowOverlap="1" relativeHeight="58">
                <wp:simplePos x="0" y="0"/>
                <wp:positionH relativeFrom="column">
                  <wp:posOffset>1886585</wp:posOffset>
                </wp:positionH>
                <wp:positionV relativeFrom="paragraph">
                  <wp:posOffset>1604645</wp:posOffset>
                </wp:positionV>
                <wp:extent cx="914400" cy="370840"/>
                <wp:effectExtent l="5080" t="11430" r="635" b="5080"/>
                <wp:wrapNone/>
                <wp:docPr id="43" name="Прямая со стрелкой 37"/>
                <a:graphic xmlns:a="http://schemas.openxmlformats.org/drawingml/2006/main">
                  <a:graphicData uri="http://schemas.microsoft.com/office/word/2010/wordprocessingShape">
                    <wps:wsp>
                      <wps:cNvSpPr/>
                      <wps:spPr>
                        <a:xfrm flipV="1">
                          <a:off x="0" y="0"/>
                          <a:ext cx="914400" cy="370800"/>
                        </a:xfrm>
                        <a:prstGeom prst="straightConnector1">
                          <a:avLst/>
                        </a:prstGeom>
                        <a:noFill/>
                        <a:ln w="9360">
                          <a:solidFill>
                            <a:srgbClr val="ff0000"/>
                          </a:solidFill>
                          <a:round/>
                          <a:tailEnd len="med" type="arrow" w="med"/>
                        </a:ln>
                      </wps:spPr>
                      <wps:style>
                        <a:lnRef idx="0"/>
                        <a:fillRef idx="0"/>
                        <a:effectRef idx="0"/>
                        <a:fontRef idx="minor"/>
                      </wps:style>
                      <wps:bodyPr/>
                    </wps:wsp>
                  </a:graphicData>
                </a:graphic>
              </wp:anchor>
            </w:drawing>
          </mc:Choice>
          <mc:Fallback>
            <w:pict>
              <v:shape id="shape_0" ID="Прямая со стрелкой 37" path="m0,0l-2147483648,-2147483647e" stroked="t" o:allowincell="f" style="position:absolute;margin-left:148.55pt;margin-top:126.35pt;width:71.95pt;height:29.15pt;flip:y;mso-wrap-style:none;v-text-anchor:middle" type="_x0000_t32">
                <v:fill o:detectmouseclick="t" on="false"/>
                <v:stroke color="red" weight="9360" endarrow="open" endarrowwidth="medium" endarrowlength="medium" joinstyle="round" endcap="flat"/>
                <w10:wrap type="none"/>
              </v:shape>
            </w:pict>
          </mc:Fallback>
        </mc:AlternateContent>
        <mc:AlternateContent>
          <mc:Choice Requires="wps">
            <w:drawing>
              <wp:anchor behindDoc="0" distT="635" distB="5080" distL="5715" distR="0" simplePos="0" locked="0" layoutInCell="0" allowOverlap="1" relativeHeight="59">
                <wp:simplePos x="0" y="0"/>
                <wp:positionH relativeFrom="column">
                  <wp:posOffset>1686560</wp:posOffset>
                </wp:positionH>
                <wp:positionV relativeFrom="paragraph">
                  <wp:posOffset>1604645</wp:posOffset>
                </wp:positionV>
                <wp:extent cx="200025" cy="323850"/>
                <wp:effectExtent l="5715" t="635" r="0" b="5080"/>
                <wp:wrapNone/>
                <wp:docPr id="44" name="Прямая со стрелкой 38"/>
                <a:graphic xmlns:a="http://schemas.openxmlformats.org/drawingml/2006/main">
                  <a:graphicData uri="http://schemas.microsoft.com/office/word/2010/wordprocessingShape">
                    <wps:wsp>
                      <wps:cNvSpPr/>
                      <wps:spPr>
                        <a:xfrm flipV="1">
                          <a:off x="0" y="0"/>
                          <a:ext cx="200160" cy="324000"/>
                        </a:xfrm>
                        <a:prstGeom prst="straightConnector1">
                          <a:avLst/>
                        </a:prstGeom>
                        <a:noFill/>
                        <a:ln w="9360">
                          <a:solidFill>
                            <a:srgbClr val="ff0000"/>
                          </a:solidFill>
                          <a:round/>
                          <a:tailEnd len="med" type="arrow" w="med"/>
                        </a:ln>
                      </wps:spPr>
                      <wps:style>
                        <a:lnRef idx="0"/>
                        <a:fillRef idx="0"/>
                        <a:effectRef idx="0"/>
                        <a:fontRef idx="minor"/>
                      </wps:style>
                      <wps:bodyPr/>
                    </wps:wsp>
                  </a:graphicData>
                </a:graphic>
              </wp:anchor>
            </w:drawing>
          </mc:Choice>
          <mc:Fallback>
            <w:pict>
              <v:shape id="shape_0" ID="Прямая со стрелкой 38" path="m0,0l-2147483648,-2147483647e" stroked="t" o:allowincell="f" style="position:absolute;margin-left:132.8pt;margin-top:126.35pt;width:15.7pt;height:25.45pt;flip:y;mso-wrap-style:none;v-text-anchor:middle" type="_x0000_t32">
                <v:fill o:detectmouseclick="t" on="false"/>
                <v:stroke color="red" weight="9360" endarrow="open" endarrowwidth="medium" endarrowlength="medium" joinstyle="round" endcap="flat"/>
                <w10:wrap type="none"/>
              </v:shape>
            </w:pict>
          </mc:Fallback>
        </mc:AlternateContent>
        <w:drawing>
          <wp:inline distT="0" distB="0" distL="0" distR="0">
            <wp:extent cx="4095750" cy="2254885"/>
            <wp:effectExtent l="0" t="0" r="0" b="0"/>
            <wp:docPr id="45" name="Рисунок 76" descr="K:\Мониторинг ЗаГАЭС-2\Отчеты ИЦ СКТЭ\2019\Виз.наб._ВП, НВ и склон\Март_ВП, НВ, склон\Фото_03_2019_Водоприемник\Фото 2.27 - Помещение гидроприводов. Межблочный шов по оси _3_ в полу у шва-надре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76" descr="K:\Мониторинг ЗаГАЭС-2\Отчеты ИЦ СКТЭ\2019\Виз.наб._ВП, НВ и склон\Март_ВП, НВ, склон\Фото_03_2019_Водоприемник\Фото 2.27 - Помещение гидроприводов. Межблочный шов по оси _3_ в полу у шва-надреза.jpg"/>
                    <pic:cNvPicPr>
                      <a:picLocks noChangeAspect="1" noChangeArrowheads="1"/>
                    </pic:cNvPicPr>
                  </pic:nvPicPr>
                  <pic:blipFill>
                    <a:blip r:embed="rId49"/>
                    <a:stretch>
                      <a:fillRect/>
                    </a:stretch>
                  </pic:blipFill>
                  <pic:spPr bwMode="auto">
                    <a:xfrm>
                      <a:off x="0" y="0"/>
                      <a:ext cx="4095750" cy="2254885"/>
                    </a:xfrm>
                    <a:prstGeom prst="rect">
                      <a:avLst/>
                    </a:prstGeom>
                  </pic:spPr>
                </pic:pic>
              </a:graphicData>
            </a:graphic>
          </wp:inline>
        </w:drawing>
      </w:r>
    </w:p>
    <w:p>
      <w:pPr>
        <w:pStyle w:val="Normal"/>
        <w:spacing w:lineRule="auto" w:line="240"/>
        <w:jc w:val="center"/>
        <w:rPr>
          <w:rFonts w:ascii="Times New Roman" w:hAnsi="Times New Roman"/>
          <w:sz w:val="24"/>
        </w:rPr>
      </w:pPr>
      <w:r>
        <w:rPr>
          <w:rFonts w:ascii="Times New Roman" w:hAnsi="Times New Roman"/>
          <w:sz w:val="24"/>
        </w:rPr>
        <w:t>Рисунок 4.1.4 – Замер раскрытия трещины при помощи штангенциркуля и одноосных щелемеров</w:t>
      </w:r>
    </w:p>
    <w:p>
      <w:pPr>
        <w:pStyle w:val="Normal"/>
        <w:rPr>
          <w:rFonts w:ascii="Times New Roman" w:hAnsi="Times New Roman"/>
          <w:sz w:val="24"/>
        </w:rPr>
      </w:pPr>
      <w:r>
        <w:rPr>
          <w:rFonts w:ascii="Times New Roman" w:hAnsi="Times New Roman"/>
          <w:sz w:val="24"/>
        </w:rPr>
      </w:r>
    </w:p>
    <w:p>
      <w:pPr>
        <w:pStyle w:val="Normal"/>
        <w:rPr>
          <w:rFonts w:ascii="Times New Roman" w:hAnsi="Times New Roman"/>
          <w:sz w:val="24"/>
        </w:rPr>
      </w:pPr>
      <w:r>
        <w:rPr>
          <w:rFonts w:ascii="Times New Roman" w:hAnsi="Times New Roman"/>
          <w:sz w:val="24"/>
        </w:rPr>
        <w:t>Визуальные наблюдения на грунтовых сооружениях и прилегающей территории ГТС Загорской ГАЭС-2 проводятся:</w:t>
      </w:r>
    </w:p>
    <w:p>
      <w:pPr>
        <w:pStyle w:val="Normal"/>
        <w:rPr>
          <w:rFonts w:ascii="Times New Roman" w:hAnsi="Times New Roman"/>
          <w:sz w:val="24"/>
        </w:rPr>
      </w:pPr>
      <w:r>
        <w:rPr>
          <w:rFonts w:ascii="Times New Roman" w:hAnsi="Times New Roman"/>
          <w:sz w:val="24"/>
        </w:rPr>
        <w:t>- на гребне сооружений, где контролируется появление и характер развития трещин различной направленности и происхождения; чрезмерные неравномерные осадки и просадки, в том числе в примыканиях к бортам. Возможные проявления морозного пучения грунта;</w:t>
      </w:r>
    </w:p>
    <w:p>
      <w:pPr>
        <w:pStyle w:val="Normal"/>
        <w:rPr>
          <w:rFonts w:ascii="Times New Roman" w:hAnsi="Times New Roman"/>
          <w:sz w:val="24"/>
        </w:rPr>
      </w:pPr>
      <w:r>
        <w:rPr>
          <w:rFonts w:ascii="Times New Roman" w:hAnsi="Times New Roman"/>
          <w:sz w:val="24"/>
        </w:rPr>
        <w:t>- на верховых откосах в зоне переменного уровня контролируются участки переработки откоса, качество отмостки из крупногабаритных камней, подверженных выветриванию в результате многократного смачивания, промерзания, оттаивания и нагревания, появление различного рода просадок;</w:t>
      </w:r>
    </w:p>
    <w:p>
      <w:pPr>
        <w:pStyle w:val="Normal"/>
        <w:rPr>
          <w:rFonts w:ascii="Times New Roman" w:hAnsi="Times New Roman"/>
          <w:sz w:val="24"/>
        </w:rPr>
      </w:pPr>
      <w:r>
        <w:rPr>
          <w:rFonts w:ascii="Times New Roman" w:hAnsi="Times New Roman"/>
          <w:sz w:val="24"/>
        </w:rPr>
        <w:t>- на низовых откосах следует выявлять признаки потери устойчивости: оползание откоса, наличие промоин и просадочных воронок на поверхностях откосов, появление выходов фильтрации воды в виде мало интенсивного рассредоточенного высачивания или намокания откоса, образования наледей. Следует особо обращать внимание на зоны сопряжения грунтовых сооружений с берегами, так как в этих зонах возможно проявление контактной фильтрации в виде отдельных сосредоточенных выходов воды. Состояние заиления и деформаций системы отвода поверхностного стока (лотки, колодцы).</w:t>
      </w:r>
    </w:p>
    <w:p>
      <w:pPr>
        <w:pStyle w:val="Normal"/>
        <w:rPr>
          <w:rFonts w:ascii="Times New Roman" w:hAnsi="Times New Roman"/>
          <w:sz w:val="24"/>
        </w:rPr>
      </w:pPr>
      <w:r>
        <w:rPr>
          <w:rFonts w:ascii="Times New Roman" w:hAnsi="Times New Roman"/>
          <w:sz w:val="24"/>
        </w:rPr>
        <w:t>На прилегающей территории ГТС контролируются водоотводящие и водосбросные канавы, естественные и искусственные понижения поверхности, неорганизованные зоны высачивания грунтовых вод на поверхность, взаимное смещение блоков пород, провальные явления в виде воронок карстового происхождения, наличие трещин и заколов.</w:t>
      </w:r>
    </w:p>
    <w:p>
      <w:pPr>
        <w:pStyle w:val="Normal"/>
        <w:rPr>
          <w:rFonts w:ascii="Times New Roman" w:hAnsi="Times New Roman"/>
          <w:sz w:val="24"/>
        </w:rPr>
      </w:pPr>
      <w:r>
        <w:rPr>
          <w:rFonts w:ascii="Times New Roman" w:hAnsi="Times New Roman"/>
          <w:sz w:val="24"/>
        </w:rPr>
        <w:t>В местах выявленных наиболее крупных нарушений (трещины, просадки, грифоны, суффозия) или аномальных проявлений организуются соответствующие инструментальные наблюдения. О выявленных дефектах делается запись в журнале визуальных наблюдений, при необходимости производится фотографирование дефектных мест, а фото вклеивается в журнал.</w:t>
      </w:r>
    </w:p>
    <w:p>
      <w:pPr>
        <w:pStyle w:val="Normal"/>
        <w:rPr>
          <w:rFonts w:ascii="Times New Roman" w:hAnsi="Times New Roman"/>
          <w:sz w:val="24"/>
        </w:rPr>
      </w:pPr>
      <w:r>
        <w:rPr>
          <w:rFonts w:ascii="Times New Roman" w:hAnsi="Times New Roman"/>
          <w:sz w:val="24"/>
        </w:rPr>
        <w:t>При выполнении визуальных наблюдений надлежит также проверять состояние доступной для осмотра КИА (оголовки пьезометров, геодезические знаки, водомерные посты, коммутационные шкафы и пр.).</w:t>
      </w:r>
    </w:p>
    <w:p>
      <w:pPr>
        <w:sectPr>
          <w:headerReference w:type="default" r:id="rId50"/>
          <w:headerReference w:type="first" r:id="rId51"/>
          <w:footerReference w:type="default" r:id="rId52"/>
          <w:footerReference w:type="first" r:id="rId53"/>
          <w:type w:val="nextPage"/>
          <w:pgSz w:w="11906" w:h="16838"/>
          <w:pgMar w:left="1701" w:right="1134" w:gutter="0" w:header="397" w:top="1627" w:footer="170" w:bottom="1134"/>
          <w:pgNumType w:fmt="decimal"/>
          <w:formProt w:val="false"/>
          <w:textDirection w:val="lrTb"/>
          <w:docGrid w:type="default" w:linePitch="360" w:charSpace="4096"/>
        </w:sectPr>
        <w:pStyle w:val="Normal"/>
        <w:rPr>
          <w:rFonts w:ascii="Times New Roman" w:hAnsi="Times New Roman"/>
          <w:sz w:val="24"/>
        </w:rPr>
      </w:pPr>
      <w:r>
        <w:rPr>
          <w:rFonts w:ascii="Times New Roman" w:hAnsi="Times New Roman"/>
          <w:sz w:val="24"/>
        </w:rPr>
        <w:t>При обнаружении дефектов и негативных моментов, данная информация должна наноситься на соответствующую карту-развёртку и прикладываться к журналу визуальных наблюдений и/или заноситься в электронную базу данных информационно-диагностической системы «БИНГ-3». Пример оформления карты-развёртки для грунтовой плотины приведен на рисунке 4.1.5 .</w:t>
      </w:r>
    </w:p>
    <w:tbl>
      <w:tblPr>
        <w:tblW w:w="20341" w:type="dxa"/>
        <w:jc w:val="left"/>
        <w:tblInd w:w="709" w:type="dxa"/>
        <w:tblLayout w:type="fixed"/>
        <w:tblCellMar>
          <w:top w:w="0" w:type="dxa"/>
          <w:left w:w="108" w:type="dxa"/>
          <w:bottom w:w="0" w:type="dxa"/>
          <w:right w:w="108" w:type="dxa"/>
        </w:tblCellMar>
      </w:tblPr>
      <w:tblGrid>
        <w:gridCol w:w="11746"/>
        <w:gridCol w:w="8594"/>
      </w:tblGrid>
      <w:tr>
        <w:trPr/>
        <w:tc>
          <w:tcPr>
            <w:tcW w:w="11746" w:type="dxa"/>
            <w:tcBorders/>
          </w:tcPr>
          <w:p>
            <w:pPr>
              <w:pStyle w:val="ListParagraph"/>
              <w:widowControl w:val="false"/>
              <w:suppressAutoHyphens w:val="true"/>
              <w:spacing w:lineRule="auto" w:line="240" w:before="0" w:after="0"/>
              <w:contextualSpacing w:val="false"/>
              <w:jc w:val="left"/>
              <w:rPr>
                <w:spacing w:val="-1"/>
                <w:szCs w:val="24"/>
              </w:rPr>
            </w:pPr>
            <w:r>
              <w:rPr/>
              <w:drawing>
                <wp:inline distT="0" distB="0" distL="0" distR="0">
                  <wp:extent cx="7270115" cy="4738370"/>
                  <wp:effectExtent l="0" t="0" r="0" b="0"/>
                  <wp:docPr id="46" name="Рисунок 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93" descr=""/>
                          <pic:cNvPicPr>
                            <a:picLocks noChangeAspect="1" noChangeArrowheads="1"/>
                          </pic:cNvPicPr>
                        </pic:nvPicPr>
                        <pic:blipFill>
                          <a:blip r:embed="rId54"/>
                          <a:stretch>
                            <a:fillRect/>
                          </a:stretch>
                        </pic:blipFill>
                        <pic:spPr bwMode="auto">
                          <a:xfrm>
                            <a:off x="0" y="0"/>
                            <a:ext cx="7270115" cy="4738370"/>
                          </a:xfrm>
                          <a:prstGeom prst="rect">
                            <a:avLst/>
                          </a:prstGeom>
                        </pic:spPr>
                      </pic:pic>
                    </a:graphicData>
                  </a:graphic>
                </wp:inline>
              </w:drawing>
            </w:r>
          </w:p>
        </w:tc>
        <w:tc>
          <w:tcPr>
            <w:tcW w:w="8594" w:type="dxa"/>
            <w:vMerge w:val="restart"/>
            <w:tcBorders/>
          </w:tcPr>
          <w:p>
            <w:pPr>
              <w:pStyle w:val="ListParagraph"/>
              <w:widowControl w:val="false"/>
              <w:suppressAutoHyphens w:val="true"/>
              <w:spacing w:lineRule="auto" w:line="240" w:before="0" w:after="0"/>
              <w:contextualSpacing w:val="false"/>
              <w:jc w:val="center"/>
              <w:rPr>
                <w:spacing w:val="-1"/>
                <w:szCs w:val="24"/>
              </w:rPr>
            </w:pPr>
            <w:r>
              <w:rPr/>
              <w:drawing>
                <wp:inline distT="0" distB="0" distL="0" distR="0">
                  <wp:extent cx="2770505" cy="2497455"/>
                  <wp:effectExtent l="0" t="0" r="0" b="0"/>
                  <wp:docPr id="47" name="Рисунок 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95" descr=""/>
                          <pic:cNvPicPr>
                            <a:picLocks noChangeAspect="1" noChangeArrowheads="1"/>
                          </pic:cNvPicPr>
                        </pic:nvPicPr>
                        <pic:blipFill>
                          <a:blip r:embed="rId55"/>
                          <a:stretch>
                            <a:fillRect/>
                          </a:stretch>
                        </pic:blipFill>
                        <pic:spPr bwMode="auto">
                          <a:xfrm>
                            <a:off x="0" y="0"/>
                            <a:ext cx="2770505" cy="2497455"/>
                          </a:xfrm>
                          <a:prstGeom prst="rect">
                            <a:avLst/>
                          </a:prstGeom>
                        </pic:spPr>
                      </pic:pic>
                    </a:graphicData>
                  </a:graphic>
                </wp:inline>
              </w:drawing>
            </w:r>
          </w:p>
          <w:p>
            <w:pPr>
              <w:pStyle w:val="ListParagraph"/>
              <w:widowControl w:val="false"/>
              <w:suppressAutoHyphens w:val="true"/>
              <w:spacing w:lineRule="auto" w:line="240" w:before="0" w:after="0"/>
              <w:contextualSpacing w:val="false"/>
              <w:jc w:val="center"/>
              <w:rPr>
                <w:spacing w:val="-1"/>
                <w:szCs w:val="24"/>
              </w:rPr>
            </w:pPr>
            <w:r>
              <w:rPr/>
              <w:drawing>
                <wp:inline distT="0" distB="0" distL="0" distR="0">
                  <wp:extent cx="2911475" cy="4954270"/>
                  <wp:effectExtent l="0" t="0" r="0" b="0"/>
                  <wp:docPr id="48" name="Рисунок 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96" descr=""/>
                          <pic:cNvPicPr>
                            <a:picLocks noChangeAspect="1" noChangeArrowheads="1"/>
                          </pic:cNvPicPr>
                        </pic:nvPicPr>
                        <pic:blipFill>
                          <a:blip r:embed="rId56"/>
                          <a:stretch>
                            <a:fillRect/>
                          </a:stretch>
                        </pic:blipFill>
                        <pic:spPr bwMode="auto">
                          <a:xfrm>
                            <a:off x="0" y="0"/>
                            <a:ext cx="2911475" cy="4954270"/>
                          </a:xfrm>
                          <a:prstGeom prst="rect">
                            <a:avLst/>
                          </a:prstGeom>
                        </pic:spPr>
                      </pic:pic>
                    </a:graphicData>
                  </a:graphic>
                </wp:inline>
              </w:drawing>
            </w:r>
            <w:r>
              <w:rPr/>
              <w:drawing>
                <wp:inline distT="0" distB="0" distL="0" distR="0">
                  <wp:extent cx="2579370" cy="808355"/>
                  <wp:effectExtent l="0" t="0" r="0" b="0"/>
                  <wp:docPr id="49" name="Рисунок 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01" descr=""/>
                          <pic:cNvPicPr>
                            <a:picLocks noChangeAspect="1" noChangeArrowheads="1"/>
                          </pic:cNvPicPr>
                        </pic:nvPicPr>
                        <pic:blipFill>
                          <a:blip r:embed="rId57"/>
                          <a:stretch>
                            <a:fillRect/>
                          </a:stretch>
                        </pic:blipFill>
                        <pic:spPr bwMode="auto">
                          <a:xfrm>
                            <a:off x="0" y="0"/>
                            <a:ext cx="2579370" cy="808355"/>
                          </a:xfrm>
                          <a:prstGeom prst="rect">
                            <a:avLst/>
                          </a:prstGeom>
                        </pic:spPr>
                      </pic:pic>
                    </a:graphicData>
                  </a:graphic>
                </wp:inline>
              </w:drawing>
            </w:r>
          </w:p>
        </w:tc>
      </w:tr>
      <w:tr>
        <w:trPr/>
        <w:tc>
          <w:tcPr>
            <w:tcW w:w="11746" w:type="dxa"/>
            <w:tcBorders/>
          </w:tcPr>
          <w:p>
            <w:pPr>
              <w:pStyle w:val="ListParagraph"/>
              <w:widowControl w:val="false"/>
              <w:suppressAutoHyphens w:val="true"/>
              <w:spacing w:lineRule="auto" w:line="240" w:before="0" w:after="0"/>
              <w:contextualSpacing w:val="false"/>
              <w:jc w:val="center"/>
              <w:rPr>
                <w:spacing w:val="-1"/>
                <w:szCs w:val="24"/>
              </w:rPr>
            </w:pPr>
            <w:r>
              <w:rPr>
                <w:spacing w:val="-1"/>
                <w:szCs w:val="24"/>
              </w:rPr>
            </w:r>
          </w:p>
          <w:p>
            <w:pPr>
              <w:pStyle w:val="ListParagraph"/>
              <w:widowControl w:val="false"/>
              <w:suppressAutoHyphens w:val="true"/>
              <w:spacing w:lineRule="auto" w:line="240" w:before="0" w:after="0"/>
              <w:contextualSpacing w:val="false"/>
              <w:jc w:val="center"/>
              <w:rPr>
                <w:spacing w:val="-1"/>
                <w:szCs w:val="24"/>
              </w:rPr>
            </w:pPr>
            <w:r>
              <w:rPr/>
              <w:drawing>
                <wp:inline distT="0" distB="0" distL="0" distR="0">
                  <wp:extent cx="7322185" cy="3668395"/>
                  <wp:effectExtent l="0" t="0" r="0" b="0"/>
                  <wp:docPr id="50" name="Рисунок 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100" descr=""/>
                          <pic:cNvPicPr>
                            <a:picLocks noChangeAspect="1" noChangeArrowheads="1"/>
                          </pic:cNvPicPr>
                        </pic:nvPicPr>
                        <pic:blipFill>
                          <a:blip r:embed="rId58"/>
                          <a:stretch>
                            <a:fillRect/>
                          </a:stretch>
                        </pic:blipFill>
                        <pic:spPr bwMode="auto">
                          <a:xfrm>
                            <a:off x="0" y="0"/>
                            <a:ext cx="7322185" cy="3668395"/>
                          </a:xfrm>
                          <a:prstGeom prst="rect">
                            <a:avLst/>
                          </a:prstGeom>
                        </pic:spPr>
                      </pic:pic>
                    </a:graphicData>
                  </a:graphic>
                </wp:inline>
              </w:drawing>
            </w:r>
          </w:p>
        </w:tc>
        <w:tc>
          <w:tcPr>
            <w:tcW w:w="8594" w:type="dxa"/>
            <w:vMerge w:val="continue"/>
            <w:tcBorders/>
          </w:tcPr>
          <w:p>
            <w:pPr>
              <w:pStyle w:val="Normal"/>
              <w:widowControl w:val="false"/>
              <w:rPr/>
            </w:pPr>
            <w:r>
              <w:rPr/>
            </w:r>
          </w:p>
        </w:tc>
      </w:tr>
    </w:tbl>
    <w:p>
      <w:pPr>
        <w:sectPr>
          <w:headerReference w:type="default" r:id="rId59"/>
          <w:headerReference w:type="first" r:id="rId60"/>
          <w:footerReference w:type="default" r:id="rId61"/>
          <w:footerReference w:type="first" r:id="rId62"/>
          <w:type w:val="nextPage"/>
          <w:pgSz w:orient="landscape" w:w="23811" w:h="16838"/>
          <w:pgMar w:left="1134" w:right="1627" w:gutter="0" w:header="397" w:top="1701" w:footer="1" w:bottom="974"/>
          <w:pgNumType w:fmt="decimal"/>
          <w:formProt w:val="false"/>
          <w:textDirection w:val="lrTb"/>
          <w:docGrid w:type="default" w:linePitch="360" w:charSpace="4096"/>
        </w:sectPr>
        <w:pStyle w:val="Normal"/>
        <w:spacing w:lineRule="auto" w:line="240"/>
        <w:jc w:val="center"/>
        <w:rPr>
          <w:rFonts w:ascii="Times New Roman" w:hAnsi="Times New Roman"/>
          <w:sz w:val="24"/>
        </w:rPr>
      </w:pPr>
      <w:r>
        <w:rPr>
          <w:rFonts w:ascii="Times New Roman" w:hAnsi="Times New Roman"/>
          <w:sz w:val="24"/>
        </w:rPr>
        <w:t>Рисунок 4.1.5 – Пример оформления карты-развёртки для грунтовой плотины с указанием условных обозначений дефектов</w:t>
      </w:r>
    </w:p>
    <w:p>
      <w:pPr>
        <w:pStyle w:val="Heading2"/>
        <w:numPr>
          <w:ilvl w:val="0"/>
        </w:numPr>
        <w:ind w:left="0" w:right="0" w:hanging="0"/>
        <w:rPr>
          <w:rFonts w:ascii="Times New Roman" w:hAnsi="Times New Roman"/>
        </w:rPr>
      </w:pPr>
      <w:bookmarkStart w:id="61" w:name="__RefHeading___Toc39912_2889022187"/>
      <w:bookmarkEnd w:id="61"/>
      <w:r>
        <w:rPr>
          <w:rFonts w:ascii="Times New Roman" w:hAnsi="Times New Roman"/>
        </w:rPr>
        <w:t>4.</w:t>
      </w:r>
      <w:bookmarkStart w:id="62" w:name="_Toc215650193"/>
      <w:bookmarkStart w:id="63" w:name="_Toc7087076"/>
      <w:r>
        <w:rPr>
          <w:rFonts w:ascii="Times New Roman" w:hAnsi="Times New Roman"/>
        </w:rPr>
        <w:t>1.3 Периодичность проведения визуальных наблюдений</w:t>
      </w:r>
      <w:bookmarkEnd w:id="62"/>
      <w:bookmarkEnd w:id="63"/>
    </w:p>
    <w:p>
      <w:pPr>
        <w:pStyle w:val="Normal"/>
        <w:rPr>
          <w:rFonts w:ascii="Times New Roman" w:hAnsi="Times New Roman"/>
          <w:sz w:val="24"/>
        </w:rPr>
      </w:pPr>
      <w:r>
        <w:rPr>
          <w:rFonts w:ascii="Times New Roman" w:hAnsi="Times New Roman"/>
          <w:sz w:val="24"/>
        </w:rPr>
        <w:t>Периодичность поведения визуальных наблюдений в строительный период представлена приложении Б.</w:t>
      </w:r>
    </w:p>
    <w:p>
      <w:pPr>
        <w:pStyle w:val="Normal"/>
        <w:rPr>
          <w:rFonts w:ascii="Times New Roman" w:hAnsi="Times New Roman"/>
          <w:sz w:val="24"/>
        </w:rPr>
      </w:pPr>
      <w:r>
        <w:rPr>
          <w:rFonts w:ascii="Times New Roman" w:hAnsi="Times New Roman"/>
          <w:sz w:val="24"/>
        </w:rPr>
        <w:t>Настоящая периодичность предусматривает количество циклов визуальных осмотров соответствующих объектов за определенный промежуток времени.</w:t>
      </w:r>
    </w:p>
    <w:p>
      <w:pPr>
        <w:pStyle w:val="Normal"/>
        <w:rPr>
          <w:rFonts w:ascii="Times New Roman" w:hAnsi="Times New Roman"/>
          <w:sz w:val="24"/>
        </w:rPr>
      </w:pPr>
      <w:r>
        <w:rPr>
          <w:rFonts w:ascii="Times New Roman" w:hAnsi="Times New Roman"/>
          <w:sz w:val="24"/>
        </w:rPr>
        <w:t>Сравнение результатов начального и последующих циклов визуальных наблюдений за тем или иным дефектом, явлением или процессом производится регулярно путём сопоставления численных значений или качественных показателей контролируемых параметров, а также методом наложения чертежей, рисунков, схем, фотографий, полученных для одного и того же объекта при различных циклах, но в идентичных условиях съёмки и масштабности. При этом основные построения, цифровые и качественные показатели необходимо наносить на карты-развёртки сооружения или карты соответствующих его фрагментов.</w:t>
      </w:r>
    </w:p>
    <w:p>
      <w:pPr>
        <w:pStyle w:val="Heading2"/>
        <w:numPr>
          <w:ilvl w:val="0"/>
        </w:numPr>
        <w:ind w:left="0" w:right="0" w:hanging="0"/>
        <w:rPr>
          <w:rFonts w:ascii="Times New Roman" w:hAnsi="Times New Roman"/>
        </w:rPr>
      </w:pPr>
      <w:bookmarkStart w:id="64" w:name="__RefHeading___Toc39914_2889022187"/>
      <w:bookmarkEnd w:id="64"/>
      <w:r>
        <w:rPr>
          <w:rFonts w:ascii="Times New Roman" w:hAnsi="Times New Roman"/>
        </w:rPr>
        <w:t>4</w:t>
      </w:r>
      <w:bookmarkStart w:id="65" w:name="_Toc215650194"/>
      <w:r>
        <w:rPr>
          <w:rFonts w:ascii="Times New Roman" w:hAnsi="Times New Roman"/>
        </w:rPr>
        <w:t>.1.4 Объёмы визуальных наблюдений</w:t>
      </w:r>
      <w:bookmarkEnd w:id="65"/>
    </w:p>
    <w:p>
      <w:pPr>
        <w:pStyle w:val="Normal"/>
        <w:rPr>
          <w:rFonts w:ascii="Times New Roman" w:hAnsi="Times New Roman"/>
          <w:sz w:val="24"/>
        </w:rPr>
      </w:pPr>
      <w:r>
        <w:rPr>
          <w:rFonts w:ascii="Times New Roman" w:hAnsi="Times New Roman"/>
          <w:sz w:val="24"/>
        </w:rPr>
        <w:t>Объём визуальных наблюдений определяется на основе длин ходов визуальных осмотров ГТС Загорской ГАЭС-2 и прилегающей территории, и количества циклов по ним за один год.</w:t>
      </w:r>
    </w:p>
    <w:p>
      <w:pPr>
        <w:pStyle w:val="Heading2"/>
        <w:numPr>
          <w:ilvl w:val="0"/>
        </w:numPr>
        <w:ind w:left="0" w:right="0" w:hanging="0"/>
        <w:rPr>
          <w:rFonts w:ascii="Times New Roman" w:hAnsi="Times New Roman"/>
        </w:rPr>
      </w:pPr>
      <w:bookmarkStart w:id="66" w:name="__RefHeading___Toc39916_2889022187"/>
      <w:bookmarkEnd w:id="66"/>
      <w:r>
        <w:rPr>
          <w:rFonts w:ascii="Times New Roman" w:hAnsi="Times New Roman"/>
        </w:rPr>
        <w:t>4</w:t>
      </w:r>
      <w:bookmarkStart w:id="67" w:name="_Toc215650195"/>
      <w:bookmarkStart w:id="68" w:name="_Toc7087078"/>
      <w:r>
        <w:rPr>
          <w:rFonts w:ascii="Times New Roman" w:hAnsi="Times New Roman"/>
        </w:rPr>
        <w:t>.1.5 Оформление результатов визуальных наблюдений</w:t>
      </w:r>
      <w:bookmarkEnd w:id="67"/>
      <w:bookmarkEnd w:id="68"/>
    </w:p>
    <w:p>
      <w:pPr>
        <w:pStyle w:val="Normal"/>
        <w:rPr>
          <w:rFonts w:ascii="Times New Roman" w:hAnsi="Times New Roman"/>
          <w:sz w:val="24"/>
        </w:rPr>
      </w:pPr>
      <w:r>
        <w:rPr>
          <w:rFonts w:ascii="Times New Roman" w:hAnsi="Times New Roman"/>
          <w:sz w:val="24"/>
        </w:rPr>
        <w:t>Соответствующая информация по обнаруженным дефектам должна быть приложена к журналу визуальных наблюдений и/или занесена в электронную базу данных информационно-диагностической системы «БИНГ-3».</w:t>
      </w:r>
      <w:bookmarkStart w:id="69" w:name="_Hlk215837298"/>
    </w:p>
    <w:p>
      <w:pPr>
        <w:pStyle w:val="Heading2"/>
        <w:numPr>
          <w:ilvl w:val="0"/>
        </w:numPr>
        <w:ind w:left="0" w:right="0" w:hanging="0"/>
        <w:rPr>
          <w:rFonts w:ascii="Times New Roman" w:hAnsi="Times New Roman"/>
        </w:rPr>
      </w:pPr>
      <w:bookmarkStart w:id="70" w:name="__RefHeading___Toc39918_2889022187"/>
      <w:bookmarkEnd w:id="69"/>
      <w:bookmarkEnd w:id="70"/>
      <w:r>
        <w:rPr>
          <w:rFonts w:ascii="Times New Roman" w:hAnsi="Times New Roman"/>
        </w:rPr>
        <w:t xml:space="preserve">4.2 </w:t>
      </w:r>
      <w:bookmarkStart w:id="71" w:name="_Toc499657641"/>
      <w:bookmarkStart w:id="72" w:name="_Toc215650196"/>
      <w:bookmarkStart w:id="73" w:name="_Toc526843720"/>
      <w:r>
        <w:rPr>
          <w:rFonts w:ascii="Times New Roman" w:hAnsi="Times New Roman"/>
        </w:rPr>
        <w:t>Проведение наблюдений по закладной «струнной» КИА</w:t>
      </w:r>
      <w:bookmarkEnd w:id="72"/>
      <w:bookmarkEnd w:id="73"/>
    </w:p>
    <w:p>
      <w:pPr>
        <w:pStyle w:val="Heading2"/>
        <w:numPr>
          <w:ilvl w:val="0"/>
        </w:numPr>
        <w:ind w:left="0" w:right="0" w:hanging="0"/>
        <w:rPr>
          <w:rFonts w:ascii="Times New Roman" w:hAnsi="Times New Roman"/>
        </w:rPr>
      </w:pPr>
      <w:bookmarkStart w:id="74" w:name="__RefHeading___Toc39920_2889022187"/>
      <w:bookmarkEnd w:id="74"/>
      <w:r>
        <w:rPr>
          <w:rFonts w:ascii="Times New Roman" w:hAnsi="Times New Roman"/>
        </w:rPr>
        <w:t>4</w:t>
      </w:r>
      <w:bookmarkStart w:id="75" w:name="_Toc499657642"/>
      <w:bookmarkStart w:id="76" w:name="_Toc396747990"/>
      <w:bookmarkStart w:id="77" w:name="_Toc526843721"/>
      <w:bookmarkStart w:id="78" w:name="_Toc396822296"/>
      <w:bookmarkStart w:id="79" w:name="_Toc215650197"/>
      <w:r>
        <w:rPr>
          <w:rFonts w:ascii="Times New Roman" w:hAnsi="Times New Roman"/>
        </w:rPr>
        <w:t>.2.1 Состав закладной «струнной» КИА</w:t>
      </w:r>
      <w:bookmarkEnd w:id="75"/>
      <w:bookmarkEnd w:id="76"/>
      <w:bookmarkEnd w:id="77"/>
      <w:bookmarkEnd w:id="78"/>
      <w:bookmarkEnd w:id="79"/>
    </w:p>
    <w:p>
      <w:pPr>
        <w:pStyle w:val="Normal"/>
        <w:rPr>
          <w:rFonts w:ascii="Times New Roman" w:hAnsi="Times New Roman"/>
          <w:sz w:val="24"/>
        </w:rPr>
      </w:pPr>
      <w:r>
        <w:rPr>
          <w:rFonts w:ascii="Times New Roman" w:hAnsi="Times New Roman"/>
          <w:sz w:val="24"/>
        </w:rPr>
        <w:t>Для контроля показателей напряжённо-деформированного состояния, фильтрационного режима и деформациями гидротехнических сооружений установлены закладные датчики измерения показателей состояния «струнного» типа.</w:t>
      </w:r>
    </w:p>
    <w:p>
      <w:pPr>
        <w:pStyle w:val="Normal"/>
        <w:rPr>
          <w:rFonts w:ascii="Times New Roman" w:hAnsi="Times New Roman"/>
          <w:sz w:val="24"/>
        </w:rPr>
      </w:pPr>
      <w:r>
        <w:rPr>
          <w:rFonts w:ascii="Times New Roman" w:hAnsi="Times New Roman"/>
          <w:sz w:val="24"/>
        </w:rPr>
        <w:t>Состав и количество необходимой на строительный период закладной «струнной» контрольно-измерительной аппаратуры представлены в приложении А.</w:t>
      </w:r>
    </w:p>
    <w:p>
      <w:pPr>
        <w:pStyle w:val="Heading2"/>
        <w:numPr>
          <w:ilvl w:val="0"/>
        </w:numPr>
        <w:ind w:left="0" w:right="0" w:hanging="0"/>
        <w:rPr>
          <w:rFonts w:ascii="Times New Roman" w:hAnsi="Times New Roman"/>
        </w:rPr>
      </w:pPr>
      <w:bookmarkStart w:id="80" w:name="__RefHeading___Toc39922_2889022187"/>
      <w:bookmarkEnd w:id="80"/>
      <w:r>
        <w:rPr>
          <w:rFonts w:ascii="Times New Roman" w:hAnsi="Times New Roman"/>
        </w:rPr>
        <w:t>4</w:t>
      </w:r>
      <w:bookmarkStart w:id="81" w:name="_Toc396747991"/>
      <w:bookmarkStart w:id="82" w:name="_Toc396822297"/>
      <w:bookmarkStart w:id="83" w:name="_Toc526843722"/>
      <w:bookmarkStart w:id="84" w:name="_Toc215650198"/>
      <w:bookmarkStart w:id="85" w:name="_Toc499657643"/>
      <w:r>
        <w:rPr>
          <w:rFonts w:ascii="Times New Roman" w:hAnsi="Times New Roman"/>
        </w:rPr>
        <w:t>.2.2 Методика проведения наблюдений по закладной «струнной» КИА</w:t>
      </w:r>
      <w:bookmarkEnd w:id="81"/>
      <w:bookmarkEnd w:id="82"/>
      <w:bookmarkEnd w:id="83"/>
      <w:bookmarkEnd w:id="84"/>
      <w:bookmarkEnd w:id="85"/>
    </w:p>
    <w:p>
      <w:pPr>
        <w:pStyle w:val="Normal"/>
        <w:rPr>
          <w:rFonts w:ascii="Times New Roman" w:hAnsi="Times New Roman"/>
          <w:sz w:val="24"/>
        </w:rPr>
      </w:pPr>
      <w:r>
        <w:rPr>
          <w:rFonts w:ascii="Times New Roman" w:hAnsi="Times New Roman"/>
          <w:sz w:val="24"/>
        </w:rPr>
        <w:t>Проведение наблюдений по «струнной» контрольно-измерительной аппаратуре (ПТС, ПДС, ПЛПС, ПЛДС, ПСАС) производится с помощью переносных считывающих устройств (периодомеров), в соответствии с инструкцией к нему. Снятие показаний преобразователей производится в следующем порядке:</w:t>
      </w:r>
    </w:p>
    <w:p>
      <w:pPr>
        <w:pStyle w:val="Normal"/>
        <w:rPr>
          <w:rFonts w:ascii="Times New Roman" w:hAnsi="Times New Roman"/>
          <w:sz w:val="24"/>
        </w:rPr>
      </w:pPr>
      <w:r>
        <w:rPr>
          <w:rFonts w:ascii="Times New Roman" w:hAnsi="Times New Roman"/>
          <w:sz w:val="24"/>
        </w:rPr>
        <w:t>- с помощью проводов с зажимами типа «крокодил» последовательно подключают периодомер к выводам кабеля от преобразователей;</w:t>
      </w:r>
    </w:p>
    <w:p>
      <w:pPr>
        <w:pStyle w:val="Normal"/>
        <w:rPr>
          <w:rFonts w:ascii="Times New Roman" w:hAnsi="Times New Roman"/>
          <w:sz w:val="24"/>
        </w:rPr>
      </w:pPr>
      <w:r>
        <w:rPr>
          <w:rFonts w:ascii="Times New Roman" w:hAnsi="Times New Roman"/>
          <w:sz w:val="24"/>
        </w:rPr>
        <w:t>- показания преобразователя, высвечиваемые на табло периодомера, сравнивают между собой при 3 – 4 импульсах вызова. Если при этом изменяются только цифры после запятой (десятые доли мкс) или изменяются на ±1 – 2 единицы целые значения (единицы мкс), то замер считается нормальным и записывается в журнал наблюдений. Если показания изменяются на большую величину и к тому же скачкообразно, следует проверить кабельные коммуникации преобразователя.</w:t>
      </w:r>
    </w:p>
    <w:p>
      <w:pPr>
        <w:pStyle w:val="Heading2"/>
        <w:numPr>
          <w:ilvl w:val="0"/>
        </w:numPr>
        <w:ind w:left="0" w:right="0" w:hanging="0"/>
        <w:rPr>
          <w:rFonts w:ascii="Times New Roman" w:hAnsi="Times New Roman"/>
        </w:rPr>
      </w:pPr>
      <w:bookmarkStart w:id="86" w:name="__RefHeading___Toc39924_2889022187"/>
      <w:bookmarkEnd w:id="86"/>
      <w:r>
        <w:rPr>
          <w:rFonts w:ascii="Times New Roman" w:hAnsi="Times New Roman"/>
        </w:rPr>
        <w:t>4.</w:t>
      </w:r>
      <w:bookmarkStart w:id="87" w:name="_Toc396822298"/>
      <w:bookmarkStart w:id="88" w:name="_Toc396747992"/>
      <w:bookmarkStart w:id="89" w:name="_Toc526843723"/>
      <w:bookmarkStart w:id="90" w:name="_Toc499657644"/>
      <w:bookmarkStart w:id="91" w:name="_Toc215650199"/>
      <w:r>
        <w:rPr>
          <w:rFonts w:ascii="Times New Roman" w:hAnsi="Times New Roman"/>
        </w:rPr>
        <w:t xml:space="preserve">2.3 Периодичность проведения наблюдений </w:t>
      </w:r>
      <w:bookmarkStart w:id="92" w:name="_Hlk210384272"/>
      <w:r>
        <w:rPr>
          <w:rFonts w:ascii="Times New Roman" w:hAnsi="Times New Roman"/>
        </w:rPr>
        <w:t>по закладной «струнной» КИА</w:t>
      </w:r>
      <w:bookmarkEnd w:id="87"/>
      <w:bookmarkEnd w:id="88"/>
      <w:bookmarkEnd w:id="89"/>
      <w:bookmarkEnd w:id="90"/>
      <w:bookmarkEnd w:id="91"/>
      <w:bookmarkEnd w:id="92"/>
    </w:p>
    <w:p>
      <w:pPr>
        <w:pStyle w:val="Normal"/>
        <w:rPr>
          <w:rFonts w:ascii="Times New Roman" w:hAnsi="Times New Roman"/>
          <w:sz w:val="24"/>
        </w:rPr>
      </w:pPr>
      <w:r>
        <w:rPr>
          <w:rFonts w:ascii="Times New Roman" w:hAnsi="Times New Roman"/>
          <w:sz w:val="24"/>
        </w:rPr>
        <w:t>Периодичность проведения наблюдений по закладной «струнной» аппаратуре представлена в приложении Б.</w:t>
      </w:r>
    </w:p>
    <w:p>
      <w:pPr>
        <w:pStyle w:val="Normal"/>
        <w:rPr>
          <w:rFonts w:ascii="Times New Roman" w:hAnsi="Times New Roman"/>
          <w:sz w:val="24"/>
        </w:rPr>
      </w:pPr>
      <w:r>
        <w:rPr>
          <w:rFonts w:ascii="Times New Roman" w:hAnsi="Times New Roman"/>
          <w:sz w:val="24"/>
        </w:rPr>
        <w:t>Настоящая периодичность предусматривает количество циклов наблюдений (измерений) по соответствующей закладной «струнной» контрольно-измерительной аппаратуре за определенный промежуток времени.</w:t>
      </w:r>
    </w:p>
    <w:p>
      <w:pPr>
        <w:pStyle w:val="Heading2"/>
        <w:numPr>
          <w:ilvl w:val="0"/>
        </w:numPr>
        <w:ind w:left="0" w:right="0" w:hanging="0"/>
        <w:rPr>
          <w:rFonts w:ascii="Times New Roman" w:hAnsi="Times New Roman"/>
        </w:rPr>
      </w:pPr>
      <w:bookmarkStart w:id="93" w:name="__RefHeading___Toc39926_2889022187"/>
      <w:bookmarkEnd w:id="93"/>
      <w:r>
        <w:rPr>
          <w:rFonts w:ascii="Times New Roman" w:hAnsi="Times New Roman"/>
        </w:rPr>
        <w:t>4</w:t>
      </w:r>
      <w:bookmarkStart w:id="94" w:name="_Toc215650200"/>
      <w:r>
        <w:rPr>
          <w:rFonts w:ascii="Times New Roman" w:hAnsi="Times New Roman"/>
        </w:rPr>
        <w:t>.2.4 Объёмы наблюдений по закладной «струнной» КИА</w:t>
      </w:r>
      <w:bookmarkEnd w:id="94"/>
    </w:p>
    <w:p>
      <w:pPr>
        <w:pStyle w:val="Normal"/>
        <w:rPr>
          <w:rFonts w:ascii="Times New Roman" w:hAnsi="Times New Roman"/>
          <w:sz w:val="24"/>
        </w:rPr>
      </w:pPr>
      <w:r>
        <w:rPr>
          <w:rFonts w:ascii="Times New Roman" w:hAnsi="Times New Roman"/>
          <w:sz w:val="24"/>
        </w:rPr>
        <w:t>Объём наблюдений по закладной «струнной» КИА определяется на основе количества «струнной» КИА и количества циклов наблюдений по ней в год.</w:t>
      </w:r>
    </w:p>
    <w:p>
      <w:pPr>
        <w:pStyle w:val="Normal"/>
        <w:rPr>
          <w:rFonts w:ascii="Times New Roman" w:hAnsi="Times New Roman"/>
          <w:sz w:val="24"/>
        </w:rPr>
      </w:pPr>
      <w:r>
        <w:rPr>
          <w:rFonts w:ascii="Times New Roman" w:hAnsi="Times New Roman"/>
          <w:sz w:val="24"/>
        </w:rPr>
        <w:t>Объём наблюдений по закладной «струнной» КИА на один год представлен в приложении В.</w:t>
      </w:r>
    </w:p>
    <w:p>
      <w:pPr>
        <w:pStyle w:val="Heading2"/>
        <w:numPr>
          <w:ilvl w:val="0"/>
        </w:numPr>
        <w:ind w:left="0" w:right="0" w:hanging="0"/>
        <w:rPr>
          <w:rFonts w:ascii="Times New Roman" w:hAnsi="Times New Roman"/>
        </w:rPr>
      </w:pPr>
      <w:bookmarkStart w:id="95" w:name="__RefHeading___Toc39928_2889022187"/>
      <w:bookmarkEnd w:id="95"/>
      <w:r>
        <w:rPr>
          <w:rFonts w:ascii="Times New Roman" w:hAnsi="Times New Roman"/>
        </w:rPr>
        <w:t>4</w:t>
      </w:r>
      <w:bookmarkStart w:id="96" w:name="_Hlk215566274"/>
      <w:bookmarkStart w:id="97" w:name="_Toc215650201"/>
      <w:bookmarkStart w:id="98" w:name="_Toc499657645"/>
      <w:bookmarkStart w:id="99" w:name="_Toc526843724"/>
      <w:bookmarkStart w:id="100" w:name="_Toc396822300"/>
      <w:bookmarkStart w:id="101" w:name="_Toc396747994"/>
      <w:r>
        <w:rPr>
          <w:rFonts w:ascii="Times New Roman" w:hAnsi="Times New Roman"/>
        </w:rPr>
        <w:t>.2.5 Оформление результатов наблюдений по закладной «струнной» КИА</w:t>
      </w:r>
      <w:bookmarkEnd w:id="97"/>
      <w:bookmarkEnd w:id="98"/>
      <w:bookmarkEnd w:id="99"/>
      <w:bookmarkEnd w:id="100"/>
      <w:bookmarkEnd w:id="101"/>
    </w:p>
    <w:p>
      <w:pPr>
        <w:pStyle w:val="Normal"/>
        <w:rPr>
          <w:rFonts w:ascii="Times New Roman" w:hAnsi="Times New Roman"/>
          <w:sz w:val="24"/>
        </w:rPr>
      </w:pPr>
      <w:r>
        <w:rPr>
          <w:rFonts w:ascii="Times New Roman" w:hAnsi="Times New Roman"/>
          <w:sz w:val="24"/>
        </w:rPr>
        <w:t>Результаты выполненных наблюдений заносятся в соответствующие журналы наблюдений и в электронную базу данных информационно-диагностической системы «БИНГ-3».</w:t>
      </w:r>
    </w:p>
    <w:p>
      <w:pPr>
        <w:pStyle w:val="Heading2"/>
        <w:numPr>
          <w:ilvl w:val="0"/>
        </w:numPr>
        <w:ind w:left="0" w:right="0" w:hanging="0"/>
        <w:rPr>
          <w:rFonts w:ascii="Times New Roman" w:hAnsi="Times New Roman"/>
        </w:rPr>
      </w:pPr>
      <w:bookmarkStart w:id="102" w:name="__RefHeading___Toc39930_2889022187"/>
      <w:bookmarkEnd w:id="96"/>
      <w:bookmarkEnd w:id="102"/>
      <w:r>
        <w:rPr>
          <w:rFonts w:ascii="Times New Roman" w:hAnsi="Times New Roman"/>
        </w:rPr>
        <w:t xml:space="preserve">4.3 </w:t>
      </w:r>
      <w:bookmarkStart w:id="103" w:name="_Toc215650202"/>
      <w:bookmarkStart w:id="104" w:name="_Toc526843725"/>
      <w:bookmarkStart w:id="105" w:name="_Toc396747995"/>
      <w:bookmarkStart w:id="106" w:name="_Toc396822301"/>
      <w:bookmarkStart w:id="107" w:name="_Toc499657646"/>
      <w:r>
        <w:rPr>
          <w:rFonts w:ascii="Times New Roman" w:hAnsi="Times New Roman"/>
        </w:rPr>
        <w:t>Проведение наблюдений по фильтрационной КИА</w:t>
      </w:r>
      <w:bookmarkEnd w:id="103"/>
      <w:bookmarkEnd w:id="104"/>
      <w:bookmarkEnd w:id="105"/>
      <w:bookmarkEnd w:id="106"/>
      <w:bookmarkEnd w:id="107"/>
    </w:p>
    <w:p>
      <w:pPr>
        <w:pStyle w:val="Heading2"/>
        <w:numPr>
          <w:ilvl w:val="0"/>
        </w:numPr>
        <w:ind w:left="0" w:right="0" w:hanging="0"/>
        <w:rPr>
          <w:rFonts w:ascii="Times New Roman" w:hAnsi="Times New Roman"/>
        </w:rPr>
      </w:pPr>
      <w:bookmarkStart w:id="108" w:name="__RefHeading___Toc39932_2889022187"/>
      <w:bookmarkEnd w:id="108"/>
      <w:r>
        <w:rPr>
          <w:rFonts w:ascii="Times New Roman" w:hAnsi="Times New Roman"/>
        </w:rPr>
        <w:t>4</w:t>
      </w:r>
      <w:bookmarkStart w:id="109" w:name="_Toc215650203"/>
      <w:r>
        <w:rPr>
          <w:rFonts w:ascii="Times New Roman" w:hAnsi="Times New Roman"/>
        </w:rPr>
        <w:t>.3.1 Состав фильтрационной КИА</w:t>
      </w:r>
      <w:bookmarkEnd w:id="109"/>
    </w:p>
    <w:p>
      <w:pPr>
        <w:pStyle w:val="Normal"/>
        <w:rPr>
          <w:rFonts w:ascii="Times New Roman" w:hAnsi="Times New Roman"/>
          <w:sz w:val="24"/>
        </w:rPr>
      </w:pPr>
      <w:r>
        <w:rPr>
          <w:rFonts w:ascii="Times New Roman" w:hAnsi="Times New Roman"/>
          <w:sz w:val="24"/>
        </w:rPr>
        <w:t>Для контроля показателей фильтрационного режима в теле и основании гидротехнических сооружений проектом предусматривается установка пьезометров опускных, пьезометров закладных напорных, пьезометров закладных безнапорных, расходомеров.</w:t>
      </w:r>
    </w:p>
    <w:p>
      <w:pPr>
        <w:pStyle w:val="Normal"/>
        <w:rPr>
          <w:rFonts w:ascii="Times New Roman" w:hAnsi="Times New Roman"/>
          <w:sz w:val="24"/>
        </w:rPr>
      </w:pPr>
      <w:r>
        <w:rPr>
          <w:rFonts w:ascii="Times New Roman" w:hAnsi="Times New Roman"/>
          <w:sz w:val="24"/>
        </w:rPr>
        <w:t>Состав и количество фильтрационной контрольно-измерительной аппаратуры, предусмотренной проектом, представлено в приложении А.</w:t>
      </w:r>
    </w:p>
    <w:p>
      <w:pPr>
        <w:pStyle w:val="Heading2"/>
        <w:numPr>
          <w:ilvl w:val="0"/>
        </w:numPr>
        <w:ind w:left="0" w:right="0" w:hanging="0"/>
        <w:rPr>
          <w:rFonts w:ascii="Times New Roman" w:hAnsi="Times New Roman"/>
        </w:rPr>
      </w:pPr>
      <w:bookmarkStart w:id="110" w:name="__RefHeading___Toc39934_2889022187"/>
      <w:bookmarkEnd w:id="110"/>
      <w:r>
        <w:rPr>
          <w:rFonts w:ascii="Times New Roman" w:hAnsi="Times New Roman"/>
        </w:rPr>
        <w:t>4</w:t>
      </w:r>
      <w:bookmarkStart w:id="111" w:name="_Toc526843727"/>
      <w:bookmarkStart w:id="112" w:name="_Toc215650204"/>
      <w:bookmarkStart w:id="113" w:name="_Toc396747997"/>
      <w:bookmarkStart w:id="114" w:name="_Toc396822303"/>
      <w:bookmarkStart w:id="115" w:name="_Toc499657648"/>
      <w:r>
        <w:rPr>
          <w:rFonts w:ascii="Times New Roman" w:hAnsi="Times New Roman"/>
        </w:rPr>
        <w:t>.3.2 Методика проведения наблюдений по фильтрационной КИА</w:t>
      </w:r>
      <w:bookmarkEnd w:id="111"/>
      <w:bookmarkEnd w:id="112"/>
      <w:bookmarkEnd w:id="113"/>
      <w:bookmarkEnd w:id="114"/>
      <w:bookmarkEnd w:id="115"/>
    </w:p>
    <w:p>
      <w:pPr>
        <w:pStyle w:val="Normal"/>
        <w:rPr>
          <w:rFonts w:ascii="Times New Roman" w:hAnsi="Times New Roman"/>
          <w:sz w:val="24"/>
        </w:rPr>
      </w:pPr>
      <w:r>
        <w:rPr>
          <w:rFonts w:ascii="Times New Roman" w:hAnsi="Times New Roman"/>
          <w:sz w:val="24"/>
        </w:rPr>
        <w:t>Измерение уровней воды в опускных пьезометрах осуществляется с помощью рулетки и лота, оснащённого хлопушкой, свистком или электроконтактным прибором.</w:t>
      </w:r>
    </w:p>
    <w:p>
      <w:pPr>
        <w:pStyle w:val="Normal"/>
        <w:rPr>
          <w:rFonts w:ascii="Times New Roman" w:hAnsi="Times New Roman"/>
          <w:sz w:val="24"/>
        </w:rPr>
      </w:pPr>
      <w:r>
        <w:rPr>
          <w:rFonts w:ascii="Times New Roman" w:hAnsi="Times New Roman"/>
          <w:sz w:val="24"/>
        </w:rPr>
        <w:t>Измерения давления воды в напорных пьезометрах осуществляется с помощью образцовых манометров, устанавливаемых на оголовок напорного пьезометра.</w:t>
      </w:r>
    </w:p>
    <w:p>
      <w:pPr>
        <w:pStyle w:val="Normal"/>
        <w:rPr>
          <w:rFonts w:ascii="Times New Roman" w:hAnsi="Times New Roman"/>
          <w:sz w:val="24"/>
        </w:rPr>
      </w:pPr>
      <w:r>
        <w:rPr>
          <w:rFonts w:ascii="Times New Roman" w:hAnsi="Times New Roman"/>
          <w:sz w:val="24"/>
        </w:rPr>
        <w:t>Измерения фильтрационных расходов осуществляется по мерным водосливам путём измерения уровня воды над порогом водослива.</w:t>
      </w:r>
    </w:p>
    <w:p>
      <w:pPr>
        <w:pStyle w:val="Normal"/>
        <w:rPr>
          <w:rFonts w:ascii="Times New Roman" w:hAnsi="Times New Roman"/>
          <w:sz w:val="24"/>
        </w:rPr>
      </w:pPr>
      <w:r>
        <w:rPr>
          <w:rFonts w:ascii="Times New Roman" w:hAnsi="Times New Roman"/>
          <w:sz w:val="24"/>
        </w:rPr>
        <w:t>Измерение уровня воды выполняется два раза и при расхождении замеров свыше 2 см производится дополнительный контрольный замер. Среднее значение двух близких замеров принимается в качестве измеряемой величины.</w:t>
      </w:r>
    </w:p>
    <w:p>
      <w:pPr>
        <w:pStyle w:val="Heading2"/>
        <w:numPr>
          <w:ilvl w:val="0"/>
        </w:numPr>
        <w:ind w:left="0" w:right="0" w:hanging="0"/>
        <w:rPr>
          <w:rFonts w:ascii="Times New Roman" w:hAnsi="Times New Roman"/>
        </w:rPr>
      </w:pPr>
      <w:bookmarkStart w:id="116" w:name="__RefHeading___Toc39936_2889022187"/>
      <w:bookmarkEnd w:id="116"/>
      <w:r>
        <w:rPr>
          <w:rFonts w:ascii="Times New Roman" w:hAnsi="Times New Roman"/>
        </w:rPr>
        <w:t>4</w:t>
      </w:r>
      <w:bookmarkStart w:id="117" w:name="_Toc526843728"/>
      <w:bookmarkStart w:id="118" w:name="_Toc396822304"/>
      <w:bookmarkStart w:id="119" w:name="_Toc499657649"/>
      <w:bookmarkStart w:id="120" w:name="_Toc396747998"/>
      <w:bookmarkStart w:id="121" w:name="_Toc215650205"/>
      <w:r>
        <w:rPr>
          <w:rFonts w:ascii="Times New Roman" w:hAnsi="Times New Roman"/>
        </w:rPr>
        <w:t>.3.3 Периодичность проведения наблюдений по фильтрационной КИА</w:t>
      </w:r>
      <w:bookmarkEnd w:id="117"/>
      <w:bookmarkEnd w:id="118"/>
      <w:bookmarkEnd w:id="119"/>
      <w:bookmarkEnd w:id="120"/>
      <w:bookmarkEnd w:id="121"/>
    </w:p>
    <w:p>
      <w:pPr>
        <w:pStyle w:val="Normal"/>
        <w:rPr>
          <w:rFonts w:ascii="Times New Roman" w:hAnsi="Times New Roman"/>
          <w:sz w:val="24"/>
        </w:rPr>
      </w:pPr>
      <w:r>
        <w:rPr>
          <w:rFonts w:ascii="Times New Roman" w:hAnsi="Times New Roman"/>
          <w:sz w:val="24"/>
        </w:rPr>
        <w:t>Периодичность проведения наблюдений по фильтрационной контрольно-измерительной аппаратуре представлена в приложении Б.</w:t>
      </w:r>
    </w:p>
    <w:p>
      <w:pPr>
        <w:pStyle w:val="Normal"/>
        <w:rPr>
          <w:rFonts w:ascii="Times New Roman" w:hAnsi="Times New Roman"/>
          <w:sz w:val="24"/>
        </w:rPr>
      </w:pPr>
      <w:r>
        <w:rPr>
          <w:rFonts w:ascii="Times New Roman" w:hAnsi="Times New Roman"/>
          <w:sz w:val="24"/>
        </w:rPr>
        <w:t>Настоящая периодичность предусматривает количество циклов наблюдений (измерений) по соответствующей фильтрационной контрольно-измерительной аппаратуре за определенный промежуток времени.</w:t>
      </w:r>
    </w:p>
    <w:p>
      <w:pPr>
        <w:pStyle w:val="Heading2"/>
        <w:numPr>
          <w:ilvl w:val="0"/>
        </w:numPr>
        <w:ind w:left="0" w:right="0" w:hanging="0"/>
        <w:rPr>
          <w:rFonts w:ascii="Times New Roman" w:hAnsi="Times New Roman"/>
        </w:rPr>
      </w:pPr>
      <w:bookmarkStart w:id="122" w:name="__RefHeading___Toc39938_2889022187"/>
      <w:bookmarkEnd w:id="122"/>
      <w:r>
        <w:rPr>
          <w:rFonts w:ascii="Times New Roman" w:hAnsi="Times New Roman"/>
        </w:rPr>
        <w:t>4.</w:t>
      </w:r>
      <w:bookmarkStart w:id="123" w:name="_Toc215650206"/>
      <w:r>
        <w:rPr>
          <w:rFonts w:ascii="Times New Roman" w:hAnsi="Times New Roman"/>
        </w:rPr>
        <w:t>3.4 Объёмы наблюдений по фильтрационной КИА</w:t>
      </w:r>
      <w:bookmarkEnd w:id="123"/>
    </w:p>
    <w:p>
      <w:pPr>
        <w:pStyle w:val="Normal"/>
        <w:rPr>
          <w:rFonts w:ascii="Times New Roman" w:hAnsi="Times New Roman"/>
          <w:sz w:val="24"/>
        </w:rPr>
      </w:pPr>
      <w:r>
        <w:rPr>
          <w:rFonts w:ascii="Times New Roman" w:hAnsi="Times New Roman"/>
          <w:sz w:val="24"/>
        </w:rPr>
        <w:t>Объём наблюдений по фильтрационной КИА определяется на основе количества КИА и количества циклов наблюдений по ней в год.</w:t>
      </w:r>
    </w:p>
    <w:p>
      <w:pPr>
        <w:pStyle w:val="Normal"/>
        <w:rPr>
          <w:rFonts w:ascii="Times New Roman" w:hAnsi="Times New Roman"/>
          <w:sz w:val="24"/>
        </w:rPr>
      </w:pPr>
      <w:r>
        <w:rPr>
          <w:rFonts w:ascii="Times New Roman" w:hAnsi="Times New Roman"/>
          <w:sz w:val="24"/>
        </w:rPr>
        <w:t>Объём наблюдений по фильтрационной КИА на один год представлен в приложении В.</w:t>
      </w:r>
    </w:p>
    <w:p>
      <w:pPr>
        <w:pStyle w:val="Heading2"/>
        <w:numPr>
          <w:ilvl w:val="0"/>
        </w:numPr>
        <w:ind w:left="0" w:right="0" w:hanging="0"/>
        <w:rPr>
          <w:rFonts w:ascii="Times New Roman" w:hAnsi="Times New Roman"/>
        </w:rPr>
      </w:pPr>
      <w:bookmarkStart w:id="124" w:name="__RefHeading___Toc39940_2889022187"/>
      <w:bookmarkEnd w:id="124"/>
      <w:r>
        <w:rPr>
          <w:rFonts w:ascii="Times New Roman" w:hAnsi="Times New Roman"/>
        </w:rPr>
        <w:t>4</w:t>
      </w:r>
      <w:bookmarkStart w:id="125" w:name="_Hlk215566322"/>
      <w:bookmarkStart w:id="126" w:name="_Toc215650207"/>
      <w:bookmarkStart w:id="127" w:name="_Toc499657650"/>
      <w:bookmarkStart w:id="128" w:name="_Toc396748000"/>
      <w:bookmarkStart w:id="129" w:name="_Toc396822306"/>
      <w:bookmarkStart w:id="130" w:name="_Toc526843729"/>
      <w:r>
        <w:rPr>
          <w:rFonts w:ascii="Times New Roman" w:hAnsi="Times New Roman"/>
        </w:rPr>
        <w:t>.3.5 Обработка и оформление результатов наблюдений по фильтрационной КИА</w:t>
      </w:r>
      <w:bookmarkEnd w:id="126"/>
      <w:bookmarkEnd w:id="127"/>
      <w:bookmarkEnd w:id="128"/>
      <w:bookmarkEnd w:id="129"/>
      <w:bookmarkEnd w:id="130"/>
    </w:p>
    <w:p>
      <w:pPr>
        <w:pStyle w:val="Normal"/>
        <w:rPr>
          <w:rFonts w:ascii="Times New Roman" w:hAnsi="Times New Roman"/>
          <w:sz w:val="24"/>
        </w:rPr>
      </w:pPr>
      <w:r>
        <w:rPr>
          <w:rFonts w:ascii="Times New Roman" w:hAnsi="Times New Roman"/>
          <w:sz w:val="24"/>
        </w:rPr>
        <w:t xml:space="preserve">Результаты выполненных фильтрационных наблюдений заносятся в соответствующие журналы наблюдений (форма полевого журнала приведена в приложении </w:t>
      </w:r>
      <w:r>
        <w:rPr>
          <w:rFonts w:ascii="Times New Roman" w:hAnsi="Times New Roman"/>
          <w:sz w:val="24"/>
          <w:shd w:fill="auto" w:val="clear"/>
        </w:rPr>
        <w:t>Д</w:t>
      </w:r>
      <w:r>
        <w:rPr>
          <w:rFonts w:ascii="Times New Roman" w:hAnsi="Times New Roman"/>
          <w:sz w:val="24"/>
        </w:rPr>
        <w:t>) и в электронную базу данных информационно-диагностической системы «БИНГ-3».</w:t>
      </w:r>
    </w:p>
    <w:p>
      <w:pPr>
        <w:pStyle w:val="Heading2"/>
        <w:numPr>
          <w:ilvl w:val="0"/>
        </w:numPr>
        <w:ind w:left="0" w:right="0" w:hanging="0"/>
        <w:rPr>
          <w:rFonts w:ascii="Times New Roman" w:hAnsi="Times New Roman"/>
        </w:rPr>
      </w:pPr>
      <w:bookmarkStart w:id="131" w:name="__RefHeading___Toc39942_2889022187"/>
      <w:bookmarkEnd w:id="125"/>
      <w:bookmarkEnd w:id="131"/>
      <w:r>
        <w:rPr>
          <w:rFonts w:ascii="Times New Roman" w:hAnsi="Times New Roman"/>
        </w:rPr>
        <w:t xml:space="preserve">4.4 </w:t>
      </w:r>
      <w:bookmarkStart w:id="132" w:name="_Toc499657651"/>
      <w:bookmarkStart w:id="133" w:name="_Toc215650208"/>
      <w:bookmarkStart w:id="134" w:name="_Toc526843730"/>
      <w:r>
        <w:rPr>
          <w:rFonts w:ascii="Times New Roman" w:hAnsi="Times New Roman"/>
        </w:rPr>
        <w:t>Проведение наблюдений за стабильностью плановой и высотной опорных геодезических сетей</w:t>
      </w:r>
      <w:bookmarkEnd w:id="132"/>
      <w:bookmarkEnd w:id="133"/>
      <w:bookmarkEnd w:id="134"/>
    </w:p>
    <w:p>
      <w:pPr>
        <w:pStyle w:val="Heading2"/>
        <w:numPr>
          <w:ilvl w:val="0"/>
        </w:numPr>
        <w:ind w:left="0" w:right="0" w:hanging="0"/>
        <w:rPr>
          <w:rFonts w:ascii="Times New Roman" w:hAnsi="Times New Roman"/>
        </w:rPr>
      </w:pPr>
      <w:bookmarkStart w:id="135" w:name="__RefHeading___Toc39944_2889022187"/>
      <w:bookmarkEnd w:id="135"/>
      <w:r>
        <w:rPr>
          <w:rFonts w:ascii="Times New Roman" w:hAnsi="Times New Roman"/>
        </w:rPr>
        <w:t xml:space="preserve">4.4.1 </w:t>
      </w:r>
      <w:bookmarkStart w:id="136" w:name="_Toc499657652"/>
      <w:bookmarkStart w:id="137" w:name="_Toc215650209"/>
      <w:bookmarkStart w:id="138" w:name="_Toc526843731"/>
      <w:r>
        <w:rPr>
          <w:rFonts w:ascii="Times New Roman" w:hAnsi="Times New Roman"/>
        </w:rPr>
        <w:t>Наблюдения за пунктами высотной сети</w:t>
      </w:r>
      <w:bookmarkEnd w:id="136"/>
      <w:bookmarkEnd w:id="137"/>
      <w:bookmarkEnd w:id="138"/>
    </w:p>
    <w:p>
      <w:pPr>
        <w:pStyle w:val="Normal"/>
        <w:rPr>
          <w:rFonts w:ascii="Times New Roman" w:hAnsi="Times New Roman"/>
          <w:sz w:val="24"/>
        </w:rPr>
      </w:pPr>
      <w:r>
        <w:rPr>
          <w:rFonts w:ascii="Times New Roman" w:hAnsi="Times New Roman"/>
          <w:sz w:val="24"/>
        </w:rPr>
        <w:t xml:space="preserve">Опорная высотная сеть является общей для Загорской ГАЭС (далее – ГАЭС-1) и Загорской ГАЭС-2 (далее – ГАЭС-2). Она закреплена кустами фундаментальных реперов, расположенных на левом берегу р. Куньи. Каждый куст реперов состоит из трёх реперов. Куст № 8 (реперы №№ 8-1, 8-2, 8-3) расположен неподалеку от ГАЭС-1, куст № 9 (реперы №№ 9-1, 9-2, 9-3) расположен в северной части напорного трубопровода </w:t>
        <w:br/>
        <w:t>ГАЭС-2, куст № 10 (реперы №№ 10-1, 10-2, 10-3) расположен в южной части напорного трубопровода ГАЭС-2, куст № 11 (реперы №№  11-1, 11-2, 11-3) расположен в лесу у верхнего бассейна ГАЭС-2, куст № N (стенные реперы №№ N1, N2, N3) заложен в июне 2014 года в поселке Богородское, куст № 6 (реперы №№ 6-1, 6-2 и 6-3) – в южной части водохранилища ГАЭС-2. Кроме фундаментальных и стенных реперов в районе основных сооружений Загорской ГАЭС-2 существуют планово-высотные пункты №№ PUT2а, Рп.029, SZ, MOST, BORT, ЮЗ и ЮВ и прочие пункты, выполняющие функцию рабочих реперов.</w:t>
      </w:r>
    </w:p>
    <w:p>
      <w:pPr>
        <w:pStyle w:val="Normal"/>
        <w:rPr>
          <w:rFonts w:ascii="Times New Roman" w:hAnsi="Times New Roman"/>
          <w:sz w:val="24"/>
        </w:rPr>
      </w:pPr>
      <w:r>
        <w:rPr>
          <w:rFonts w:ascii="Times New Roman" w:hAnsi="Times New Roman"/>
          <w:sz w:val="24"/>
        </w:rPr>
        <w:t>Для контроля стабильности высотной опорной сети Загорской ГАЭС-2 необходимо выполнить гидротехническое нивелирование 1 и 2 разрядов по рабочим, фундаментальным и стенным реперам, а также по пунктам планово-высотного обоснования. Наблюдения за пунктами высотной сети должны производиться дважды в год, весной и осенью.</w:t>
      </w:r>
    </w:p>
    <w:p>
      <w:pPr>
        <w:pStyle w:val="Normal"/>
        <w:rPr>
          <w:rFonts w:ascii="Times New Roman" w:hAnsi="Times New Roman"/>
          <w:b/>
          <w:sz w:val="24"/>
        </w:rPr>
      </w:pPr>
      <w:bookmarkStart w:id="139" w:name="_Toc499657653"/>
      <w:bookmarkStart w:id="140" w:name="_Toc526843732"/>
      <w:r>
        <w:rPr>
          <w:rFonts w:ascii="Times New Roman" w:hAnsi="Times New Roman"/>
          <w:b/>
          <w:sz w:val="24"/>
        </w:rPr>
        <w:t>Инструменты</w:t>
      </w:r>
      <w:bookmarkEnd w:id="139"/>
      <w:bookmarkEnd w:id="140"/>
    </w:p>
    <w:p>
      <w:pPr>
        <w:pStyle w:val="Normal"/>
        <w:rPr>
          <w:rFonts w:ascii="Times New Roman" w:hAnsi="Times New Roman"/>
          <w:sz w:val="24"/>
        </w:rPr>
      </w:pPr>
      <w:r>
        <w:rPr>
          <w:rFonts w:ascii="Times New Roman" w:hAnsi="Times New Roman"/>
          <w:sz w:val="24"/>
        </w:rPr>
        <w:t>Гидротехническое нивелирование 1 и 2 разрядов выполняется высокоточным оптическим нивелиром с самоустанавливающейся линией визирования, имеющим оптический микрометр с ценой деления шкалы 0,05 мм. Увеличение зрительной трубы не менее 30х. Для производства также может быть использован цифровой нивелир с паспортной точностью не менее 0,5 мм на километр двойного хода. Следует учитывать, что применение цифрового нивелира не регламентируется существующими техническими нормативами, поэтому принимается методика, рекомендованная фирмой – изготовителем прибора.</w:t>
      </w:r>
    </w:p>
    <w:p>
      <w:pPr>
        <w:pStyle w:val="Normal"/>
        <w:rPr>
          <w:rFonts w:ascii="Times New Roman" w:hAnsi="Times New Roman"/>
          <w:sz w:val="24"/>
        </w:rPr>
      </w:pPr>
      <w:r>
        <w:rPr>
          <w:rFonts w:ascii="Times New Roman" w:hAnsi="Times New Roman"/>
          <w:sz w:val="24"/>
        </w:rPr>
        <w:t xml:space="preserve">Перед началом работ выполняется метрологическое освидетельствование нивелира с выдачей сертификата установленного образца. Получение сертификата не освобождает исполнителя от самостоятельного выполнения поверок и исследований нивелира и реек. </w:t>
      </w:r>
    </w:p>
    <w:p>
      <w:pPr>
        <w:pStyle w:val="Normal"/>
        <w:rPr>
          <w:rFonts w:ascii="Times New Roman" w:hAnsi="Times New Roman"/>
          <w:sz w:val="24"/>
        </w:rPr>
      </w:pPr>
      <w:r>
        <w:rPr>
          <w:rFonts w:ascii="Times New Roman" w:hAnsi="Times New Roman"/>
          <w:sz w:val="24"/>
        </w:rPr>
        <w:t>Состав поверок несколько различается для оптического и цифрового нивелира. В зависимости от типа нивелира выполняются следующие поверки:</w:t>
      </w:r>
    </w:p>
    <w:p>
      <w:pPr>
        <w:pStyle w:val="Normal"/>
        <w:rPr>
          <w:rFonts w:ascii="Times New Roman" w:hAnsi="Times New Roman"/>
          <w:sz w:val="24"/>
        </w:rPr>
      </w:pPr>
      <w:r>
        <w:rPr>
          <w:rFonts w:ascii="Times New Roman" w:hAnsi="Times New Roman"/>
          <w:sz w:val="24"/>
        </w:rPr>
        <w:t>-</w:t>
        <w:tab/>
        <w:t>внешний осмотр, проверка хода подъемных, наводящего, фокусирующего винта (для обоих типов) и барабана микрометра (только для оптического нивелира);</w:t>
      </w:r>
    </w:p>
    <w:p>
      <w:pPr>
        <w:pStyle w:val="Normal"/>
        <w:rPr>
          <w:rFonts w:ascii="Times New Roman" w:hAnsi="Times New Roman"/>
          <w:sz w:val="24"/>
        </w:rPr>
      </w:pPr>
      <w:r>
        <w:rPr>
          <w:rFonts w:ascii="Times New Roman" w:hAnsi="Times New Roman"/>
          <w:sz w:val="24"/>
        </w:rPr>
        <w:t>-</w:t>
        <w:tab/>
        <w:t>поверка и юстировка круглого уровня нивелира (для обоих типов);</w:t>
      </w:r>
    </w:p>
    <w:p>
      <w:pPr>
        <w:pStyle w:val="Normal"/>
        <w:rPr>
          <w:rFonts w:ascii="Times New Roman" w:hAnsi="Times New Roman"/>
          <w:sz w:val="24"/>
        </w:rPr>
      </w:pPr>
      <w:r>
        <w:rPr>
          <w:rFonts w:ascii="Times New Roman" w:hAnsi="Times New Roman"/>
          <w:sz w:val="24"/>
        </w:rPr>
        <w:t>-</w:t>
        <w:tab/>
        <w:t>поверка и юстировка основного условия нивелира (для обоих типов);</w:t>
      </w:r>
    </w:p>
    <w:p>
      <w:pPr>
        <w:pStyle w:val="Normal"/>
        <w:rPr>
          <w:rFonts w:ascii="Times New Roman" w:hAnsi="Times New Roman"/>
          <w:sz w:val="24"/>
        </w:rPr>
      </w:pPr>
      <w:r>
        <w:rPr>
          <w:rFonts w:ascii="Times New Roman" w:hAnsi="Times New Roman"/>
          <w:sz w:val="24"/>
        </w:rPr>
        <w:t>-</w:t>
        <w:tab/>
        <w:t>определение цены деления шкалы микрометра (для оптического нивелира);</w:t>
      </w:r>
    </w:p>
    <w:p>
      <w:pPr>
        <w:pStyle w:val="Normal"/>
        <w:rPr>
          <w:rFonts w:ascii="Times New Roman" w:hAnsi="Times New Roman"/>
          <w:sz w:val="24"/>
        </w:rPr>
      </w:pPr>
      <w:r>
        <w:rPr>
          <w:rFonts w:ascii="Times New Roman" w:hAnsi="Times New Roman"/>
          <w:sz w:val="24"/>
        </w:rPr>
        <w:t>-</w:t>
        <w:tab/>
        <w:t>поверка и юстировка круглых уровней реек;</w:t>
      </w:r>
    </w:p>
    <w:p>
      <w:pPr>
        <w:pStyle w:val="Normal"/>
        <w:rPr>
          <w:rFonts w:ascii="Times New Roman" w:hAnsi="Times New Roman"/>
          <w:sz w:val="24"/>
        </w:rPr>
      </w:pPr>
      <w:r>
        <w:rPr>
          <w:rFonts w:ascii="Times New Roman" w:hAnsi="Times New Roman"/>
          <w:sz w:val="24"/>
        </w:rPr>
        <w:t>-</w:t>
        <w:tab/>
        <w:t>поверка перпендикулярности оси шкалы рейки к плоскости пятки;</w:t>
      </w:r>
    </w:p>
    <w:p>
      <w:pPr>
        <w:pStyle w:val="Normal"/>
        <w:rPr>
          <w:rFonts w:ascii="Times New Roman" w:hAnsi="Times New Roman"/>
          <w:sz w:val="24"/>
        </w:rPr>
      </w:pPr>
      <w:r>
        <w:rPr>
          <w:rFonts w:ascii="Times New Roman" w:hAnsi="Times New Roman"/>
          <w:sz w:val="24"/>
        </w:rPr>
        <w:t>-</w:t>
        <w:tab/>
        <w:t>определение разности нулей пары реек;</w:t>
      </w:r>
    </w:p>
    <w:p>
      <w:pPr>
        <w:pStyle w:val="Normal"/>
        <w:rPr>
          <w:rFonts w:ascii="Times New Roman" w:hAnsi="Times New Roman"/>
          <w:sz w:val="24"/>
        </w:rPr>
      </w:pPr>
      <w:r>
        <w:rPr>
          <w:rFonts w:ascii="Times New Roman" w:hAnsi="Times New Roman"/>
          <w:sz w:val="24"/>
        </w:rPr>
        <w:t>-</w:t>
        <w:tab/>
        <w:t>поверка отклонения пятки рейки от плоскости.</w:t>
      </w:r>
    </w:p>
    <w:p>
      <w:pPr>
        <w:pStyle w:val="Normal"/>
        <w:rPr>
          <w:rFonts w:ascii="Times New Roman" w:hAnsi="Times New Roman"/>
          <w:sz w:val="24"/>
        </w:rPr>
      </w:pPr>
      <w:r>
        <w:rPr>
          <w:rFonts w:ascii="Times New Roman" w:hAnsi="Times New Roman"/>
          <w:sz w:val="24"/>
        </w:rPr>
        <w:t>Исследования и поверки оптических нивелиров и реек выполняются в соответствии с Инструкцией по нивелированию. Поверки цифровых нивелиров производятся в соответствии с инструкцией по эксплуатации каждого конкретного инструмента.</w:t>
      </w:r>
    </w:p>
    <w:p>
      <w:pPr>
        <w:pStyle w:val="Normal"/>
        <w:rPr>
          <w:rFonts w:ascii="Times New Roman" w:hAnsi="Times New Roman"/>
          <w:sz w:val="24"/>
        </w:rPr>
      </w:pPr>
      <w:r>
        <w:rPr>
          <w:rFonts w:ascii="Times New Roman" w:hAnsi="Times New Roman"/>
          <w:sz w:val="24"/>
        </w:rPr>
        <w:t>С оптическим нивелиром применяются трёхметровые рейки со штриховой инварной шкалой с ценой деления 5 мм. При использовании цифрового нивелира применяются рейки, рекомендованные фирмой-изготовителем инструмента. Все рейки должны иметь круглый уровень.</w:t>
      </w:r>
    </w:p>
    <w:p>
      <w:pPr>
        <w:pStyle w:val="Normal"/>
        <w:rPr>
          <w:rFonts w:ascii="Times New Roman" w:hAnsi="Times New Roman"/>
          <w:sz w:val="24"/>
        </w:rPr>
      </w:pPr>
      <w:r>
        <w:rPr>
          <w:rFonts w:ascii="Times New Roman" w:hAnsi="Times New Roman"/>
          <w:sz w:val="24"/>
        </w:rPr>
        <w:t>Перед каждым циклом выполняются следующие поверки и исследования реек:</w:t>
      </w:r>
    </w:p>
    <w:p>
      <w:pPr>
        <w:pStyle w:val="Normal"/>
        <w:rPr>
          <w:rFonts w:ascii="Times New Roman" w:hAnsi="Times New Roman"/>
          <w:sz w:val="24"/>
        </w:rPr>
      </w:pPr>
      <w:r>
        <w:rPr>
          <w:rFonts w:ascii="Times New Roman" w:hAnsi="Times New Roman"/>
          <w:sz w:val="24"/>
        </w:rPr>
        <w:t>-</w:t>
        <w:tab/>
        <w:t>поверка круглого уровня;</w:t>
      </w:r>
    </w:p>
    <w:p>
      <w:pPr>
        <w:pStyle w:val="Normal"/>
        <w:rPr>
          <w:rFonts w:ascii="Times New Roman" w:hAnsi="Times New Roman"/>
          <w:sz w:val="24"/>
        </w:rPr>
      </w:pPr>
      <w:r>
        <w:rPr>
          <w:rFonts w:ascii="Times New Roman" w:hAnsi="Times New Roman"/>
          <w:sz w:val="24"/>
        </w:rPr>
        <w:t>-</w:t>
        <w:tab/>
        <w:t>определение разности нулей пятки рейки и подвесного устройства;</w:t>
      </w:r>
    </w:p>
    <w:p>
      <w:pPr>
        <w:pStyle w:val="Normal"/>
        <w:rPr>
          <w:rFonts w:ascii="Times New Roman" w:hAnsi="Times New Roman"/>
          <w:sz w:val="24"/>
        </w:rPr>
      </w:pPr>
      <w:r>
        <w:rPr>
          <w:rFonts w:ascii="Times New Roman" w:hAnsi="Times New Roman"/>
          <w:sz w:val="24"/>
        </w:rPr>
        <w:t>-</w:t>
        <w:tab/>
        <w:t>определение разности пяток нулей пары реек;</w:t>
      </w:r>
    </w:p>
    <w:p>
      <w:pPr>
        <w:pStyle w:val="Normal"/>
        <w:rPr>
          <w:rFonts w:ascii="Times New Roman" w:hAnsi="Times New Roman"/>
          <w:sz w:val="24"/>
        </w:rPr>
      </w:pPr>
      <w:r>
        <w:rPr>
          <w:rFonts w:ascii="Times New Roman" w:hAnsi="Times New Roman"/>
          <w:sz w:val="24"/>
        </w:rPr>
        <w:t>-</w:t>
        <w:tab/>
        <w:t>поверка перпендикулярности пятки рейки оси шкалы.</w:t>
      </w:r>
    </w:p>
    <w:p>
      <w:pPr>
        <w:pStyle w:val="Normal"/>
        <w:rPr>
          <w:rFonts w:ascii="Times New Roman" w:hAnsi="Times New Roman"/>
          <w:sz w:val="24"/>
        </w:rPr>
      </w:pPr>
      <w:r>
        <w:rPr>
          <w:rFonts w:ascii="Times New Roman" w:hAnsi="Times New Roman"/>
          <w:sz w:val="24"/>
        </w:rPr>
        <w:t>Рейки также должны проходить ежегодное метрологическое освидетельствование с выдачей свидетельства установленного образца.</w:t>
      </w:r>
    </w:p>
    <w:p>
      <w:pPr>
        <w:pStyle w:val="Normal"/>
        <w:rPr>
          <w:rFonts w:ascii="Times New Roman" w:hAnsi="Times New Roman"/>
          <w:sz w:val="24"/>
        </w:rPr>
      </w:pPr>
      <w:r>
        <w:rPr>
          <w:rFonts w:ascii="Times New Roman" w:hAnsi="Times New Roman"/>
          <w:sz w:val="24"/>
        </w:rPr>
      </w:r>
    </w:p>
    <w:p>
      <w:pPr>
        <w:pStyle w:val="Normal"/>
        <w:rPr>
          <w:rFonts w:ascii="Times New Roman" w:hAnsi="Times New Roman"/>
          <w:b/>
          <w:sz w:val="24"/>
        </w:rPr>
      </w:pPr>
      <w:bookmarkStart w:id="141" w:name="_Toc499657654"/>
      <w:bookmarkStart w:id="142" w:name="_Toc526843733"/>
      <w:r>
        <w:rPr>
          <w:rFonts w:ascii="Times New Roman" w:hAnsi="Times New Roman"/>
          <w:b/>
          <w:sz w:val="24"/>
        </w:rPr>
        <w:t>Методика</w:t>
      </w:r>
      <w:bookmarkEnd w:id="141"/>
      <w:bookmarkEnd w:id="142"/>
    </w:p>
    <w:p>
      <w:pPr>
        <w:pStyle w:val="Normal"/>
        <w:rPr>
          <w:rFonts w:ascii="Times New Roman" w:hAnsi="Times New Roman"/>
          <w:sz w:val="24"/>
        </w:rPr>
      </w:pPr>
      <w:r>
        <w:rPr>
          <w:rFonts w:ascii="Times New Roman" w:hAnsi="Times New Roman"/>
          <w:sz w:val="24"/>
        </w:rPr>
        <w:t>Наблюдения за пунктами высотной сети на Загорской ГАЭС-2 следует выполнять методом гидротехнического нивелирования 1 разряда для пунктов в районе основных сооружений и гидротехнического нивелирования 2 разряда для остальных пунктов.</w:t>
      </w:r>
    </w:p>
    <w:p>
      <w:pPr>
        <w:pStyle w:val="Normal"/>
        <w:rPr>
          <w:rFonts w:ascii="Times New Roman" w:hAnsi="Times New Roman"/>
          <w:sz w:val="24"/>
        </w:rPr>
      </w:pPr>
      <w:r>
        <w:rPr>
          <w:rFonts w:ascii="Times New Roman" w:hAnsi="Times New Roman"/>
          <w:sz w:val="24"/>
        </w:rPr>
        <w:t>Ход гидротехнического нивелирования 1 разряда прокладывается по предварительно разбитой трассе в прямом и в обратном направлениях при двух горизонтах. Ход гидротехнического нивелирования 2 разряда прокладывается в двух направлениях при одном горизонте нивелира.  Уточнение трассы хода производится по результатам полевой рек</w:t>
      </w:r>
      <w:r>
        <w:rPr>
          <w:rFonts w:ascii="Times New Roman" w:hAnsi="Times New Roman"/>
          <w:sz w:val="24"/>
          <w:shd w:fill="auto" w:val="clear"/>
        </w:rPr>
        <w:t>огносцировки непосредственно перед производством измерений, возможно его совмещение с технологическим процессом разбивки трассы нивелирования. Подсчёт объёмов работ на один года по нивелированию пунктов опорной сети представлен в таблице 4.1.</w:t>
      </w:r>
    </w:p>
    <w:p>
      <w:pPr>
        <w:pStyle w:val="Normal"/>
        <w:rPr>
          <w:rFonts w:ascii="Times New Roman" w:hAnsi="Times New Roman"/>
          <w:sz w:val="24"/>
        </w:rPr>
      </w:pPr>
      <w:r>
        <w:rPr>
          <w:rFonts w:ascii="Times New Roman" w:hAnsi="Times New Roman"/>
          <w:sz w:val="24"/>
        </w:rPr>
        <w:t>В соответствии со «Справочником базовых цен на инженерные изыскания для строительства. Инженерно-геодезические изыскания при строительстве и эксплуатации зданий и сооружений»:</w:t>
      </w:r>
    </w:p>
    <w:p>
      <w:pPr>
        <w:pStyle w:val="Normal"/>
        <w:rPr>
          <w:rFonts w:ascii="Times New Roman" w:hAnsi="Times New Roman"/>
          <w:sz w:val="24"/>
        </w:rPr>
      </w:pPr>
      <w:r>
        <w:rPr>
          <w:rFonts w:ascii="Times New Roman" w:hAnsi="Times New Roman"/>
          <w:sz w:val="24"/>
        </w:rPr>
        <w:t>- условия выполнения рекогносцировки и наблюдений за вертикальными перемещениями (нивелирование) относятся к III категории сложности;</w:t>
      </w:r>
    </w:p>
    <w:p>
      <w:pPr>
        <w:pStyle w:val="Normal"/>
        <w:rPr>
          <w:rFonts w:ascii="Times New Roman" w:hAnsi="Times New Roman"/>
          <w:sz w:val="24"/>
        </w:rPr>
      </w:pPr>
      <w:r>
        <w:rPr>
          <w:rFonts w:ascii="Times New Roman" w:hAnsi="Times New Roman"/>
          <w:sz w:val="24"/>
        </w:rPr>
        <w:t>- расстояния по внутреннему транспорту связанные с перевозкой изыскателей, оборудования и материалов от места базирования изыскательской организации до участка изысканий и обратно, а также непосредственно на участке работ относится к категории от 10 до 15 км;</w:t>
      </w:r>
    </w:p>
    <w:p>
      <w:pPr>
        <w:pStyle w:val="Normal"/>
        <w:rPr>
          <w:rFonts w:ascii="Times New Roman" w:hAnsi="Times New Roman"/>
          <w:sz w:val="24"/>
        </w:rPr>
      </w:pPr>
      <w:r>
        <w:rPr>
          <w:rFonts w:ascii="Times New Roman" w:hAnsi="Times New Roman"/>
          <w:sz w:val="24"/>
        </w:rPr>
        <w:t>- расстояния по внешнему транспорту, связанные с проездом работников и перевозкой изыскательского оборудования и грузов от постоянного местонахождения организации до места базирования относится к категории от 100 до 300 км.</w:t>
      </w:r>
    </w:p>
    <w:p>
      <w:pPr>
        <w:pStyle w:val="Normal"/>
        <w:rPr>
          <w:rFonts w:ascii="Times New Roman" w:hAnsi="Times New Roman"/>
          <w:sz w:val="24"/>
        </w:rPr>
      </w:pPr>
      <w:r>
        <w:rPr>
          <w:rFonts w:ascii="Times New Roman" w:hAnsi="Times New Roman"/>
          <w:sz w:val="24"/>
        </w:rPr>
        <w:t>Места установки нивелира и реек закрепляются на местности. Измерения на станции выполняются по методике, предусмотренной Руководством по натурным наблюдениям за деформациями гидротехнических сооружений и их оснований геодезическими методами или Руководством по эксплуатации цифрового нивелира. В последнем случае применяется вложенная программа наблюдений, позволяющая изменять горизонт инструмента на станции.</w:t>
      </w:r>
    </w:p>
    <w:p>
      <w:pPr>
        <w:pStyle w:val="Normal"/>
        <w:rPr>
          <w:rFonts w:ascii="Times New Roman" w:hAnsi="Times New Roman"/>
          <w:sz w:val="24"/>
        </w:rPr>
      </w:pPr>
      <w:r>
        <w:rPr>
          <w:rFonts w:ascii="Times New Roman" w:hAnsi="Times New Roman"/>
          <w:sz w:val="24"/>
        </w:rPr>
        <w:t>Таблица 4.1 – Подсчёт объёмов работ по нивелированию пунктов опорной сети на один год</w:t>
      </w:r>
    </w:p>
    <w:tbl>
      <w:tblPr>
        <w:tblW w:w="5000" w:type="pct"/>
        <w:jc w:val="center"/>
        <w:tblInd w:w="0" w:type="dxa"/>
        <w:tblLayout w:type="fixed"/>
        <w:tblCellMar>
          <w:top w:w="0" w:type="dxa"/>
          <w:left w:w="108" w:type="dxa"/>
          <w:bottom w:w="0" w:type="dxa"/>
          <w:right w:w="108" w:type="dxa"/>
        </w:tblCellMar>
      </w:tblPr>
      <w:tblGrid>
        <w:gridCol w:w="1812"/>
        <w:gridCol w:w="1221"/>
        <w:gridCol w:w="1374"/>
        <w:gridCol w:w="1377"/>
        <w:gridCol w:w="1669"/>
        <w:gridCol w:w="1617"/>
      </w:tblGrid>
      <w:tr>
        <w:trPr/>
        <w:tc>
          <w:tcPr>
            <w:tcW w:w="18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Нивелирование</w:t>
            </w: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Количество циклов в году</w:t>
            </w:r>
          </w:p>
        </w:tc>
        <w:tc>
          <w:tcPr>
            <w:tcW w:w="304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Количество штативов в году</w:t>
            </w:r>
          </w:p>
        </w:tc>
        <w:tc>
          <w:tcPr>
            <w:tcW w:w="16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Количество штативов всего</w:t>
            </w:r>
          </w:p>
        </w:tc>
      </w:tr>
      <w:tr>
        <w:trPr/>
        <w:tc>
          <w:tcPr>
            <w:tcW w:w="18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sz w:val="24"/>
                <w:szCs w:val="24"/>
              </w:rPr>
            </w:r>
          </w:p>
        </w:tc>
        <w:tc>
          <w:tcPr>
            <w:tcW w:w="1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в период с 05.05 по 20.10</w:t>
            </w:r>
          </w:p>
        </w:tc>
        <w:tc>
          <w:tcPr>
            <w:tcW w:w="13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в период с 20.10 по 31.12</w:t>
            </w:r>
          </w:p>
        </w:tc>
        <w:tc>
          <w:tcPr>
            <w:tcW w:w="13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в период с 05.05 по 20.10*</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в период с 20.10 по 31.12</w:t>
            </w:r>
          </w:p>
        </w:tc>
        <w:tc>
          <w:tcPr>
            <w:tcW w:w="16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sz w:val="24"/>
                <w:szCs w:val="24"/>
              </w:rPr>
            </w:r>
          </w:p>
        </w:tc>
      </w:tr>
      <w:tr>
        <w:trPr>
          <w:trHeight w:val="340" w:hRule="atLeast"/>
        </w:trPr>
        <w:tc>
          <w:tcPr>
            <w:tcW w:w="18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1 класса</w:t>
            </w:r>
          </w:p>
        </w:tc>
        <w:tc>
          <w:tcPr>
            <w:tcW w:w="1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1</w:t>
            </w:r>
          </w:p>
        </w:tc>
        <w:tc>
          <w:tcPr>
            <w:tcW w:w="13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1</w:t>
            </w:r>
          </w:p>
        </w:tc>
        <w:tc>
          <w:tcPr>
            <w:tcW w:w="13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475</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490</w:t>
            </w:r>
          </w:p>
        </w:tc>
        <w:tc>
          <w:tcPr>
            <w:tcW w:w="16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965</w:t>
            </w:r>
          </w:p>
        </w:tc>
      </w:tr>
      <w:tr>
        <w:trPr>
          <w:trHeight w:val="340" w:hRule="atLeast"/>
        </w:trPr>
        <w:tc>
          <w:tcPr>
            <w:tcW w:w="18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2 класса</w:t>
            </w:r>
          </w:p>
        </w:tc>
        <w:tc>
          <w:tcPr>
            <w:tcW w:w="1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1</w:t>
            </w:r>
          </w:p>
        </w:tc>
        <w:tc>
          <w:tcPr>
            <w:tcW w:w="13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1</w:t>
            </w:r>
          </w:p>
        </w:tc>
        <w:tc>
          <w:tcPr>
            <w:tcW w:w="13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250</w:t>
            </w:r>
          </w:p>
        </w:tc>
        <w:tc>
          <w:tcPr>
            <w:tcW w:w="1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260</w:t>
            </w:r>
          </w:p>
        </w:tc>
        <w:tc>
          <w:tcPr>
            <w:tcW w:w="16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510</w:t>
            </w:r>
          </w:p>
        </w:tc>
      </w:tr>
    </w:tbl>
    <w:p>
      <w:pPr>
        <w:pStyle w:val="Style176"/>
        <w:spacing w:lineRule="auto" w:line="240"/>
        <w:rPr>
          <w:lang w:val="en-US"/>
        </w:rPr>
      </w:pPr>
      <w:r>
        <w:rPr/>
        <w:t>* - неблагоприятный период</w:t>
      </w:r>
    </w:p>
    <w:p>
      <w:pPr>
        <w:pStyle w:val="Style176"/>
        <w:spacing w:lineRule="auto" w:line="240"/>
        <w:rPr/>
      </w:pPr>
      <w:r>
        <w:rPr/>
      </w:r>
    </w:p>
    <w:p>
      <w:pPr>
        <w:pStyle w:val="Normal"/>
        <w:rPr>
          <w:rFonts w:ascii="Times New Roman" w:hAnsi="Times New Roman"/>
          <w:sz w:val="24"/>
        </w:rPr>
      </w:pPr>
      <w:r>
        <w:rPr>
          <w:rFonts w:ascii="Times New Roman" w:hAnsi="Times New Roman"/>
          <w:sz w:val="24"/>
        </w:rPr>
        <w:t>Для выполнения нивелирных работ устанавливаются следующие допуски:</w:t>
      </w:r>
    </w:p>
    <w:p>
      <w:pPr>
        <w:pStyle w:val="ListParagraph"/>
        <w:numPr>
          <w:ilvl w:val="0"/>
          <w:numId w:val="16"/>
        </w:numPr>
        <w:ind w:left="0" w:right="0" w:firstLine="851"/>
        <w:rPr>
          <w:rFonts w:ascii="Times New Roman" w:hAnsi="Times New Roman"/>
          <w:sz w:val="24"/>
        </w:rPr>
      </w:pPr>
      <w:r>
        <w:rPr>
          <w:rFonts w:ascii="Times New Roman" w:hAnsi="Times New Roman"/>
          <w:sz w:val="24"/>
        </w:rPr>
        <w:t>Равенство плеч не более 0,5 м на станции и не более 1,0 м накопления по секции;</w:t>
      </w:r>
    </w:p>
    <w:p>
      <w:pPr>
        <w:pStyle w:val="ListParagraph"/>
        <w:numPr>
          <w:ilvl w:val="0"/>
          <w:numId w:val="16"/>
        </w:numPr>
        <w:ind w:left="0" w:right="0" w:firstLine="851"/>
        <w:rPr>
          <w:rFonts w:ascii="Times New Roman" w:hAnsi="Times New Roman"/>
          <w:sz w:val="24"/>
        </w:rPr>
      </w:pPr>
      <w:r>
        <w:rPr>
          <w:rFonts w:ascii="Times New Roman" w:hAnsi="Times New Roman"/>
          <w:sz w:val="24"/>
        </w:rPr>
        <w:t>Максимальное расстояние до рейки 25 м;</w:t>
      </w:r>
    </w:p>
    <w:p>
      <w:pPr>
        <w:pStyle w:val="ListParagraph"/>
        <w:numPr>
          <w:ilvl w:val="0"/>
          <w:numId w:val="16"/>
        </w:numPr>
        <w:ind w:left="0" w:right="0" w:firstLine="851"/>
        <w:rPr>
          <w:rFonts w:ascii="Times New Roman" w:hAnsi="Times New Roman"/>
          <w:sz w:val="24"/>
        </w:rPr>
      </w:pPr>
      <w:r>
        <w:rPr>
          <w:rFonts w:ascii="Times New Roman" w:hAnsi="Times New Roman"/>
          <w:sz w:val="24"/>
        </w:rPr>
        <w:t>Минимальная допустимая высота рейки 0,5 м;</w:t>
      </w:r>
    </w:p>
    <w:p>
      <w:pPr>
        <w:pStyle w:val="ListParagraph"/>
        <w:numPr>
          <w:ilvl w:val="0"/>
          <w:numId w:val="16"/>
        </w:numPr>
        <w:ind w:left="0" w:right="0" w:firstLine="851"/>
        <w:rPr>
          <w:rFonts w:ascii="Times New Roman" w:hAnsi="Times New Roman"/>
          <w:sz w:val="24"/>
        </w:rPr>
      </w:pPr>
      <w:r>
        <w:rPr>
          <w:rFonts w:ascii="Times New Roman" w:hAnsi="Times New Roman"/>
          <w:sz w:val="24"/>
        </w:rPr>
        <w:t>Допустимое расхождение для двойных измерений З-З/П-П не более 0,25 мм.</w:t>
      </w:r>
    </w:p>
    <w:p>
      <w:pPr>
        <w:pStyle w:val="Normal"/>
        <w:rPr>
          <w:rFonts w:ascii="Times New Roman" w:hAnsi="Times New Roman"/>
          <w:sz w:val="24"/>
        </w:rPr>
      </w:pPr>
      <w:r>
        <w:rPr>
          <w:rFonts w:ascii="Times New Roman" w:hAnsi="Times New Roman"/>
          <w:sz w:val="24"/>
        </w:rPr>
        <w:t>Если какой-либо из заданных допусков на станции не соблюдается, измерения повторяют. Рейки устанавливаются на костыли либо на гвозди, забитые в деревянные колья. При нивелировании по бетону допускается использование башмаков, установленных на предварительно очищенную бетонную поверхность и осаженных легкими ударами молотка.</w:t>
      </w:r>
    </w:p>
    <w:p>
      <w:pPr>
        <w:pStyle w:val="Normal"/>
        <w:rPr>
          <w:rFonts w:ascii="Times New Roman" w:hAnsi="Times New Roman"/>
          <w:sz w:val="24"/>
        </w:rPr>
      </w:pPr>
      <w:r>
        <w:rPr>
          <w:rFonts w:ascii="Times New Roman" w:hAnsi="Times New Roman"/>
          <w:sz w:val="24"/>
        </w:rPr>
        <w:t>По результатам вычислений невязка в замкнутом полигоне не должна превышать значения 0,28* мм для 1 разряда и 0,5* мм для 2-го разряда, где "n"- число штативов хода в одном направлении. Разность превышений, полученных в отдельной секции в прямом и обратном направлениях, также не должна превышать данного значения. При получении результатов, имеющих погрешности выше допустимых, наблюдения повторяются, и при камеральной обработке ошибочные данные в расчёты не принимаются.</w:t>
      </w:r>
    </w:p>
    <w:p>
      <w:pPr>
        <w:pStyle w:val="Normal"/>
        <w:rPr>
          <w:rFonts w:ascii="Times New Roman" w:hAnsi="Times New Roman"/>
          <w:b/>
          <w:sz w:val="24"/>
        </w:rPr>
      </w:pPr>
      <w:bookmarkStart w:id="143" w:name="_Toc526843734"/>
      <w:bookmarkStart w:id="144" w:name="_Toc499657655"/>
      <w:r>
        <w:rPr>
          <w:rFonts w:ascii="Times New Roman" w:hAnsi="Times New Roman"/>
          <w:b/>
          <w:sz w:val="24"/>
        </w:rPr>
        <w:t>Камеральная обработка</w:t>
      </w:r>
      <w:bookmarkEnd w:id="143"/>
      <w:bookmarkEnd w:id="144"/>
    </w:p>
    <w:p>
      <w:pPr>
        <w:pStyle w:val="Normal"/>
        <w:rPr>
          <w:rFonts w:ascii="Times New Roman" w:hAnsi="Times New Roman"/>
          <w:sz w:val="24"/>
        </w:rPr>
      </w:pPr>
      <w:r>
        <w:rPr>
          <w:rFonts w:ascii="Times New Roman" w:hAnsi="Times New Roman"/>
          <w:sz w:val="24"/>
        </w:rPr>
        <w:t>Камеральная обработка результатов нивелирования 1 и 2 разрядов включает следующие этапы:</w:t>
      </w:r>
    </w:p>
    <w:p>
      <w:pPr>
        <w:pStyle w:val="Normal"/>
        <w:rPr>
          <w:rFonts w:ascii="Times New Roman" w:hAnsi="Times New Roman"/>
          <w:sz w:val="24"/>
        </w:rPr>
      </w:pPr>
      <w:r>
        <w:rPr>
          <w:rFonts w:ascii="Times New Roman" w:hAnsi="Times New Roman"/>
          <w:sz w:val="24"/>
        </w:rPr>
        <w:t>-</w:t>
        <w:tab/>
        <w:t>первичная обработка полевых измерений (расчёт невязок по полигонам/ходам);</w:t>
      </w:r>
    </w:p>
    <w:p>
      <w:pPr>
        <w:pStyle w:val="Normal"/>
        <w:rPr>
          <w:rFonts w:ascii="Times New Roman" w:hAnsi="Times New Roman"/>
          <w:sz w:val="24"/>
        </w:rPr>
      </w:pPr>
      <w:r>
        <w:rPr>
          <w:rFonts w:ascii="Times New Roman" w:hAnsi="Times New Roman"/>
          <w:sz w:val="24"/>
        </w:rPr>
        <w:t>-</w:t>
        <w:tab/>
        <w:t>составление схемы нивелирных ходов;</w:t>
      </w:r>
    </w:p>
    <w:p>
      <w:pPr>
        <w:pStyle w:val="Normal"/>
        <w:rPr>
          <w:rFonts w:ascii="Times New Roman" w:hAnsi="Times New Roman"/>
          <w:sz w:val="24"/>
        </w:rPr>
      </w:pPr>
      <w:r>
        <w:rPr>
          <w:rFonts w:ascii="Times New Roman" w:hAnsi="Times New Roman"/>
          <w:sz w:val="24"/>
        </w:rPr>
        <w:t>-</w:t>
        <w:tab/>
        <w:t>составление ведомости превышений;</w:t>
      </w:r>
    </w:p>
    <w:p>
      <w:pPr>
        <w:pStyle w:val="Normal"/>
        <w:rPr>
          <w:rFonts w:ascii="Times New Roman" w:hAnsi="Times New Roman"/>
          <w:sz w:val="24"/>
        </w:rPr>
      </w:pPr>
      <w:r>
        <w:rPr>
          <w:rFonts w:ascii="Times New Roman" w:hAnsi="Times New Roman"/>
          <w:sz w:val="24"/>
        </w:rPr>
        <w:t>- оценка точности полевых измерений;</w:t>
      </w:r>
    </w:p>
    <w:p>
      <w:pPr>
        <w:pStyle w:val="Normal"/>
        <w:rPr>
          <w:rFonts w:ascii="Times New Roman" w:hAnsi="Times New Roman"/>
          <w:sz w:val="24"/>
        </w:rPr>
      </w:pPr>
      <w:r>
        <w:rPr>
          <w:rFonts w:ascii="Times New Roman" w:hAnsi="Times New Roman"/>
          <w:sz w:val="24"/>
        </w:rPr>
        <w:t>-</w:t>
        <w:tab/>
        <w:t>уравнивание результатов полевых измерений;</w:t>
      </w:r>
    </w:p>
    <w:p>
      <w:pPr>
        <w:pStyle w:val="Normal"/>
        <w:rPr>
          <w:rFonts w:ascii="Times New Roman" w:hAnsi="Times New Roman"/>
          <w:sz w:val="24"/>
        </w:rPr>
      </w:pPr>
      <w:r>
        <w:rPr>
          <w:rFonts w:ascii="Times New Roman" w:hAnsi="Times New Roman"/>
          <w:sz w:val="24"/>
        </w:rPr>
        <w:t>- вычисление высот реперов;</w:t>
      </w:r>
    </w:p>
    <w:p>
      <w:pPr>
        <w:pStyle w:val="Normal"/>
        <w:rPr>
          <w:rFonts w:ascii="Times New Roman" w:hAnsi="Times New Roman"/>
          <w:sz w:val="24"/>
        </w:rPr>
      </w:pPr>
      <w:r>
        <w:rPr>
          <w:rFonts w:ascii="Times New Roman" w:hAnsi="Times New Roman"/>
          <w:sz w:val="24"/>
        </w:rPr>
        <w:t>-</w:t>
        <w:tab/>
        <w:t>составление каталога высот реперов.</w:t>
      </w:r>
    </w:p>
    <w:p>
      <w:pPr>
        <w:pStyle w:val="Normal"/>
        <w:rPr>
          <w:rFonts w:ascii="Times New Roman" w:hAnsi="Times New Roman"/>
          <w:sz w:val="24"/>
        </w:rPr>
      </w:pPr>
      <w:r>
        <w:rPr>
          <w:rFonts w:ascii="Times New Roman" w:hAnsi="Times New Roman"/>
          <w:sz w:val="24"/>
        </w:rPr>
        <w:t>Уравнивание системы ходов гидротехнического нивелирования 1 и 2 разряда выполнятся программными средствами параметрическим способом по методу наименьших квадратов. Первоначально сеть уравнивается, как свободная. Далее необходимо выполнить анализ устойчивости реперов по результатам повторных измерений, стремясь путем введения соответствующих поправок ослабить влияние движения реперов на результаты нивелирования. Для получения наиболее надежного и наглядного материала для анализа движения реперов высотной опорной сети рекомендуется использовать анализ устойчивости, основанный на принципе неизменности во всех циклах средней отметки сети.</w:t>
      </w:r>
    </w:p>
    <w:p>
      <w:pPr>
        <w:pStyle w:val="Normal"/>
        <w:rPr>
          <w:rFonts w:ascii="Times New Roman" w:hAnsi="Times New Roman"/>
          <w:sz w:val="24"/>
        </w:rPr>
      </w:pPr>
      <w:r>
        <w:rPr>
          <w:rFonts w:ascii="Times New Roman" w:hAnsi="Times New Roman"/>
          <w:sz w:val="24"/>
        </w:rPr>
        <w:t>По результатам уравнивания составляются ведомости высот реперов, а на основании ведомости высот - ведомости и графики осадок реперов, в которых зафиксированы изменения высот реперов с момента выполнения предыдущего цикла (текущая) и деформации за период с начала наблюдений (суммарная).</w:t>
      </w:r>
    </w:p>
    <w:p>
      <w:pPr>
        <w:pStyle w:val="Heading2"/>
        <w:numPr>
          <w:ilvl w:val="0"/>
        </w:numPr>
        <w:ind w:left="0" w:right="0" w:hanging="0"/>
        <w:rPr>
          <w:rFonts w:ascii="Times New Roman" w:hAnsi="Times New Roman"/>
        </w:rPr>
      </w:pPr>
      <w:bookmarkStart w:id="145" w:name="__RefHeading___Toc39946_2889022187"/>
      <w:bookmarkEnd w:id="145"/>
      <w:r>
        <w:rPr>
          <w:rFonts w:ascii="Times New Roman" w:hAnsi="Times New Roman"/>
        </w:rPr>
        <w:t xml:space="preserve">4.4.2 </w:t>
      </w:r>
      <w:bookmarkStart w:id="146" w:name="_Toc215650210"/>
      <w:bookmarkStart w:id="147" w:name="_Toc526843735"/>
      <w:r>
        <w:rPr>
          <w:rFonts w:ascii="Times New Roman" w:hAnsi="Times New Roman"/>
        </w:rPr>
        <w:t>Наблюдения за пунктами плановой сети</w:t>
      </w:r>
      <w:bookmarkEnd w:id="146"/>
      <w:bookmarkEnd w:id="147"/>
    </w:p>
    <w:p>
      <w:pPr>
        <w:pStyle w:val="Normal"/>
        <w:rPr>
          <w:rFonts w:ascii="Times New Roman" w:hAnsi="Times New Roman"/>
          <w:sz w:val="24"/>
        </w:rPr>
      </w:pPr>
      <w:r>
        <w:rPr>
          <w:rFonts w:ascii="Times New Roman" w:hAnsi="Times New Roman"/>
          <w:sz w:val="24"/>
        </w:rPr>
        <w:t xml:space="preserve">Плановая опорная сеть является общей для Загорской ГАЭС и Загорской </w:t>
        <w:br/>
        <w:t>ГАЭС-2. Она включает в себя пункты, расположенные на обоих берегах реки Куньи. Пункты плановой сети являются одновременно и пунктами высотного обоснования.</w:t>
      </w:r>
    </w:p>
    <w:p>
      <w:pPr>
        <w:pStyle w:val="Normal"/>
        <w:rPr>
          <w:rFonts w:ascii="Times New Roman" w:hAnsi="Times New Roman"/>
          <w:sz w:val="24"/>
        </w:rPr>
      </w:pPr>
      <w:r>
        <w:rPr>
          <w:rFonts w:ascii="Times New Roman" w:hAnsi="Times New Roman"/>
          <w:sz w:val="24"/>
        </w:rPr>
        <w:t>Для контроля стабильности плановой опорной сети Загорской ГАЭС-2 необходимо выполнить два цикла геодезических наблюдений в год. Наблюдения за пунктами плановой сети должны производиться весной и осенью.</w:t>
      </w:r>
    </w:p>
    <w:p>
      <w:pPr>
        <w:pStyle w:val="Normal"/>
        <w:rPr>
          <w:rFonts w:ascii="Times New Roman" w:hAnsi="Times New Roman"/>
          <w:b/>
          <w:sz w:val="24"/>
        </w:rPr>
      </w:pPr>
      <w:bookmarkStart w:id="148" w:name="_Toc526843736"/>
      <w:r>
        <w:rPr>
          <w:rFonts w:ascii="Times New Roman" w:hAnsi="Times New Roman"/>
          <w:b/>
          <w:sz w:val="24"/>
        </w:rPr>
        <w:t>Методика</w:t>
      </w:r>
      <w:bookmarkEnd w:id="148"/>
    </w:p>
    <w:p>
      <w:pPr>
        <w:pStyle w:val="Normal"/>
        <w:rPr>
          <w:rFonts w:ascii="Times New Roman" w:hAnsi="Times New Roman"/>
          <w:sz w:val="24"/>
        </w:rPr>
      </w:pPr>
      <w:r>
        <w:rPr>
          <w:rFonts w:ascii="Times New Roman" w:hAnsi="Times New Roman"/>
          <w:sz w:val="24"/>
        </w:rPr>
        <w:t>Координаты пунктов опорной сети следует определять спутниковыми методами, линейно-угловыми измерениями или их сочетанием по программе создания плановой опорной сети 4 класса. Основная технология измерений в сети – спутниковая.</w:t>
      </w:r>
    </w:p>
    <w:p>
      <w:pPr>
        <w:pStyle w:val="Normal"/>
        <w:rPr>
          <w:rFonts w:ascii="Times New Roman" w:hAnsi="Times New Roman"/>
          <w:sz w:val="24"/>
        </w:rPr>
      </w:pPr>
      <w:r>
        <w:rPr>
          <w:rFonts w:ascii="Times New Roman" w:hAnsi="Times New Roman"/>
          <w:sz w:val="24"/>
        </w:rPr>
        <w:t>Спутниковая технология не требует прямой видимости между пунктами и позволяет включить в сеть пункты разных классов точности, как пункты равного порядка точности. На исходные и определяемые пункты устанавливаются спутниковые приемники. Для определения одного вектора между пунктами требуется синхронная работа, как минимум, двух приемников.</w:t>
      </w:r>
    </w:p>
    <w:p>
      <w:pPr>
        <w:pStyle w:val="Normal"/>
        <w:rPr>
          <w:rFonts w:ascii="Times New Roman" w:hAnsi="Times New Roman"/>
          <w:sz w:val="24"/>
        </w:rPr>
      </w:pPr>
      <w:r>
        <w:rPr>
          <w:rFonts w:ascii="Times New Roman" w:hAnsi="Times New Roman"/>
          <w:sz w:val="24"/>
        </w:rPr>
        <w:t>Наблюдения необходимо выполнять по схеме «во всех комбинациях» в режиме статики с постобработкой на двух частотах. Длительность обсервации на каждом пункте должна составлять от 2 часов до 8 часов в зависимости от значения PDOP и длины определяемых векторов. Сигналы спутников записываются в память с интервалом 15 секунд. Маска отсечения спутникового сигнала по углу наклона принимается равной 10°. Синхронизация наблюдений выполняется с помощью радиосвязи. Во время работы следует вести полевой журнал, где необходимо записывать номера приемников, начало и конец сеансов наблюдений, высоты инструментов, способы их установки и условия наблюдений.</w:t>
      </w:r>
    </w:p>
    <w:p>
      <w:pPr>
        <w:pStyle w:val="Normal"/>
        <w:rPr>
          <w:rFonts w:ascii="Times New Roman" w:hAnsi="Times New Roman"/>
          <w:sz w:val="24"/>
        </w:rPr>
      </w:pPr>
      <w:r>
        <w:rPr>
          <w:rFonts w:ascii="Times New Roman" w:hAnsi="Times New Roman"/>
          <w:sz w:val="24"/>
        </w:rPr>
        <w:t>Линейно-угловые построения выполняются на пяти плановых пунктах для получения координат пунктов по принципиально другой технологии и сравнительной оценки спутниковой и линейно-угловой методик. Схема проектируемой линейно-угловой сети представлена</w:t>
      </w:r>
      <w:r>
        <w:rPr>
          <w:rFonts w:ascii="Times New Roman" w:hAnsi="Times New Roman"/>
          <w:sz w:val="24"/>
          <w:shd w:fill="auto" w:val="clear"/>
        </w:rPr>
        <w:t xml:space="preserve"> на рисунке 4.8.1. В</w:t>
      </w:r>
      <w:r>
        <w:rPr>
          <w:rFonts w:ascii="Times New Roman" w:hAnsi="Times New Roman"/>
          <w:sz w:val="24"/>
        </w:rPr>
        <w:t xml:space="preserve"> линейно-угловой сети измеряются все углы и все линии. Углы измеряются способом круговых приемов шестью приемами. Линии измеряются при каждом наведении на отражатель. В процессе измерений в линии вводятся поправки за метеоусловия.</w:t>
      </w:r>
    </w:p>
    <w:p>
      <w:pPr>
        <w:pStyle w:val="Normal"/>
        <w:rPr>
          <w:rFonts w:ascii="Times New Roman" w:hAnsi="Times New Roman"/>
          <w:sz w:val="24"/>
        </w:rPr>
      </w:pPr>
      <w:r>
        <w:rPr>
          <w:rFonts w:ascii="Times New Roman" w:hAnsi="Times New Roman"/>
          <w:sz w:val="24"/>
        </w:rPr>
        <w:t>В соответствии со «Справочником базовых цен на инженерные изыскания для строительства. Инженерно-геодезические изыскания при строительстве и эксплуатации зданий и сооружений»:</w:t>
      </w:r>
    </w:p>
    <w:p>
      <w:pPr>
        <w:pStyle w:val="Normal"/>
        <w:rPr>
          <w:rFonts w:ascii="Times New Roman" w:hAnsi="Times New Roman"/>
          <w:sz w:val="24"/>
        </w:rPr>
      </w:pPr>
      <w:r>
        <w:rPr>
          <w:rFonts w:ascii="Times New Roman" w:hAnsi="Times New Roman"/>
          <w:sz w:val="24"/>
        </w:rPr>
        <w:t>- условия выполнения работ по развитию плановой сети 4 класса линейно-угловыми измерениями относятся ко II категории сложности.</w:t>
      </w:r>
    </w:p>
    <w:p>
      <w:pPr>
        <w:pStyle w:val="Normal"/>
        <w:rPr>
          <w:rFonts w:ascii="Times New Roman" w:hAnsi="Times New Roman"/>
          <w:b/>
          <w:sz w:val="24"/>
        </w:rPr>
      </w:pPr>
      <w:bookmarkStart w:id="149" w:name="_Toc526843737"/>
      <w:r>
        <w:rPr>
          <w:rFonts w:ascii="Times New Roman" w:hAnsi="Times New Roman"/>
          <w:b/>
          <w:sz w:val="24"/>
        </w:rPr>
        <w:t>Инструменты</w:t>
      </w:r>
      <w:bookmarkEnd w:id="149"/>
    </w:p>
    <w:p>
      <w:pPr>
        <w:pStyle w:val="Normal"/>
        <w:rPr>
          <w:rFonts w:ascii="Times New Roman" w:hAnsi="Times New Roman"/>
          <w:sz w:val="24"/>
        </w:rPr>
      </w:pPr>
      <w:r>
        <w:rPr>
          <w:rFonts w:ascii="Times New Roman" w:hAnsi="Times New Roman"/>
          <w:sz w:val="24"/>
        </w:rPr>
        <w:t>При спутниковых измерениях используются двухчастотные приемники геодезического класса с измерениями по фазе несущей частоты. Приемники должны обеспечивать плановую погрешность не хуже (3+2×10-6D) мм и использовать сигналы спутников GPS, и желательно – ГЛОНАСС. Минимальное количество приемников – два, но при использовании двух приемников производительность работ крайне мала. Целесообразно использовать не менее четырех приемников, желательно одного производителя.</w:t>
      </w:r>
    </w:p>
    <w:p>
      <w:pPr>
        <w:pStyle w:val="Normal"/>
        <w:rPr>
          <w:rFonts w:ascii="Times New Roman" w:hAnsi="Times New Roman"/>
          <w:sz w:val="24"/>
        </w:rPr>
      </w:pPr>
      <w:r>
        <w:rPr>
          <w:rFonts w:ascii="Times New Roman" w:hAnsi="Times New Roman"/>
          <w:sz w:val="24"/>
        </w:rPr>
        <w:t xml:space="preserve">При линейно-угловых измерениях должен быть использован электронный тахеометр со средней квадратической погрешностью измерения направления не хуже 1”, расстояния – не грубее (2+2×10-6D) мм. </w:t>
      </w:r>
    </w:p>
    <w:p>
      <w:pPr>
        <w:pStyle w:val="Style176"/>
        <w:spacing w:lineRule="auto" w:line="240"/>
        <w:ind w:left="0" w:right="0" w:hanging="0"/>
        <w:jc w:val="center"/>
        <w:rPr>
          <w:rFonts w:ascii="Times New Roman" w:hAnsi="Times New Roman"/>
          <w:sz w:val="24"/>
        </w:rPr>
      </w:pPr>
      <w:r>
        <w:rPr>
          <w:sz w:val="24"/>
        </w:rPr>
      </w:r>
    </w:p>
    <w:p>
      <w:pPr>
        <w:pStyle w:val="Normal"/>
        <w:rPr>
          <w:rFonts w:ascii="Times New Roman" w:hAnsi="Times New Roman"/>
          <w:sz w:val="24"/>
        </w:rPr>
      </w:pPr>
      <w:r>
        <w:rPr>
          <w:rFonts w:ascii="Times New Roman" w:hAnsi="Times New Roman"/>
          <w:sz w:val="24"/>
        </w:rPr>
        <w:t>Перед началом работ выполняются поверки и исследования приборов, предусмотренные производителем инструмента и изложенные в инструкции по эксплуатации.</w:t>
      </w:r>
    </w:p>
    <w:p>
      <w:pPr>
        <w:pStyle w:val="Normal"/>
        <w:rPr>
          <w:rFonts w:ascii="Times New Roman" w:hAnsi="Times New Roman"/>
          <w:sz w:val="24"/>
        </w:rPr>
      </w:pPr>
      <w:r>
        <w:rPr>
          <w:rFonts w:ascii="Times New Roman" w:hAnsi="Times New Roman"/>
          <w:sz w:val="24"/>
        </w:rPr>
        <w:t>Спутниковые приемники и электронный тахеометр должны ежегодно проходить метрологическое освидетельствование с выдачей сертификата установленного образца.</w:t>
      </w:r>
    </w:p>
    <w:p>
      <w:pPr>
        <w:pStyle w:val="Normal"/>
        <w:rPr>
          <w:rFonts w:ascii="Times New Roman" w:hAnsi="Times New Roman"/>
          <w:b/>
          <w:sz w:val="24"/>
        </w:rPr>
      </w:pPr>
      <w:bookmarkStart w:id="150" w:name="_Toc526843738"/>
      <w:r>
        <w:rPr>
          <w:rFonts w:ascii="Times New Roman" w:hAnsi="Times New Roman"/>
          <w:b/>
          <w:sz w:val="24"/>
        </w:rPr>
        <w:t>Камеральная обработка</w:t>
      </w:r>
      <w:bookmarkEnd w:id="150"/>
    </w:p>
    <w:p>
      <w:pPr>
        <w:pStyle w:val="Normal"/>
        <w:rPr>
          <w:rFonts w:ascii="Times New Roman" w:hAnsi="Times New Roman"/>
          <w:sz w:val="24"/>
        </w:rPr>
      </w:pPr>
      <w:r>
        <w:rPr>
          <w:rFonts w:ascii="Times New Roman" w:hAnsi="Times New Roman"/>
          <w:sz w:val="24"/>
        </w:rPr>
        <w:t>Методика обработки спутниковых наблюдений и подготовки отчетных материалов изложена в пунктах 6.5 – 6.6 Инструкции по развитию съемочного обоснования и съемке ситуации и рельефа с применением глобальных навигационных систем ГЛОНАСС и GPS и пункте 7 «Руководства по созданию и реконструкции городских геодезических сетей с использованием спутниковых систем ГЛОНАСС/GPS».</w:t>
      </w:r>
    </w:p>
    <w:p>
      <w:pPr>
        <w:pStyle w:val="Normal"/>
        <w:rPr>
          <w:rFonts w:ascii="Times New Roman" w:hAnsi="Times New Roman"/>
          <w:sz w:val="24"/>
        </w:rPr>
      </w:pPr>
      <w:r>
        <w:rPr>
          <w:rFonts w:ascii="Times New Roman" w:hAnsi="Times New Roman"/>
          <w:sz w:val="24"/>
        </w:rPr>
        <w:t>Обработка спутниковых наблюдений выполняется по следующей схеме:</w:t>
      </w:r>
    </w:p>
    <w:p>
      <w:pPr>
        <w:pStyle w:val="Normal"/>
        <w:rPr>
          <w:rFonts w:ascii="Times New Roman" w:hAnsi="Times New Roman"/>
          <w:sz w:val="24"/>
        </w:rPr>
      </w:pPr>
      <w:r>
        <w:rPr>
          <w:rFonts w:ascii="Times New Roman" w:hAnsi="Times New Roman"/>
          <w:sz w:val="24"/>
        </w:rPr>
        <w:t>- предобработка сырых данных, построение векторов;</w:t>
      </w:r>
    </w:p>
    <w:p>
      <w:pPr>
        <w:pStyle w:val="Normal"/>
        <w:rPr>
          <w:rFonts w:ascii="Times New Roman" w:hAnsi="Times New Roman"/>
          <w:sz w:val="24"/>
        </w:rPr>
      </w:pPr>
      <w:r>
        <w:rPr>
          <w:rFonts w:ascii="Times New Roman" w:hAnsi="Times New Roman"/>
          <w:sz w:val="24"/>
        </w:rPr>
        <w:t>- анализ качества измерений, исключение ненадёжных векторов из обработки;</w:t>
      </w:r>
    </w:p>
    <w:p>
      <w:pPr>
        <w:pStyle w:val="Normal"/>
        <w:rPr>
          <w:rFonts w:ascii="Times New Roman" w:hAnsi="Times New Roman"/>
          <w:sz w:val="24"/>
        </w:rPr>
      </w:pPr>
      <w:r>
        <w:rPr>
          <w:rFonts w:ascii="Times New Roman" w:hAnsi="Times New Roman"/>
          <w:sz w:val="24"/>
        </w:rPr>
        <w:t>- уравнивание спутниковой сети, как свободной, в системе эллипсоида WGS84;</w:t>
      </w:r>
    </w:p>
    <w:p>
      <w:pPr>
        <w:pStyle w:val="Normal"/>
        <w:rPr>
          <w:rFonts w:ascii="Times New Roman" w:hAnsi="Times New Roman"/>
          <w:sz w:val="24"/>
        </w:rPr>
      </w:pPr>
      <w:r>
        <w:rPr>
          <w:rFonts w:ascii="Times New Roman" w:hAnsi="Times New Roman"/>
          <w:sz w:val="24"/>
        </w:rPr>
        <w:t>- локализация (калибровка) по наиболее стабильным пунктам;</w:t>
      </w:r>
    </w:p>
    <w:p>
      <w:pPr>
        <w:pStyle w:val="Normal"/>
        <w:rPr>
          <w:rFonts w:ascii="Times New Roman" w:hAnsi="Times New Roman"/>
          <w:sz w:val="24"/>
        </w:rPr>
      </w:pPr>
      <w:r>
        <w:rPr>
          <w:rFonts w:ascii="Times New Roman" w:hAnsi="Times New Roman"/>
          <w:sz w:val="24"/>
        </w:rPr>
        <w:t>- уравнивание сети.</w:t>
      </w:r>
    </w:p>
    <w:p>
      <w:pPr>
        <w:pStyle w:val="Normal"/>
        <w:rPr>
          <w:rFonts w:ascii="Times New Roman" w:hAnsi="Times New Roman"/>
          <w:sz w:val="24"/>
        </w:rPr>
      </w:pPr>
      <w:r>
        <w:rPr>
          <w:rFonts w:ascii="Times New Roman" w:hAnsi="Times New Roman"/>
          <w:sz w:val="24"/>
        </w:rPr>
        <w:t>Обработка спутниковых наблюдений выполняется с помощью специализированной программы. Предпочтительно использование программы производителя приемников, используемых на объекте, т.к. каждый производитель использует свой формат записи данных. Предобработка сырых данных заключается в экспорте файлов наблюдений из памяти приемников в программу, занесении данных из полевого журнала, предварительном вычислении векторов и ручной чистке малых по продолжительности фрагментов записей сигналов. После анализа качества измерений из обработки исключаются ненадёжные векторы.</w:t>
      </w:r>
    </w:p>
    <w:p>
      <w:pPr>
        <w:pStyle w:val="Normal"/>
        <w:rPr>
          <w:rFonts w:ascii="Times New Roman" w:hAnsi="Times New Roman"/>
          <w:sz w:val="24"/>
        </w:rPr>
      </w:pPr>
      <w:r>
        <w:rPr>
          <w:rFonts w:ascii="Times New Roman" w:hAnsi="Times New Roman"/>
          <w:sz w:val="24"/>
        </w:rPr>
        <w:t>Уравнивание выполненных спутниковых измерений следует проводить относительно удаленных пунктов плановой опорной сети ГАЭС (например, относительно пунктов, расположенных на правом берегу р. Куньи – 015, 023, 031, а также пункта 029, находящихся на удалении от основных сооружений строящейся ГАЭС-2).</w:t>
      </w:r>
    </w:p>
    <w:p>
      <w:pPr>
        <w:pStyle w:val="Normal"/>
        <w:rPr>
          <w:rFonts w:ascii="Times New Roman" w:hAnsi="Times New Roman"/>
          <w:sz w:val="24"/>
        </w:rPr>
      </w:pPr>
      <w:r>
        <w:rPr>
          <w:rFonts w:ascii="Times New Roman" w:hAnsi="Times New Roman"/>
          <w:sz w:val="24"/>
        </w:rPr>
        <w:t>В процессе уравнивания спутниковых получают координаты пунктов плановой опорной сети. По результатам уравнивания составляются ведомости оценки точности спутниковых измерений, калибровки и уравнивания спутниковой сети.</w:t>
      </w:r>
    </w:p>
    <w:p>
      <w:pPr>
        <w:pStyle w:val="Normal"/>
        <w:rPr>
          <w:rFonts w:ascii="Times New Roman" w:hAnsi="Times New Roman"/>
          <w:sz w:val="24"/>
        </w:rPr>
      </w:pPr>
      <w:r>
        <w:rPr>
          <w:rFonts w:ascii="Times New Roman" w:hAnsi="Times New Roman"/>
          <w:sz w:val="24"/>
        </w:rPr>
        <w:t>Обработка линейно-угловых построений производится в специализированной программе, производящей уравнивание по способу наименьших квадратов. По результатам уравнивания составляются ведомости оценки точности сети и положения пунктов.</w:t>
      </w:r>
    </w:p>
    <w:p>
      <w:pPr>
        <w:pStyle w:val="Normal"/>
        <w:rPr>
          <w:rFonts w:ascii="Times New Roman" w:hAnsi="Times New Roman"/>
          <w:sz w:val="24"/>
        </w:rPr>
      </w:pPr>
      <w:r>
        <w:rPr>
          <w:rFonts w:ascii="Times New Roman" w:hAnsi="Times New Roman"/>
          <w:sz w:val="24"/>
        </w:rPr>
        <w:t>Вычисления ведутся в местной системе координат, принятой на строительстве Загорской ГАЭС-2. После получения окончательных результатов уравнивания следует выявить наличие или отсутствие плановых подвижек пунктов за весь период наблюдений. В случае выявления подвижек сместившийся пункт получает новые координаты.</w:t>
      </w:r>
    </w:p>
    <w:p>
      <w:pPr>
        <w:pStyle w:val="Heading2"/>
        <w:numPr>
          <w:ilvl w:val="0"/>
        </w:numPr>
        <w:ind w:left="0" w:right="0" w:hanging="0"/>
        <w:rPr>
          <w:rFonts w:ascii="Times New Roman" w:hAnsi="Times New Roman"/>
        </w:rPr>
      </w:pPr>
      <w:bookmarkStart w:id="151" w:name="__RefHeading___Toc39948_2889022187"/>
      <w:bookmarkEnd w:id="151"/>
      <w:r>
        <w:rPr>
          <w:rFonts w:ascii="Times New Roman" w:hAnsi="Times New Roman"/>
        </w:rPr>
        <w:t xml:space="preserve">4. 5 </w:t>
      </w:r>
      <w:bookmarkStart w:id="152" w:name="_Toc526843739"/>
      <w:bookmarkStart w:id="153" w:name="_Toc215650211"/>
      <w:r>
        <w:rPr>
          <w:rFonts w:ascii="Times New Roman" w:hAnsi="Times New Roman"/>
        </w:rPr>
        <w:t>Проведение наблюдений за вертикальными перемещениями (проведение нивелирования)</w:t>
      </w:r>
      <w:bookmarkEnd w:id="152"/>
      <w:bookmarkEnd w:id="153"/>
    </w:p>
    <w:p>
      <w:pPr>
        <w:pStyle w:val="Heading2"/>
        <w:numPr>
          <w:ilvl w:val="0"/>
        </w:numPr>
        <w:ind w:left="0" w:right="0" w:hanging="0"/>
        <w:rPr>
          <w:rFonts w:ascii="Times New Roman" w:hAnsi="Times New Roman"/>
        </w:rPr>
      </w:pPr>
      <w:bookmarkStart w:id="154" w:name="__RefHeading___Toc39950_2889022187"/>
      <w:bookmarkEnd w:id="154"/>
      <w:r>
        <w:rPr>
          <w:rFonts w:ascii="Times New Roman" w:hAnsi="Times New Roman"/>
        </w:rPr>
        <w:t xml:space="preserve">4.5.1 </w:t>
      </w:r>
      <w:bookmarkStart w:id="155" w:name="_Toc215650212"/>
      <w:bookmarkStart w:id="156" w:name="_Toc526843740"/>
      <w:r>
        <w:rPr>
          <w:rFonts w:ascii="Times New Roman" w:hAnsi="Times New Roman"/>
        </w:rPr>
        <w:t>Состав КИА для наблюдений за вертикальными перемещениями</w:t>
      </w:r>
      <w:bookmarkEnd w:id="155"/>
      <w:bookmarkEnd w:id="156"/>
    </w:p>
    <w:p>
      <w:pPr>
        <w:pStyle w:val="Normal"/>
        <w:rPr>
          <w:rFonts w:ascii="Times New Roman" w:hAnsi="Times New Roman"/>
          <w:sz w:val="24"/>
        </w:rPr>
      </w:pPr>
      <w:r>
        <w:rPr>
          <w:rFonts w:ascii="Times New Roman" w:hAnsi="Times New Roman"/>
          <w:sz w:val="24"/>
        </w:rPr>
        <w:t>Для контроля показателей вертикальных перемещений (осадки) гидротехнических сооружений установлена следующая КИА: марки стеновые, марки бетонные, марки грунтовые, марки грунтовые временные, труба-марки и плита-марки.</w:t>
      </w:r>
    </w:p>
    <w:p>
      <w:pPr>
        <w:pStyle w:val="Normal"/>
        <w:rPr>
          <w:rFonts w:ascii="Times New Roman" w:hAnsi="Times New Roman"/>
          <w:sz w:val="24"/>
        </w:rPr>
      </w:pPr>
      <w:r>
        <w:rPr>
          <w:rFonts w:ascii="Times New Roman" w:hAnsi="Times New Roman"/>
          <w:sz w:val="24"/>
        </w:rPr>
        <w:t>Состав и количество контрольно-измерительной аппаратуры для наблюдений за осадкой, на период строительства, представлено в приложении А.</w:t>
      </w:r>
    </w:p>
    <w:p>
      <w:pPr>
        <w:pStyle w:val="Heading2"/>
        <w:numPr>
          <w:ilvl w:val="0"/>
        </w:numPr>
        <w:ind w:left="0" w:right="0" w:hanging="0"/>
        <w:rPr>
          <w:rFonts w:ascii="Times New Roman" w:hAnsi="Times New Roman"/>
        </w:rPr>
      </w:pPr>
      <w:bookmarkStart w:id="157" w:name="__RefHeading___Toc14190_3528834450"/>
      <w:bookmarkEnd w:id="157"/>
      <w:r>
        <w:rPr>
          <w:rFonts w:ascii="Times New Roman" w:hAnsi="Times New Roman"/>
        </w:rPr>
        <w:t xml:space="preserve">4.5.2 </w:t>
      </w:r>
      <w:bookmarkStart w:id="158" w:name="_Toc526843741"/>
      <w:bookmarkStart w:id="159" w:name="_Toc215650213"/>
      <w:r>
        <w:rPr>
          <w:rFonts w:ascii="Times New Roman" w:hAnsi="Times New Roman"/>
        </w:rPr>
        <w:t>Методика проведения наблюдений за вертикальными перемещениями</w:t>
      </w:r>
      <w:bookmarkEnd w:id="158"/>
      <w:bookmarkEnd w:id="159"/>
    </w:p>
    <w:p>
      <w:pPr>
        <w:pStyle w:val="Normal"/>
        <w:rPr>
          <w:rFonts w:ascii="Times New Roman" w:hAnsi="Times New Roman"/>
          <w:sz w:val="24"/>
        </w:rPr>
      </w:pPr>
      <w:r>
        <w:rPr>
          <w:rFonts w:ascii="Times New Roman" w:hAnsi="Times New Roman"/>
          <w:sz w:val="24"/>
        </w:rPr>
        <w:t>Наблюдения за осадками сооружений проводится путём периодического геометрического нивелирования высотных марок, расположенных на сооружениях, от исходной высотной геодезической сети, расположенной за пределами сооружений, в соответствии с инструкцией по нивелированию.</w:t>
      </w:r>
    </w:p>
    <w:p>
      <w:pPr>
        <w:pStyle w:val="Normal"/>
        <w:rPr>
          <w:rFonts w:ascii="Times New Roman" w:hAnsi="Times New Roman"/>
          <w:sz w:val="24"/>
        </w:rPr>
      </w:pPr>
      <w:r>
        <w:rPr>
          <w:rFonts w:ascii="Times New Roman" w:hAnsi="Times New Roman"/>
          <w:sz w:val="24"/>
        </w:rPr>
        <w:t>Для определения осадок бетонных гидротехнических сооружений и их оснований от кустов исходных реперов прокладывают нивелирные ходы 2 разряда, которые образуют единую нивелирную сеть, опирающуюся на опорные (рабочие) реперы сети. Эта сеть уравнивается по специальной программе на компьютере.</w:t>
      </w:r>
    </w:p>
    <w:p>
      <w:pPr>
        <w:pStyle w:val="Normal"/>
        <w:rPr>
          <w:rFonts w:ascii="Times New Roman" w:hAnsi="Times New Roman"/>
          <w:sz w:val="24"/>
        </w:rPr>
      </w:pPr>
      <w:r>
        <w:rPr>
          <w:rFonts w:ascii="Times New Roman" w:hAnsi="Times New Roman"/>
          <w:sz w:val="24"/>
        </w:rPr>
        <w:t>Для определения осадок земляных сооружений (дамба верхнего аккумулирующего бассейна, временная перемычка реверсивного канала) прокладывают нивелирные ходы 3 класса в одном направлении, при этом ход должен быть замкнутым.</w:t>
      </w:r>
    </w:p>
    <w:p>
      <w:pPr>
        <w:pStyle w:val="Normal"/>
        <w:rPr>
          <w:rFonts w:ascii="Times New Roman" w:hAnsi="Times New Roman"/>
          <w:sz w:val="24"/>
        </w:rPr>
      </w:pPr>
      <w:r>
        <w:rPr>
          <w:rFonts w:ascii="Times New Roman" w:hAnsi="Times New Roman"/>
          <w:sz w:val="24"/>
        </w:rPr>
        <w:t>Подсчёт объёмов выполнения работ по нивелированию II класса марок, установленных на контролируемых бетонных гидротехнических сооружениях на один год представлены в таблице 4.1.</w:t>
      </w:r>
    </w:p>
    <w:p>
      <w:pPr>
        <w:sectPr>
          <w:headerReference w:type="default" r:id="rId63"/>
          <w:headerReference w:type="first" r:id="rId64"/>
          <w:footerReference w:type="default" r:id="rId65"/>
          <w:footerReference w:type="first" r:id="rId66"/>
          <w:type w:val="nextPage"/>
          <w:pgSz w:w="11906" w:h="16838"/>
          <w:pgMar w:left="1701" w:right="1134" w:gutter="0" w:header="397" w:top="912" w:footer="171" w:bottom="1021"/>
          <w:pgNumType w:fmt="decimal"/>
          <w:formProt w:val="false"/>
          <w:textDirection w:val="lrTb"/>
          <w:docGrid w:type="default" w:linePitch="360" w:charSpace="4096"/>
        </w:sectPr>
        <w:pStyle w:val="Normal"/>
        <w:rPr>
          <w:rFonts w:ascii="Times New Roman" w:hAnsi="Times New Roman"/>
          <w:sz w:val="24"/>
        </w:rPr>
      </w:pPr>
      <w:r>
        <w:rPr>
          <w:rFonts w:ascii="Times New Roman" w:hAnsi="Times New Roman"/>
          <w:sz w:val="24"/>
        </w:rPr>
        <w:t>Подсчёт объёмов выполнения работ по нивелированию III класса марок, установленных на дамбе верхнего бассейна на один год представлены в таблиц</w:t>
      </w:r>
      <w:bookmarkEnd w:id="71"/>
      <w:r>
        <w:rPr>
          <w:rFonts w:ascii="Times New Roman" w:hAnsi="Times New Roman"/>
          <w:sz w:val="24"/>
        </w:rPr>
        <w:t>е 4.2.</w:t>
      </w:r>
    </w:p>
    <w:p>
      <w:pPr>
        <w:pStyle w:val="Normal"/>
        <w:spacing w:lineRule="auto" w:line="240" w:before="0" w:after="120"/>
        <w:ind w:left="0" w:right="0" w:hanging="0"/>
        <w:rPr>
          <w:rFonts w:ascii="Times New Roman" w:hAnsi="Times New Roman"/>
          <w:sz w:val="24"/>
        </w:rPr>
      </w:pPr>
      <w:r>
        <w:rPr>
          <w:rFonts w:ascii="Times New Roman" w:hAnsi="Times New Roman"/>
          <w:sz w:val="24"/>
        </w:rPr>
        <w:t>Таблица 4.1 – Подсчёт объёмов работ на один год по нивелированию II класса марок, установленных на контролируемых бетонных гидротехнических сооружениях</w:t>
      </w:r>
    </w:p>
    <w:tbl>
      <w:tblPr>
        <w:tblW w:w="5000" w:type="pct"/>
        <w:jc w:val="center"/>
        <w:tblInd w:w="0" w:type="dxa"/>
        <w:tblLayout w:type="fixed"/>
        <w:tblCellMar>
          <w:top w:w="0" w:type="dxa"/>
          <w:left w:w="10" w:type="dxa"/>
          <w:bottom w:w="0" w:type="dxa"/>
          <w:right w:w="10" w:type="dxa"/>
        </w:tblCellMar>
      </w:tblPr>
      <w:tblGrid>
        <w:gridCol w:w="2722"/>
        <w:gridCol w:w="2723"/>
        <w:gridCol w:w="2722"/>
        <w:gridCol w:w="2310"/>
        <w:gridCol w:w="2737"/>
        <w:gridCol w:w="2738"/>
        <w:gridCol w:w="2733"/>
        <w:gridCol w:w="2288"/>
      </w:tblGrid>
      <w:tr>
        <w:trPr>
          <w:tblHeader w:val="true"/>
          <w:trHeight w:val="850" w:hRule="atLeast"/>
        </w:trPr>
        <w:tc>
          <w:tcPr>
            <w:tcW w:w="8167" w:type="dxa"/>
            <w:gridSpan w:val="3"/>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8ptBold"/>
                <w:rFonts w:cs="Times New Roman" w:ascii="Times New Roman" w:hAnsi="Times New Roman"/>
                <w:b w:val="false"/>
                <w:bCs w:val="false"/>
                <w:sz w:val="24"/>
                <w:szCs w:val="24"/>
              </w:rPr>
              <w:t>Количество циклов в 2027 г.</w:t>
            </w:r>
          </w:p>
        </w:tc>
        <w:tc>
          <w:tcPr>
            <w:tcW w:w="2310"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8ptBold"/>
                <w:rFonts w:cs="Times New Roman" w:ascii="Times New Roman" w:hAnsi="Times New Roman"/>
                <w:b w:val="false"/>
                <w:bCs w:val="false"/>
                <w:sz w:val="24"/>
                <w:szCs w:val="24"/>
              </w:rPr>
              <w:t>Количество штативов на 1 цикл, шт.</w:t>
            </w:r>
          </w:p>
        </w:tc>
        <w:tc>
          <w:tcPr>
            <w:tcW w:w="8208" w:type="dxa"/>
            <w:gridSpan w:val="3"/>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8ptBold"/>
                <w:rFonts w:cs="Times New Roman" w:ascii="Times New Roman" w:hAnsi="Times New Roman"/>
                <w:b w:val="false"/>
                <w:bCs w:val="false"/>
                <w:sz w:val="24"/>
                <w:szCs w:val="24"/>
              </w:rPr>
              <w:t>Количество штативов всего, шт.</w:t>
            </w:r>
          </w:p>
        </w:tc>
        <w:tc>
          <w:tcPr>
            <w:tcW w:w="2288"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8ptBold"/>
                <w:rFonts w:cs="Times New Roman" w:ascii="Times New Roman" w:hAnsi="Times New Roman"/>
                <w:b w:val="false"/>
                <w:bCs w:val="false"/>
                <w:sz w:val="24"/>
                <w:szCs w:val="24"/>
              </w:rPr>
              <w:t>Количество штативов всего, шт.</w:t>
            </w:r>
          </w:p>
        </w:tc>
      </w:tr>
      <w:tr>
        <w:trPr>
          <w:trHeight w:val="454" w:hRule="atLeast"/>
        </w:trPr>
        <w:tc>
          <w:tcPr>
            <w:tcW w:w="20973" w:type="dxa"/>
            <w:gridSpan w:val="8"/>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cs="Times New Roman"/>
                <w:b w:val="false"/>
                <w:bCs w:val="false"/>
                <w:sz w:val="24"/>
                <w:szCs w:val="24"/>
              </w:rPr>
            </w:pPr>
            <w:r>
              <w:rPr>
                <w:rStyle w:val="Bodytext2Arial8ptBold"/>
                <w:rFonts w:cs="Times New Roman" w:ascii="Times New Roman" w:hAnsi="Times New Roman"/>
                <w:b w:val="false"/>
                <w:bCs w:val="false"/>
                <w:sz w:val="24"/>
                <w:szCs w:val="24"/>
              </w:rPr>
              <w:t>Помещение гидроприводов, отм. 246,000 м</w:t>
            </w:r>
          </w:p>
        </w:tc>
      </w:tr>
      <w:tr>
        <w:trPr>
          <w:trHeight w:val="454" w:hRule="atLeast"/>
        </w:trPr>
        <w:tc>
          <w:tcPr>
            <w:tcW w:w="8167" w:type="dxa"/>
            <w:gridSpan w:val="3"/>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lang w:val="en-US"/>
              </w:rPr>
            </w:pPr>
            <w:r>
              <w:rPr>
                <w:rStyle w:val="Bodytext2Arial65pt"/>
                <w:rFonts w:cs="Times New Roman" w:ascii="Times New Roman" w:hAnsi="Times New Roman"/>
                <w:sz w:val="24"/>
                <w:szCs w:val="24"/>
                <w:lang w:val="en-US"/>
              </w:rPr>
              <w:t>4</w:t>
            </w:r>
          </w:p>
        </w:tc>
        <w:tc>
          <w:tcPr>
            <w:tcW w:w="2310"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12</w:t>
            </w:r>
          </w:p>
        </w:tc>
        <w:tc>
          <w:tcPr>
            <w:tcW w:w="8208" w:type="dxa"/>
            <w:gridSpan w:val="3"/>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48</w:t>
            </w:r>
          </w:p>
        </w:tc>
        <w:tc>
          <w:tcPr>
            <w:tcW w:w="2288"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Всего</w:t>
            </w:r>
          </w:p>
        </w:tc>
      </w:tr>
      <w:tr>
        <w:trPr>
          <w:trHeight w:val="624" w:hRule="atLeast"/>
        </w:trPr>
        <w:tc>
          <w:tcPr>
            <w:tcW w:w="27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01.01 по 05.05*</w:t>
            </w:r>
          </w:p>
        </w:tc>
        <w:tc>
          <w:tcPr>
            <w:tcW w:w="2723"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05.05 по 20.10</w:t>
            </w:r>
          </w:p>
        </w:tc>
        <w:tc>
          <w:tcPr>
            <w:tcW w:w="27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20.10 по 31.12*</w:t>
            </w:r>
          </w:p>
        </w:tc>
        <w:tc>
          <w:tcPr>
            <w:tcW w:w="2310"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pPr>
            <w:r>
              <w:rPr/>
            </w:r>
          </w:p>
        </w:tc>
        <w:tc>
          <w:tcPr>
            <w:tcW w:w="2737"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01.01 по 05.05*</w:t>
            </w:r>
          </w:p>
        </w:tc>
        <w:tc>
          <w:tcPr>
            <w:tcW w:w="2738"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05.05 по 20.10</w:t>
            </w:r>
          </w:p>
        </w:tc>
        <w:tc>
          <w:tcPr>
            <w:tcW w:w="2733"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20.10 по 31.12*</w:t>
            </w:r>
          </w:p>
        </w:tc>
        <w:tc>
          <w:tcPr>
            <w:tcW w:w="2288"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pPr>
            <w:r>
              <w:rPr/>
            </w:r>
          </w:p>
        </w:tc>
      </w:tr>
      <w:tr>
        <w:trPr>
          <w:trHeight w:val="454" w:hRule="atLeast"/>
        </w:trPr>
        <w:tc>
          <w:tcPr>
            <w:tcW w:w="27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lang w:val="en-US"/>
              </w:rPr>
            </w:pPr>
            <w:r>
              <w:rPr>
                <w:rStyle w:val="Bodytext2Arial65pt"/>
                <w:rFonts w:cs="Times New Roman" w:ascii="Times New Roman" w:hAnsi="Times New Roman"/>
                <w:sz w:val="24"/>
                <w:szCs w:val="24"/>
                <w:lang w:val="en-US"/>
              </w:rPr>
              <w:t>1</w:t>
            </w:r>
          </w:p>
        </w:tc>
        <w:tc>
          <w:tcPr>
            <w:tcW w:w="2723"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lang w:val="en-US"/>
              </w:rPr>
            </w:pPr>
            <w:r>
              <w:rPr>
                <w:rStyle w:val="Bodytext2Arial65pt"/>
                <w:rFonts w:cs="Times New Roman" w:ascii="Times New Roman" w:hAnsi="Times New Roman"/>
                <w:sz w:val="24"/>
                <w:szCs w:val="24"/>
                <w:lang w:val="en-US"/>
              </w:rPr>
              <w:t>2</w:t>
            </w:r>
          </w:p>
        </w:tc>
        <w:tc>
          <w:tcPr>
            <w:tcW w:w="27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1</w:t>
            </w:r>
          </w:p>
        </w:tc>
        <w:tc>
          <w:tcPr>
            <w:tcW w:w="2310"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pPr>
            <w:r>
              <w:rPr/>
            </w:r>
          </w:p>
        </w:tc>
        <w:tc>
          <w:tcPr>
            <w:tcW w:w="2737"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lang w:val="en-US"/>
              </w:rPr>
            </w:pPr>
            <w:r>
              <w:rPr>
                <w:rStyle w:val="Bodytext2Arial65pt"/>
                <w:rFonts w:cs="Times New Roman" w:ascii="Times New Roman" w:hAnsi="Times New Roman"/>
                <w:sz w:val="24"/>
                <w:szCs w:val="24"/>
                <w:lang w:val="en-US"/>
              </w:rPr>
              <w:t>12</w:t>
            </w:r>
          </w:p>
        </w:tc>
        <w:tc>
          <w:tcPr>
            <w:tcW w:w="2738"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lang w:val="en-US"/>
              </w:rPr>
            </w:pPr>
            <w:r>
              <w:rPr>
                <w:rStyle w:val="Bodytext2Arial65pt"/>
                <w:rFonts w:cs="Times New Roman" w:ascii="Times New Roman" w:hAnsi="Times New Roman"/>
                <w:sz w:val="24"/>
                <w:szCs w:val="24"/>
                <w:lang w:val="en-US"/>
              </w:rPr>
              <w:t>24</w:t>
            </w:r>
          </w:p>
        </w:tc>
        <w:tc>
          <w:tcPr>
            <w:tcW w:w="2733"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lang w:val="en-US"/>
              </w:rPr>
            </w:pPr>
            <w:r>
              <w:rPr>
                <w:rStyle w:val="Bodytext2Arial65pt"/>
                <w:rFonts w:cs="Times New Roman" w:ascii="Times New Roman" w:hAnsi="Times New Roman"/>
                <w:sz w:val="24"/>
                <w:szCs w:val="24"/>
                <w:lang w:val="en-US"/>
              </w:rPr>
              <w:t>12</w:t>
            </w:r>
          </w:p>
        </w:tc>
        <w:tc>
          <w:tcPr>
            <w:tcW w:w="2288"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lang w:val="en-US"/>
              </w:rPr>
            </w:pPr>
            <w:r>
              <w:rPr>
                <w:rStyle w:val="Bodytext2Arial65pt"/>
                <w:rFonts w:cs="Times New Roman" w:ascii="Times New Roman" w:hAnsi="Times New Roman"/>
                <w:sz w:val="24"/>
                <w:szCs w:val="24"/>
                <w:lang w:val="en-US"/>
              </w:rPr>
              <w:t>48</w:t>
            </w:r>
          </w:p>
        </w:tc>
      </w:tr>
      <w:tr>
        <w:trPr>
          <w:trHeight w:val="454" w:hRule="atLeast"/>
        </w:trPr>
        <w:tc>
          <w:tcPr>
            <w:tcW w:w="20973" w:type="dxa"/>
            <w:gridSpan w:val="8"/>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8ptBold"/>
                <w:rFonts w:cs="Times New Roman" w:ascii="Times New Roman" w:hAnsi="Times New Roman"/>
                <w:b w:val="false"/>
                <w:bCs w:val="false"/>
                <w:sz w:val="24"/>
                <w:szCs w:val="24"/>
              </w:rPr>
              <w:t>Марки Водоприемника на отм. 244,350 м и нижних подпорных стен</w:t>
            </w:r>
          </w:p>
        </w:tc>
      </w:tr>
      <w:tr>
        <w:trPr>
          <w:trHeight w:val="454" w:hRule="atLeast"/>
        </w:trPr>
        <w:tc>
          <w:tcPr>
            <w:tcW w:w="8167" w:type="dxa"/>
            <w:gridSpan w:val="3"/>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lang w:val="en-US"/>
              </w:rPr>
            </w:pPr>
            <w:r>
              <w:rPr>
                <w:rStyle w:val="Bodytext2Arial65pt"/>
                <w:rFonts w:cs="Times New Roman" w:ascii="Times New Roman" w:hAnsi="Times New Roman"/>
                <w:sz w:val="24"/>
                <w:szCs w:val="24"/>
                <w:lang w:val="en-US"/>
              </w:rPr>
              <w:t>4</w:t>
            </w:r>
          </w:p>
        </w:tc>
        <w:tc>
          <w:tcPr>
            <w:tcW w:w="2310"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57</w:t>
            </w:r>
          </w:p>
        </w:tc>
        <w:tc>
          <w:tcPr>
            <w:tcW w:w="8208" w:type="dxa"/>
            <w:gridSpan w:val="3"/>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228</w:t>
            </w:r>
          </w:p>
        </w:tc>
        <w:tc>
          <w:tcPr>
            <w:tcW w:w="2288"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Всего</w:t>
            </w:r>
          </w:p>
        </w:tc>
      </w:tr>
      <w:tr>
        <w:trPr>
          <w:trHeight w:val="624" w:hRule="atLeast"/>
        </w:trPr>
        <w:tc>
          <w:tcPr>
            <w:tcW w:w="27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01.01 по 05.05*</w:t>
            </w:r>
          </w:p>
        </w:tc>
        <w:tc>
          <w:tcPr>
            <w:tcW w:w="2723"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05.05 по 20.10</w:t>
            </w:r>
          </w:p>
        </w:tc>
        <w:tc>
          <w:tcPr>
            <w:tcW w:w="27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20.10 по 31.12*</w:t>
            </w:r>
          </w:p>
        </w:tc>
        <w:tc>
          <w:tcPr>
            <w:tcW w:w="2310"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pPr>
            <w:r>
              <w:rPr/>
            </w:r>
          </w:p>
        </w:tc>
        <w:tc>
          <w:tcPr>
            <w:tcW w:w="2737"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w:t>
            </w:r>
          </w:p>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с 01.01 по 05.05*</w:t>
            </w:r>
          </w:p>
        </w:tc>
        <w:tc>
          <w:tcPr>
            <w:tcW w:w="2738"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05.05 по 20.10</w:t>
            </w:r>
          </w:p>
        </w:tc>
        <w:tc>
          <w:tcPr>
            <w:tcW w:w="2733"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20.10 по 31.12*</w:t>
            </w:r>
          </w:p>
        </w:tc>
        <w:tc>
          <w:tcPr>
            <w:tcW w:w="2288"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pPr>
            <w:r>
              <w:rPr/>
            </w:r>
          </w:p>
        </w:tc>
      </w:tr>
      <w:tr>
        <w:trPr>
          <w:trHeight w:val="454" w:hRule="atLeast"/>
        </w:trPr>
        <w:tc>
          <w:tcPr>
            <w:tcW w:w="27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lang w:val="en-US"/>
              </w:rPr>
            </w:pPr>
            <w:r>
              <w:rPr>
                <w:rStyle w:val="Bodytext2Arial65pt"/>
                <w:rFonts w:cs="Times New Roman" w:ascii="Times New Roman" w:hAnsi="Times New Roman"/>
                <w:sz w:val="24"/>
                <w:szCs w:val="24"/>
                <w:lang w:val="en-US"/>
              </w:rPr>
              <w:t>1</w:t>
            </w:r>
          </w:p>
        </w:tc>
        <w:tc>
          <w:tcPr>
            <w:tcW w:w="2723"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lang w:val="en-US"/>
              </w:rPr>
            </w:pPr>
            <w:r>
              <w:rPr>
                <w:rStyle w:val="Bodytext2Arial65pt"/>
                <w:rFonts w:cs="Times New Roman" w:ascii="Times New Roman" w:hAnsi="Times New Roman"/>
                <w:sz w:val="24"/>
                <w:szCs w:val="24"/>
                <w:lang w:val="en-US"/>
              </w:rPr>
              <w:t>2</w:t>
            </w:r>
          </w:p>
        </w:tc>
        <w:tc>
          <w:tcPr>
            <w:tcW w:w="27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1</w:t>
            </w:r>
          </w:p>
        </w:tc>
        <w:tc>
          <w:tcPr>
            <w:tcW w:w="2310"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pPr>
            <w:r>
              <w:rPr/>
            </w:r>
          </w:p>
        </w:tc>
        <w:tc>
          <w:tcPr>
            <w:tcW w:w="2737"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lang w:val="en-US"/>
              </w:rPr>
              <w:t>5</w:t>
            </w:r>
            <w:r>
              <w:rPr>
                <w:rStyle w:val="Bodytext2Arial65pt"/>
                <w:rFonts w:cs="Times New Roman" w:ascii="Times New Roman" w:hAnsi="Times New Roman"/>
                <w:sz w:val="24"/>
                <w:szCs w:val="24"/>
              </w:rPr>
              <w:t>7</w:t>
            </w:r>
          </w:p>
        </w:tc>
        <w:tc>
          <w:tcPr>
            <w:tcW w:w="2738"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lang w:val="en-US"/>
              </w:rPr>
              <w:t>11</w:t>
            </w:r>
            <w:r>
              <w:rPr>
                <w:rStyle w:val="Bodytext2Arial65pt"/>
                <w:rFonts w:cs="Times New Roman" w:ascii="Times New Roman" w:hAnsi="Times New Roman"/>
                <w:sz w:val="24"/>
                <w:szCs w:val="24"/>
              </w:rPr>
              <w:t>4</w:t>
            </w:r>
          </w:p>
        </w:tc>
        <w:tc>
          <w:tcPr>
            <w:tcW w:w="2733"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57</w:t>
            </w:r>
          </w:p>
        </w:tc>
        <w:tc>
          <w:tcPr>
            <w:tcW w:w="2288"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228</w:t>
            </w:r>
          </w:p>
        </w:tc>
      </w:tr>
      <w:tr>
        <w:trPr>
          <w:trHeight w:val="454" w:hRule="atLeast"/>
        </w:trPr>
        <w:tc>
          <w:tcPr>
            <w:tcW w:w="20973" w:type="dxa"/>
            <w:gridSpan w:val="8"/>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8ptBold"/>
                <w:rFonts w:cs="Times New Roman" w:ascii="Times New Roman" w:hAnsi="Times New Roman"/>
                <w:b w:val="false"/>
                <w:bCs w:val="false"/>
                <w:sz w:val="24"/>
                <w:szCs w:val="24"/>
              </w:rPr>
              <w:t>Марки Водоприемника и верхних подпорных стен 2-го яруса на отм. 269,000 м</w:t>
            </w:r>
          </w:p>
        </w:tc>
      </w:tr>
      <w:tr>
        <w:trPr>
          <w:trHeight w:val="454" w:hRule="atLeast"/>
        </w:trPr>
        <w:tc>
          <w:tcPr>
            <w:tcW w:w="8167" w:type="dxa"/>
            <w:gridSpan w:val="3"/>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lang w:val="en-US"/>
              </w:rPr>
            </w:pPr>
            <w:r>
              <w:rPr>
                <w:rStyle w:val="Bodytext2Arial65pt"/>
                <w:rFonts w:cs="Times New Roman" w:ascii="Times New Roman" w:hAnsi="Times New Roman"/>
                <w:sz w:val="24"/>
                <w:szCs w:val="24"/>
                <w:lang w:val="en-US"/>
              </w:rPr>
              <w:t>4</w:t>
            </w:r>
          </w:p>
        </w:tc>
        <w:tc>
          <w:tcPr>
            <w:tcW w:w="2310"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32</w:t>
            </w:r>
          </w:p>
        </w:tc>
        <w:tc>
          <w:tcPr>
            <w:tcW w:w="8208" w:type="dxa"/>
            <w:gridSpan w:val="3"/>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128</w:t>
            </w:r>
          </w:p>
        </w:tc>
        <w:tc>
          <w:tcPr>
            <w:tcW w:w="2288"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Всего</w:t>
            </w:r>
          </w:p>
        </w:tc>
      </w:tr>
      <w:tr>
        <w:trPr>
          <w:trHeight w:val="624" w:hRule="atLeast"/>
        </w:trPr>
        <w:tc>
          <w:tcPr>
            <w:tcW w:w="27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01.01 по 05.05*</w:t>
            </w:r>
          </w:p>
        </w:tc>
        <w:tc>
          <w:tcPr>
            <w:tcW w:w="2723"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05.05 по 20.10</w:t>
            </w:r>
          </w:p>
        </w:tc>
        <w:tc>
          <w:tcPr>
            <w:tcW w:w="27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20.10 по 31.12*</w:t>
            </w:r>
          </w:p>
        </w:tc>
        <w:tc>
          <w:tcPr>
            <w:tcW w:w="2310"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pPr>
            <w:r>
              <w:rPr/>
            </w:r>
          </w:p>
        </w:tc>
        <w:tc>
          <w:tcPr>
            <w:tcW w:w="2737"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01.01 по 05.05*</w:t>
            </w:r>
          </w:p>
        </w:tc>
        <w:tc>
          <w:tcPr>
            <w:tcW w:w="2738"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05.05 по 20.10</w:t>
            </w:r>
          </w:p>
        </w:tc>
        <w:tc>
          <w:tcPr>
            <w:tcW w:w="2733"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20.10 по 31.12*</w:t>
            </w:r>
          </w:p>
        </w:tc>
        <w:tc>
          <w:tcPr>
            <w:tcW w:w="2288"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pPr>
            <w:r>
              <w:rPr/>
            </w:r>
          </w:p>
        </w:tc>
      </w:tr>
      <w:tr>
        <w:trPr>
          <w:trHeight w:val="454" w:hRule="atLeast"/>
        </w:trPr>
        <w:tc>
          <w:tcPr>
            <w:tcW w:w="27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lang w:val="en-US"/>
              </w:rPr>
            </w:pPr>
            <w:r>
              <w:rPr>
                <w:rStyle w:val="Bodytext2Arial65pt"/>
                <w:rFonts w:cs="Times New Roman" w:ascii="Times New Roman" w:hAnsi="Times New Roman"/>
                <w:sz w:val="24"/>
                <w:szCs w:val="24"/>
                <w:lang w:val="en-US"/>
              </w:rPr>
              <w:t>1</w:t>
            </w:r>
          </w:p>
        </w:tc>
        <w:tc>
          <w:tcPr>
            <w:tcW w:w="2723"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lang w:val="en-US"/>
              </w:rPr>
            </w:pPr>
            <w:r>
              <w:rPr>
                <w:rStyle w:val="Bodytext2Arial65pt"/>
                <w:rFonts w:cs="Times New Roman" w:ascii="Times New Roman" w:hAnsi="Times New Roman"/>
                <w:sz w:val="24"/>
                <w:szCs w:val="24"/>
                <w:lang w:val="en-US"/>
              </w:rPr>
              <w:t>2</w:t>
            </w:r>
          </w:p>
        </w:tc>
        <w:tc>
          <w:tcPr>
            <w:tcW w:w="27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1</w:t>
            </w:r>
          </w:p>
        </w:tc>
        <w:tc>
          <w:tcPr>
            <w:tcW w:w="2310"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pPr>
            <w:r>
              <w:rPr/>
            </w:r>
          </w:p>
        </w:tc>
        <w:tc>
          <w:tcPr>
            <w:tcW w:w="2737"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lang w:val="en-US"/>
              </w:rPr>
            </w:pPr>
            <w:r>
              <w:rPr>
                <w:rStyle w:val="Bodytext2Arial65pt"/>
                <w:rFonts w:cs="Times New Roman" w:ascii="Times New Roman" w:hAnsi="Times New Roman"/>
                <w:sz w:val="24"/>
                <w:szCs w:val="24"/>
                <w:lang w:val="en-US"/>
              </w:rPr>
              <w:t>32</w:t>
            </w:r>
          </w:p>
        </w:tc>
        <w:tc>
          <w:tcPr>
            <w:tcW w:w="2738"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lang w:val="en-US"/>
              </w:rPr>
            </w:pPr>
            <w:r>
              <w:rPr>
                <w:rStyle w:val="Bodytext2Arial65pt"/>
                <w:rFonts w:cs="Times New Roman" w:ascii="Times New Roman" w:hAnsi="Times New Roman"/>
                <w:sz w:val="24"/>
                <w:szCs w:val="24"/>
                <w:lang w:val="en-US"/>
              </w:rPr>
              <w:t>64</w:t>
            </w:r>
          </w:p>
        </w:tc>
        <w:tc>
          <w:tcPr>
            <w:tcW w:w="2733"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32</w:t>
            </w:r>
          </w:p>
        </w:tc>
        <w:tc>
          <w:tcPr>
            <w:tcW w:w="2288"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128</w:t>
            </w:r>
          </w:p>
        </w:tc>
      </w:tr>
      <w:tr>
        <w:trPr>
          <w:trHeight w:val="454" w:hRule="atLeast"/>
        </w:trPr>
        <w:tc>
          <w:tcPr>
            <w:tcW w:w="20973" w:type="dxa"/>
            <w:gridSpan w:val="8"/>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8ptBold"/>
                <w:rFonts w:cs="Times New Roman" w:ascii="Times New Roman" w:hAnsi="Times New Roman"/>
                <w:b w:val="false"/>
                <w:bCs w:val="false"/>
                <w:sz w:val="24"/>
                <w:szCs w:val="24"/>
              </w:rPr>
              <w:t>Марки в сухой потерне водоприемника на отм. 224,750 м</w:t>
            </w:r>
          </w:p>
        </w:tc>
      </w:tr>
      <w:tr>
        <w:trPr>
          <w:trHeight w:val="454" w:hRule="atLeast"/>
        </w:trPr>
        <w:tc>
          <w:tcPr>
            <w:tcW w:w="8167" w:type="dxa"/>
            <w:gridSpan w:val="3"/>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4</w:t>
            </w:r>
          </w:p>
        </w:tc>
        <w:tc>
          <w:tcPr>
            <w:tcW w:w="2310"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50</w:t>
            </w:r>
          </w:p>
        </w:tc>
        <w:tc>
          <w:tcPr>
            <w:tcW w:w="8208" w:type="dxa"/>
            <w:gridSpan w:val="3"/>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200</w:t>
            </w:r>
          </w:p>
        </w:tc>
        <w:tc>
          <w:tcPr>
            <w:tcW w:w="2288"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Всего</w:t>
            </w:r>
          </w:p>
        </w:tc>
      </w:tr>
      <w:tr>
        <w:trPr>
          <w:trHeight w:val="624" w:hRule="atLeast"/>
        </w:trPr>
        <w:tc>
          <w:tcPr>
            <w:tcW w:w="27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01.01 по 05.05*</w:t>
            </w:r>
          </w:p>
        </w:tc>
        <w:tc>
          <w:tcPr>
            <w:tcW w:w="2723"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05.05 по 20.10</w:t>
            </w:r>
          </w:p>
        </w:tc>
        <w:tc>
          <w:tcPr>
            <w:tcW w:w="27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20.10 по 31.12*</w:t>
            </w:r>
          </w:p>
        </w:tc>
        <w:tc>
          <w:tcPr>
            <w:tcW w:w="2310"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pPr>
            <w:r>
              <w:rPr/>
            </w:r>
          </w:p>
        </w:tc>
        <w:tc>
          <w:tcPr>
            <w:tcW w:w="2737"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01.01 по 05.05*</w:t>
            </w:r>
          </w:p>
        </w:tc>
        <w:tc>
          <w:tcPr>
            <w:tcW w:w="2738"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05.05 по 20.10</w:t>
            </w:r>
          </w:p>
        </w:tc>
        <w:tc>
          <w:tcPr>
            <w:tcW w:w="2733"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20.10 по 31.12*</w:t>
            </w:r>
          </w:p>
        </w:tc>
        <w:tc>
          <w:tcPr>
            <w:tcW w:w="2288"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pPr>
            <w:r>
              <w:rPr/>
            </w:r>
          </w:p>
        </w:tc>
      </w:tr>
      <w:tr>
        <w:trPr>
          <w:trHeight w:val="454" w:hRule="atLeast"/>
        </w:trPr>
        <w:tc>
          <w:tcPr>
            <w:tcW w:w="27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1</w:t>
            </w:r>
          </w:p>
        </w:tc>
        <w:tc>
          <w:tcPr>
            <w:tcW w:w="2723"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2</w:t>
            </w:r>
          </w:p>
        </w:tc>
        <w:tc>
          <w:tcPr>
            <w:tcW w:w="27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1</w:t>
            </w:r>
          </w:p>
        </w:tc>
        <w:tc>
          <w:tcPr>
            <w:tcW w:w="2310"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pPr>
            <w:r>
              <w:rPr/>
            </w:r>
          </w:p>
        </w:tc>
        <w:tc>
          <w:tcPr>
            <w:tcW w:w="2737"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50</w:t>
            </w:r>
          </w:p>
        </w:tc>
        <w:tc>
          <w:tcPr>
            <w:tcW w:w="2738"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100</w:t>
            </w:r>
          </w:p>
        </w:tc>
        <w:tc>
          <w:tcPr>
            <w:tcW w:w="2733"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50</w:t>
            </w:r>
          </w:p>
        </w:tc>
        <w:tc>
          <w:tcPr>
            <w:tcW w:w="2288"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200</w:t>
            </w:r>
          </w:p>
        </w:tc>
      </w:tr>
      <w:tr>
        <w:trPr>
          <w:trHeight w:val="454" w:hRule="atLeast"/>
        </w:trPr>
        <w:tc>
          <w:tcPr>
            <w:tcW w:w="20973" w:type="dxa"/>
            <w:gridSpan w:val="8"/>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8ptBold"/>
                <w:rFonts w:cs="Times New Roman" w:ascii="Times New Roman" w:hAnsi="Times New Roman"/>
                <w:b w:val="false"/>
                <w:bCs w:val="false"/>
                <w:sz w:val="24"/>
                <w:szCs w:val="24"/>
              </w:rPr>
              <w:t>Марки установленные на полках напорных водоводов № 7 и № 10</w:t>
            </w:r>
          </w:p>
        </w:tc>
      </w:tr>
      <w:tr>
        <w:trPr>
          <w:trHeight w:val="454" w:hRule="atLeast"/>
        </w:trPr>
        <w:tc>
          <w:tcPr>
            <w:tcW w:w="8167" w:type="dxa"/>
            <w:gridSpan w:val="3"/>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4</w:t>
            </w:r>
          </w:p>
        </w:tc>
        <w:tc>
          <w:tcPr>
            <w:tcW w:w="2310"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208</w:t>
            </w:r>
          </w:p>
        </w:tc>
        <w:tc>
          <w:tcPr>
            <w:tcW w:w="8208" w:type="dxa"/>
            <w:gridSpan w:val="3"/>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832</w:t>
            </w:r>
          </w:p>
        </w:tc>
        <w:tc>
          <w:tcPr>
            <w:tcW w:w="2288"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Всего</w:t>
            </w:r>
          </w:p>
        </w:tc>
      </w:tr>
      <w:tr>
        <w:trPr>
          <w:trHeight w:val="624" w:hRule="atLeast"/>
        </w:trPr>
        <w:tc>
          <w:tcPr>
            <w:tcW w:w="27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01.01 по 05.05*</w:t>
            </w:r>
          </w:p>
        </w:tc>
        <w:tc>
          <w:tcPr>
            <w:tcW w:w="2723"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05.05 по 20.10</w:t>
            </w:r>
          </w:p>
        </w:tc>
        <w:tc>
          <w:tcPr>
            <w:tcW w:w="27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20.10 по 31.12*</w:t>
            </w:r>
          </w:p>
        </w:tc>
        <w:tc>
          <w:tcPr>
            <w:tcW w:w="2310"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pPr>
            <w:r>
              <w:rPr/>
            </w:r>
          </w:p>
        </w:tc>
        <w:tc>
          <w:tcPr>
            <w:tcW w:w="2737"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w:t>
            </w:r>
          </w:p>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с 01.01 по 05.05*</w:t>
            </w:r>
          </w:p>
        </w:tc>
        <w:tc>
          <w:tcPr>
            <w:tcW w:w="2738"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tLeast" w:line="18"/>
              <w:ind w:left="0" w:right="0" w:hanging="0"/>
              <w:rPr>
                <w:rFonts w:ascii="Times New Roman" w:hAnsi="Times New Roman" w:cs="Times New Roman"/>
                <w:sz w:val="24"/>
                <w:szCs w:val="24"/>
              </w:rPr>
            </w:pPr>
            <w:r>
              <w:rPr>
                <w:rStyle w:val="Bodytext2Arial65pt"/>
                <w:rFonts w:cs="Times New Roman" w:ascii="Times New Roman" w:hAnsi="Times New Roman"/>
                <w:sz w:val="24"/>
                <w:szCs w:val="24"/>
              </w:rPr>
              <w:t>в т.ч. в период с 05.05 по 20.10</w:t>
            </w:r>
          </w:p>
        </w:tc>
        <w:tc>
          <w:tcPr>
            <w:tcW w:w="2733"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20.10 по 31.12*</w:t>
            </w:r>
          </w:p>
        </w:tc>
        <w:tc>
          <w:tcPr>
            <w:tcW w:w="2288"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pPr>
            <w:r>
              <w:rPr/>
            </w:r>
          </w:p>
        </w:tc>
      </w:tr>
      <w:tr>
        <w:trPr>
          <w:trHeight w:val="454" w:hRule="atLeast"/>
        </w:trPr>
        <w:tc>
          <w:tcPr>
            <w:tcW w:w="27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1</w:t>
            </w:r>
          </w:p>
        </w:tc>
        <w:tc>
          <w:tcPr>
            <w:tcW w:w="2723"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2</w:t>
            </w:r>
          </w:p>
        </w:tc>
        <w:tc>
          <w:tcPr>
            <w:tcW w:w="27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1</w:t>
            </w:r>
          </w:p>
        </w:tc>
        <w:tc>
          <w:tcPr>
            <w:tcW w:w="2310"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pPr>
            <w:r>
              <w:rPr/>
            </w:r>
          </w:p>
        </w:tc>
        <w:tc>
          <w:tcPr>
            <w:tcW w:w="2737"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Fonts w:ascii="Times New Roman" w:hAnsi="Times New Roman"/>
                <w:sz w:val="24"/>
                <w:szCs w:val="24"/>
              </w:rPr>
              <w:t>208</w:t>
            </w:r>
          </w:p>
        </w:tc>
        <w:tc>
          <w:tcPr>
            <w:tcW w:w="2738"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lang w:val="en-US"/>
              </w:rPr>
            </w:pPr>
            <w:r>
              <w:rPr>
                <w:rFonts w:ascii="Times New Roman" w:hAnsi="Times New Roman"/>
                <w:sz w:val="24"/>
                <w:szCs w:val="24"/>
              </w:rPr>
              <w:t>41</w:t>
            </w:r>
            <w:r>
              <w:rPr>
                <w:rFonts w:ascii="Times New Roman" w:hAnsi="Times New Roman"/>
                <w:sz w:val="24"/>
                <w:szCs w:val="24"/>
                <w:lang w:val="en-US"/>
              </w:rPr>
              <w:t>6</w:t>
            </w:r>
          </w:p>
        </w:tc>
        <w:tc>
          <w:tcPr>
            <w:tcW w:w="2733"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208</w:t>
            </w:r>
          </w:p>
        </w:tc>
        <w:tc>
          <w:tcPr>
            <w:tcW w:w="2288"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832</w:t>
            </w:r>
          </w:p>
        </w:tc>
      </w:tr>
      <w:tr>
        <w:trPr>
          <w:trHeight w:val="454" w:hRule="atLeast"/>
        </w:trPr>
        <w:tc>
          <w:tcPr>
            <w:tcW w:w="20973" w:type="dxa"/>
            <w:gridSpan w:val="8"/>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8ptBold"/>
                <w:rFonts w:cs="Times New Roman" w:ascii="Times New Roman" w:hAnsi="Times New Roman"/>
                <w:b w:val="false"/>
                <w:bCs w:val="false"/>
                <w:sz w:val="24"/>
                <w:szCs w:val="24"/>
              </w:rPr>
              <w:t>Марки, установленные на опорах верхнего компенсаторного перехода (ОВКП)</w:t>
            </w:r>
          </w:p>
        </w:tc>
      </w:tr>
      <w:tr>
        <w:trPr>
          <w:trHeight w:val="454" w:hRule="atLeast"/>
        </w:trPr>
        <w:tc>
          <w:tcPr>
            <w:tcW w:w="8167" w:type="dxa"/>
            <w:gridSpan w:val="3"/>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4</w:t>
            </w:r>
          </w:p>
        </w:tc>
        <w:tc>
          <w:tcPr>
            <w:tcW w:w="2310"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cs="Times New Roman"/>
                <w:sz w:val="24"/>
                <w:szCs w:val="24"/>
              </w:rPr>
            </w:pPr>
            <w:r>
              <w:rPr>
                <w:rStyle w:val="Bodytext2Arial65pt"/>
                <w:rFonts w:cs="Times New Roman" w:ascii="Times New Roman" w:hAnsi="Times New Roman"/>
                <w:sz w:val="24"/>
                <w:szCs w:val="24"/>
              </w:rPr>
              <w:t>24</w:t>
            </w:r>
          </w:p>
        </w:tc>
        <w:tc>
          <w:tcPr>
            <w:tcW w:w="8208" w:type="dxa"/>
            <w:gridSpan w:val="3"/>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Fonts w:ascii="Times New Roman" w:hAnsi="Times New Roman"/>
                <w:sz w:val="24"/>
                <w:szCs w:val="24"/>
              </w:rPr>
              <w:t>96</w:t>
            </w:r>
          </w:p>
        </w:tc>
        <w:tc>
          <w:tcPr>
            <w:tcW w:w="2288"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Всего</w:t>
            </w:r>
          </w:p>
        </w:tc>
      </w:tr>
      <w:tr>
        <w:trPr>
          <w:trHeight w:val="624" w:hRule="atLeast"/>
        </w:trPr>
        <w:tc>
          <w:tcPr>
            <w:tcW w:w="27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01.01 по 05.05*</w:t>
            </w:r>
          </w:p>
        </w:tc>
        <w:tc>
          <w:tcPr>
            <w:tcW w:w="2723"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05.05 по 20.10</w:t>
            </w:r>
          </w:p>
        </w:tc>
        <w:tc>
          <w:tcPr>
            <w:tcW w:w="27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20.10 по 31.12*</w:t>
            </w:r>
          </w:p>
        </w:tc>
        <w:tc>
          <w:tcPr>
            <w:tcW w:w="2310"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pPr>
            <w:r>
              <w:rPr/>
            </w:r>
          </w:p>
        </w:tc>
        <w:tc>
          <w:tcPr>
            <w:tcW w:w="2737"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01.01 по 05.05*</w:t>
            </w:r>
          </w:p>
        </w:tc>
        <w:tc>
          <w:tcPr>
            <w:tcW w:w="2738"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05.05 по 20.10</w:t>
            </w:r>
          </w:p>
        </w:tc>
        <w:tc>
          <w:tcPr>
            <w:tcW w:w="2733"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20.10 по 31.12*</w:t>
            </w:r>
          </w:p>
        </w:tc>
        <w:tc>
          <w:tcPr>
            <w:tcW w:w="2288"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pPr>
            <w:r>
              <w:rPr/>
            </w:r>
          </w:p>
        </w:tc>
      </w:tr>
      <w:tr>
        <w:trPr>
          <w:trHeight w:val="454" w:hRule="atLeast"/>
        </w:trPr>
        <w:tc>
          <w:tcPr>
            <w:tcW w:w="27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1</w:t>
            </w:r>
          </w:p>
        </w:tc>
        <w:tc>
          <w:tcPr>
            <w:tcW w:w="2723"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2</w:t>
            </w:r>
          </w:p>
        </w:tc>
        <w:tc>
          <w:tcPr>
            <w:tcW w:w="27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1</w:t>
            </w:r>
          </w:p>
        </w:tc>
        <w:tc>
          <w:tcPr>
            <w:tcW w:w="2310"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pPr>
            <w:r>
              <w:rPr/>
            </w:r>
          </w:p>
        </w:tc>
        <w:tc>
          <w:tcPr>
            <w:tcW w:w="2737"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24</w:t>
            </w:r>
          </w:p>
        </w:tc>
        <w:tc>
          <w:tcPr>
            <w:tcW w:w="2738"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Fonts w:ascii="Times New Roman" w:hAnsi="Times New Roman"/>
                <w:sz w:val="24"/>
                <w:szCs w:val="24"/>
              </w:rPr>
              <w:t>48</w:t>
            </w:r>
          </w:p>
        </w:tc>
        <w:tc>
          <w:tcPr>
            <w:tcW w:w="2733"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24</w:t>
            </w:r>
          </w:p>
        </w:tc>
        <w:tc>
          <w:tcPr>
            <w:tcW w:w="2288"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cs="Times New Roman"/>
                <w:sz w:val="24"/>
                <w:szCs w:val="24"/>
              </w:rPr>
            </w:pPr>
            <w:r>
              <w:rPr>
                <w:rStyle w:val="Bodytext2Arial65pt"/>
                <w:rFonts w:cs="Times New Roman" w:ascii="Times New Roman" w:hAnsi="Times New Roman"/>
                <w:sz w:val="24"/>
                <w:szCs w:val="24"/>
              </w:rPr>
              <w:t>96</w:t>
            </w:r>
          </w:p>
        </w:tc>
      </w:tr>
      <w:tr>
        <w:trPr>
          <w:trHeight w:val="454" w:hRule="atLeast"/>
        </w:trPr>
        <w:tc>
          <w:tcPr>
            <w:tcW w:w="20973" w:type="dxa"/>
            <w:gridSpan w:val="8"/>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8ptBold"/>
                <w:rFonts w:cs="Times New Roman" w:ascii="Times New Roman" w:hAnsi="Times New Roman"/>
                <w:b w:val="false"/>
                <w:bCs w:val="false"/>
                <w:sz w:val="24"/>
                <w:szCs w:val="24"/>
              </w:rPr>
              <w:t>Марки, установленные на опорах нижнего компенсаторного перехода (ОНКП)</w:t>
            </w:r>
          </w:p>
        </w:tc>
      </w:tr>
      <w:tr>
        <w:trPr>
          <w:trHeight w:val="454" w:hRule="atLeast"/>
        </w:trPr>
        <w:tc>
          <w:tcPr>
            <w:tcW w:w="8167" w:type="dxa"/>
            <w:gridSpan w:val="3"/>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4</w:t>
            </w:r>
          </w:p>
        </w:tc>
        <w:tc>
          <w:tcPr>
            <w:tcW w:w="2310"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cs="Times New Roman"/>
                <w:sz w:val="24"/>
                <w:szCs w:val="24"/>
                <w:lang w:val="en-US"/>
              </w:rPr>
            </w:pPr>
            <w:r>
              <w:rPr>
                <w:rStyle w:val="Bodytext2Arial65pt"/>
                <w:rFonts w:cs="Times New Roman" w:ascii="Times New Roman" w:hAnsi="Times New Roman"/>
                <w:sz w:val="24"/>
                <w:szCs w:val="24"/>
                <w:lang w:val="en-US"/>
              </w:rPr>
              <w:t>40</w:t>
            </w:r>
          </w:p>
        </w:tc>
        <w:tc>
          <w:tcPr>
            <w:tcW w:w="8208" w:type="dxa"/>
            <w:gridSpan w:val="3"/>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lang w:val="en-US"/>
              </w:rPr>
            </w:pPr>
            <w:r>
              <w:rPr>
                <w:rFonts w:ascii="Times New Roman" w:hAnsi="Times New Roman"/>
                <w:sz w:val="24"/>
                <w:szCs w:val="24"/>
                <w:lang w:val="en-US"/>
              </w:rPr>
              <w:t>160</w:t>
            </w:r>
          </w:p>
        </w:tc>
        <w:tc>
          <w:tcPr>
            <w:tcW w:w="2288"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Всего</w:t>
            </w:r>
          </w:p>
        </w:tc>
      </w:tr>
      <w:tr>
        <w:trPr>
          <w:trHeight w:val="624" w:hRule="atLeast"/>
        </w:trPr>
        <w:tc>
          <w:tcPr>
            <w:tcW w:w="27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01.01 по 05.05*</w:t>
            </w:r>
          </w:p>
        </w:tc>
        <w:tc>
          <w:tcPr>
            <w:tcW w:w="2723"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05.05 по 20.10</w:t>
            </w:r>
          </w:p>
        </w:tc>
        <w:tc>
          <w:tcPr>
            <w:tcW w:w="27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20.10 по 31.12*</w:t>
            </w:r>
          </w:p>
        </w:tc>
        <w:tc>
          <w:tcPr>
            <w:tcW w:w="2310"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pPr>
            <w:r>
              <w:rPr/>
            </w:r>
          </w:p>
        </w:tc>
        <w:tc>
          <w:tcPr>
            <w:tcW w:w="2737"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01.01 по 05.05*</w:t>
            </w:r>
          </w:p>
        </w:tc>
        <w:tc>
          <w:tcPr>
            <w:tcW w:w="2738"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05.05 по 20.10</w:t>
            </w:r>
          </w:p>
        </w:tc>
        <w:tc>
          <w:tcPr>
            <w:tcW w:w="2733"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20.10 по 31.12*</w:t>
            </w:r>
          </w:p>
        </w:tc>
        <w:tc>
          <w:tcPr>
            <w:tcW w:w="2288"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pPr>
            <w:r>
              <w:rPr/>
            </w:r>
          </w:p>
        </w:tc>
      </w:tr>
      <w:tr>
        <w:trPr>
          <w:trHeight w:val="454" w:hRule="atLeast"/>
        </w:trPr>
        <w:tc>
          <w:tcPr>
            <w:tcW w:w="27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cs="Times New Roman"/>
                <w:sz w:val="24"/>
                <w:szCs w:val="24"/>
              </w:rPr>
            </w:pPr>
            <w:r>
              <w:rPr>
                <w:rStyle w:val="Bodytext2Arial65pt"/>
                <w:rFonts w:cs="Times New Roman" w:ascii="Times New Roman" w:hAnsi="Times New Roman"/>
                <w:sz w:val="24"/>
                <w:szCs w:val="24"/>
              </w:rPr>
              <w:t>1</w:t>
            </w:r>
          </w:p>
        </w:tc>
        <w:tc>
          <w:tcPr>
            <w:tcW w:w="2723"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cs="Times New Roman"/>
                <w:sz w:val="24"/>
                <w:szCs w:val="24"/>
              </w:rPr>
            </w:pPr>
            <w:r>
              <w:rPr>
                <w:rStyle w:val="Bodytext2Arial65pt"/>
                <w:rFonts w:cs="Times New Roman" w:ascii="Times New Roman" w:hAnsi="Times New Roman"/>
                <w:sz w:val="24"/>
                <w:szCs w:val="24"/>
              </w:rPr>
              <w:t>2</w:t>
            </w:r>
          </w:p>
        </w:tc>
        <w:tc>
          <w:tcPr>
            <w:tcW w:w="27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cs="Times New Roman"/>
                <w:sz w:val="24"/>
                <w:szCs w:val="24"/>
              </w:rPr>
            </w:pPr>
            <w:r>
              <w:rPr>
                <w:rStyle w:val="Bodytext2Arial65pt"/>
                <w:rFonts w:cs="Times New Roman" w:ascii="Times New Roman" w:hAnsi="Times New Roman"/>
                <w:sz w:val="24"/>
                <w:szCs w:val="24"/>
              </w:rPr>
              <w:t>1</w:t>
            </w:r>
          </w:p>
        </w:tc>
        <w:tc>
          <w:tcPr>
            <w:tcW w:w="2310"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pPr>
            <w:r>
              <w:rPr/>
            </w:r>
          </w:p>
        </w:tc>
        <w:tc>
          <w:tcPr>
            <w:tcW w:w="2737"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cs="Times New Roman"/>
                <w:sz w:val="24"/>
                <w:szCs w:val="24"/>
                <w:lang w:val="en-US"/>
              </w:rPr>
            </w:pPr>
            <w:r>
              <w:rPr>
                <w:rStyle w:val="Bodytext2Arial65pt"/>
                <w:rFonts w:cs="Times New Roman" w:ascii="Times New Roman" w:hAnsi="Times New Roman"/>
                <w:sz w:val="24"/>
                <w:szCs w:val="24"/>
                <w:lang w:val="en-US"/>
              </w:rPr>
              <w:t>40</w:t>
            </w:r>
          </w:p>
        </w:tc>
        <w:tc>
          <w:tcPr>
            <w:tcW w:w="2738"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cs="Times New Roman"/>
                <w:sz w:val="24"/>
                <w:szCs w:val="24"/>
                <w:lang w:val="en-US"/>
              </w:rPr>
            </w:pPr>
            <w:r>
              <w:rPr>
                <w:rStyle w:val="Bodytext2Arial65pt"/>
                <w:rFonts w:cs="Times New Roman" w:ascii="Times New Roman" w:hAnsi="Times New Roman"/>
                <w:sz w:val="24"/>
                <w:szCs w:val="24"/>
                <w:lang w:val="en-US"/>
              </w:rPr>
              <w:t>80</w:t>
            </w:r>
          </w:p>
        </w:tc>
        <w:tc>
          <w:tcPr>
            <w:tcW w:w="2733"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cs="Times New Roman"/>
                <w:sz w:val="24"/>
                <w:szCs w:val="24"/>
                <w:lang w:val="en-US"/>
              </w:rPr>
            </w:pPr>
            <w:r>
              <w:rPr>
                <w:rStyle w:val="Bodytext2Arial65pt"/>
                <w:rFonts w:cs="Times New Roman" w:ascii="Times New Roman" w:hAnsi="Times New Roman"/>
                <w:sz w:val="24"/>
                <w:szCs w:val="24"/>
                <w:lang w:val="en-US"/>
              </w:rPr>
              <w:t>40</w:t>
            </w:r>
          </w:p>
        </w:tc>
        <w:tc>
          <w:tcPr>
            <w:tcW w:w="2288"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cs="Times New Roman"/>
                <w:sz w:val="24"/>
                <w:szCs w:val="24"/>
                <w:lang w:val="en-US"/>
              </w:rPr>
            </w:pPr>
            <w:r>
              <w:rPr>
                <w:rStyle w:val="Bodytext2Arial65pt"/>
                <w:rFonts w:cs="Times New Roman" w:ascii="Times New Roman" w:hAnsi="Times New Roman"/>
                <w:sz w:val="24"/>
                <w:szCs w:val="24"/>
                <w:lang w:val="en-US"/>
              </w:rPr>
              <w:t>160</w:t>
            </w:r>
          </w:p>
        </w:tc>
      </w:tr>
      <w:tr>
        <w:trPr>
          <w:trHeight w:val="454" w:hRule="atLeast"/>
        </w:trPr>
        <w:tc>
          <w:tcPr>
            <w:tcW w:w="20973" w:type="dxa"/>
            <w:gridSpan w:val="8"/>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8ptBold"/>
                <w:rFonts w:cs="Times New Roman" w:ascii="Times New Roman" w:hAnsi="Times New Roman"/>
                <w:b w:val="false"/>
                <w:bCs w:val="false"/>
                <w:sz w:val="24"/>
                <w:szCs w:val="24"/>
              </w:rPr>
              <w:t>Марки, установленные на отм. 166,400 м ГТС станционного узла</w:t>
            </w:r>
          </w:p>
        </w:tc>
      </w:tr>
      <w:tr>
        <w:trPr>
          <w:trHeight w:val="454" w:hRule="atLeast"/>
        </w:trPr>
        <w:tc>
          <w:tcPr>
            <w:tcW w:w="8167" w:type="dxa"/>
            <w:gridSpan w:val="3"/>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4</w:t>
            </w:r>
          </w:p>
        </w:tc>
        <w:tc>
          <w:tcPr>
            <w:tcW w:w="2310" w:type="dxa"/>
            <w:vMerge w:val="restart"/>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cs="Times New Roman"/>
                <w:sz w:val="24"/>
                <w:szCs w:val="24"/>
              </w:rPr>
            </w:pPr>
            <w:r>
              <w:rPr>
                <w:rStyle w:val="Bodytext2Arial65pt"/>
                <w:rFonts w:cs="Times New Roman" w:ascii="Times New Roman" w:hAnsi="Times New Roman"/>
                <w:sz w:val="24"/>
                <w:szCs w:val="24"/>
              </w:rPr>
              <w:t>33</w:t>
            </w:r>
          </w:p>
        </w:tc>
        <w:tc>
          <w:tcPr>
            <w:tcW w:w="8208" w:type="dxa"/>
            <w:gridSpan w:val="3"/>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Fonts w:ascii="Times New Roman" w:hAnsi="Times New Roman"/>
                <w:sz w:val="24"/>
                <w:szCs w:val="24"/>
              </w:rPr>
              <w:t>132</w:t>
            </w:r>
          </w:p>
        </w:tc>
        <w:tc>
          <w:tcPr>
            <w:tcW w:w="2288" w:type="dxa"/>
            <w:vMerge w:val="restart"/>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Всего</w:t>
            </w:r>
          </w:p>
        </w:tc>
      </w:tr>
      <w:tr>
        <w:trPr>
          <w:trHeight w:val="624" w:hRule="atLeast"/>
        </w:trPr>
        <w:tc>
          <w:tcPr>
            <w:tcW w:w="27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01.01 по 05.05*</w:t>
            </w:r>
          </w:p>
        </w:tc>
        <w:tc>
          <w:tcPr>
            <w:tcW w:w="2723"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05.05 по 20.10</w:t>
            </w:r>
          </w:p>
        </w:tc>
        <w:tc>
          <w:tcPr>
            <w:tcW w:w="27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20.10 по 31.12*</w:t>
            </w:r>
          </w:p>
        </w:tc>
        <w:tc>
          <w:tcPr>
            <w:tcW w:w="231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737"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01.01 по 05.05*</w:t>
            </w:r>
          </w:p>
        </w:tc>
        <w:tc>
          <w:tcPr>
            <w:tcW w:w="2738"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05.05 по 20.10</w:t>
            </w:r>
          </w:p>
        </w:tc>
        <w:tc>
          <w:tcPr>
            <w:tcW w:w="2733"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20.10 по 31.12*</w:t>
            </w:r>
          </w:p>
        </w:tc>
        <w:tc>
          <w:tcPr>
            <w:tcW w:w="22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454" w:hRule="atLeast"/>
        </w:trPr>
        <w:tc>
          <w:tcPr>
            <w:tcW w:w="27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1</w:t>
            </w:r>
          </w:p>
        </w:tc>
        <w:tc>
          <w:tcPr>
            <w:tcW w:w="2723"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2</w:t>
            </w:r>
          </w:p>
        </w:tc>
        <w:tc>
          <w:tcPr>
            <w:tcW w:w="27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1</w:t>
            </w:r>
          </w:p>
        </w:tc>
        <w:tc>
          <w:tcPr>
            <w:tcW w:w="231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737"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Fonts w:ascii="Times New Roman" w:hAnsi="Times New Roman"/>
                <w:sz w:val="24"/>
                <w:szCs w:val="24"/>
              </w:rPr>
              <w:t>33</w:t>
            </w:r>
          </w:p>
        </w:tc>
        <w:tc>
          <w:tcPr>
            <w:tcW w:w="2738"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Fonts w:ascii="Times New Roman" w:hAnsi="Times New Roman"/>
                <w:sz w:val="24"/>
                <w:szCs w:val="24"/>
              </w:rPr>
              <w:t>66</w:t>
            </w:r>
          </w:p>
        </w:tc>
        <w:tc>
          <w:tcPr>
            <w:tcW w:w="2733"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Fonts w:ascii="Times New Roman" w:hAnsi="Times New Roman"/>
                <w:sz w:val="24"/>
                <w:szCs w:val="24"/>
              </w:rPr>
              <w:t>33</w:t>
            </w:r>
          </w:p>
        </w:tc>
        <w:tc>
          <w:tcPr>
            <w:tcW w:w="2288"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cs="Times New Roman"/>
                <w:sz w:val="24"/>
                <w:szCs w:val="24"/>
              </w:rPr>
            </w:pPr>
            <w:r>
              <w:rPr>
                <w:rStyle w:val="Bodytext2Arial65pt"/>
                <w:rFonts w:cs="Times New Roman" w:ascii="Times New Roman" w:hAnsi="Times New Roman"/>
                <w:sz w:val="24"/>
                <w:szCs w:val="24"/>
              </w:rPr>
              <w:t>132</w:t>
            </w:r>
          </w:p>
        </w:tc>
      </w:tr>
      <w:tr>
        <w:trPr>
          <w:trHeight w:val="454" w:hRule="atLeast"/>
        </w:trPr>
        <w:tc>
          <w:tcPr>
            <w:tcW w:w="20973" w:type="dxa"/>
            <w:gridSpan w:val="8"/>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8ptBold"/>
                <w:rFonts w:cs="Times New Roman" w:ascii="Times New Roman" w:hAnsi="Times New Roman"/>
                <w:b w:val="false"/>
                <w:bCs w:val="false"/>
                <w:sz w:val="24"/>
                <w:szCs w:val="24"/>
              </w:rPr>
              <w:t>Марки, установленные на отм. 149,750 м ГТС станционного узла (здания ГАЭС, монтажной площадки, подпорных стен ПВ и ЛВ, ППТУ-4)</w:t>
            </w:r>
          </w:p>
        </w:tc>
      </w:tr>
      <w:tr>
        <w:trPr>
          <w:trHeight w:val="454" w:hRule="atLeast"/>
        </w:trPr>
        <w:tc>
          <w:tcPr>
            <w:tcW w:w="8167" w:type="dxa"/>
            <w:gridSpan w:val="3"/>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4</w:t>
            </w:r>
          </w:p>
        </w:tc>
        <w:tc>
          <w:tcPr>
            <w:tcW w:w="2310" w:type="dxa"/>
            <w:vMerge w:val="restart"/>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cs="Times New Roman"/>
                <w:sz w:val="24"/>
                <w:szCs w:val="24"/>
              </w:rPr>
            </w:pPr>
            <w:r>
              <w:rPr>
                <w:rStyle w:val="Bodytext2Arial65pt"/>
                <w:rFonts w:cs="Times New Roman" w:ascii="Times New Roman" w:hAnsi="Times New Roman"/>
                <w:sz w:val="24"/>
                <w:szCs w:val="24"/>
              </w:rPr>
              <w:t>27</w:t>
            </w:r>
          </w:p>
        </w:tc>
        <w:tc>
          <w:tcPr>
            <w:tcW w:w="8208" w:type="dxa"/>
            <w:gridSpan w:val="3"/>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Fonts w:ascii="Times New Roman" w:hAnsi="Times New Roman"/>
                <w:sz w:val="24"/>
                <w:szCs w:val="24"/>
              </w:rPr>
              <w:t>108</w:t>
            </w:r>
          </w:p>
        </w:tc>
        <w:tc>
          <w:tcPr>
            <w:tcW w:w="2288"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Всего</w:t>
            </w:r>
          </w:p>
        </w:tc>
      </w:tr>
      <w:tr>
        <w:trPr>
          <w:trHeight w:val="624" w:hRule="atLeast"/>
        </w:trPr>
        <w:tc>
          <w:tcPr>
            <w:tcW w:w="27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01.01 по 05.05*</w:t>
            </w:r>
          </w:p>
        </w:tc>
        <w:tc>
          <w:tcPr>
            <w:tcW w:w="2723"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05.05 по 20.10</w:t>
            </w:r>
          </w:p>
        </w:tc>
        <w:tc>
          <w:tcPr>
            <w:tcW w:w="27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20.10 по 31.12*</w:t>
            </w:r>
          </w:p>
        </w:tc>
        <w:tc>
          <w:tcPr>
            <w:tcW w:w="231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737"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01.01 по 05.05*</w:t>
            </w:r>
          </w:p>
        </w:tc>
        <w:tc>
          <w:tcPr>
            <w:tcW w:w="2738"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05.05 по 20.10</w:t>
            </w:r>
          </w:p>
        </w:tc>
        <w:tc>
          <w:tcPr>
            <w:tcW w:w="2733"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20.10 по 31.12*</w:t>
            </w:r>
          </w:p>
        </w:tc>
        <w:tc>
          <w:tcPr>
            <w:tcW w:w="2288"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pPr>
            <w:r>
              <w:rPr/>
            </w:r>
          </w:p>
        </w:tc>
      </w:tr>
      <w:tr>
        <w:trPr>
          <w:trHeight w:val="454" w:hRule="atLeast"/>
        </w:trPr>
        <w:tc>
          <w:tcPr>
            <w:tcW w:w="27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1</w:t>
            </w:r>
          </w:p>
        </w:tc>
        <w:tc>
          <w:tcPr>
            <w:tcW w:w="2723"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2</w:t>
            </w:r>
          </w:p>
        </w:tc>
        <w:tc>
          <w:tcPr>
            <w:tcW w:w="27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1</w:t>
            </w:r>
          </w:p>
        </w:tc>
        <w:tc>
          <w:tcPr>
            <w:tcW w:w="231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737"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27</w:t>
            </w:r>
          </w:p>
        </w:tc>
        <w:tc>
          <w:tcPr>
            <w:tcW w:w="2738"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Fonts w:ascii="Times New Roman" w:hAnsi="Times New Roman"/>
                <w:sz w:val="24"/>
                <w:szCs w:val="24"/>
              </w:rPr>
              <w:t>54</w:t>
            </w:r>
          </w:p>
        </w:tc>
        <w:tc>
          <w:tcPr>
            <w:tcW w:w="2733"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27</w:t>
            </w:r>
          </w:p>
        </w:tc>
        <w:tc>
          <w:tcPr>
            <w:tcW w:w="2288"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cs="Times New Roman"/>
                <w:sz w:val="24"/>
                <w:szCs w:val="24"/>
              </w:rPr>
            </w:pPr>
            <w:r>
              <w:rPr>
                <w:rStyle w:val="Bodytext2Arial65pt"/>
                <w:rFonts w:cs="Times New Roman" w:ascii="Times New Roman" w:hAnsi="Times New Roman"/>
                <w:sz w:val="24"/>
                <w:szCs w:val="24"/>
              </w:rPr>
              <w:t>108</w:t>
            </w:r>
          </w:p>
        </w:tc>
      </w:tr>
      <w:tr>
        <w:trPr>
          <w:trHeight w:val="454" w:hRule="atLeast"/>
        </w:trPr>
        <w:tc>
          <w:tcPr>
            <w:tcW w:w="20973" w:type="dxa"/>
            <w:gridSpan w:val="8"/>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8ptBold"/>
                <w:rFonts w:cs="Times New Roman" w:ascii="Times New Roman" w:hAnsi="Times New Roman"/>
                <w:b w:val="false"/>
                <w:bCs w:val="false"/>
                <w:sz w:val="24"/>
                <w:szCs w:val="24"/>
              </w:rPr>
              <w:t>Марки, установленные на отм. 149,750 м ГТС станционного узла в помещении машинного зала здания ГАЭС и монтажной площадки</w:t>
            </w:r>
          </w:p>
        </w:tc>
      </w:tr>
      <w:tr>
        <w:trPr>
          <w:trHeight w:val="454" w:hRule="atLeast"/>
        </w:trPr>
        <w:tc>
          <w:tcPr>
            <w:tcW w:w="8167" w:type="dxa"/>
            <w:gridSpan w:val="3"/>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4</w:t>
            </w:r>
          </w:p>
        </w:tc>
        <w:tc>
          <w:tcPr>
            <w:tcW w:w="2310" w:type="dxa"/>
            <w:vMerge w:val="restart"/>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cs="Times New Roman"/>
                <w:sz w:val="24"/>
                <w:szCs w:val="24"/>
              </w:rPr>
            </w:pPr>
            <w:r>
              <w:rPr>
                <w:rStyle w:val="Bodytext2Arial65pt"/>
                <w:rFonts w:cs="Times New Roman" w:ascii="Times New Roman" w:hAnsi="Times New Roman"/>
                <w:sz w:val="24"/>
                <w:szCs w:val="24"/>
              </w:rPr>
              <w:t>27</w:t>
            </w:r>
          </w:p>
        </w:tc>
        <w:tc>
          <w:tcPr>
            <w:tcW w:w="8208" w:type="dxa"/>
            <w:gridSpan w:val="3"/>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Fonts w:ascii="Times New Roman" w:hAnsi="Times New Roman"/>
                <w:sz w:val="24"/>
                <w:szCs w:val="24"/>
              </w:rPr>
              <w:t>108</w:t>
            </w:r>
          </w:p>
        </w:tc>
        <w:tc>
          <w:tcPr>
            <w:tcW w:w="2288" w:type="dxa"/>
            <w:vMerge w:val="restart"/>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Всего</w:t>
            </w:r>
          </w:p>
        </w:tc>
      </w:tr>
      <w:tr>
        <w:trPr>
          <w:trHeight w:val="624" w:hRule="atLeast"/>
        </w:trPr>
        <w:tc>
          <w:tcPr>
            <w:tcW w:w="2722"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01.01 по 05.05*</w:t>
            </w:r>
          </w:p>
        </w:tc>
        <w:tc>
          <w:tcPr>
            <w:tcW w:w="2723"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05.05 по 20.10</w:t>
            </w:r>
          </w:p>
        </w:tc>
        <w:tc>
          <w:tcPr>
            <w:tcW w:w="2722"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20.10 по 31.12*</w:t>
            </w:r>
          </w:p>
        </w:tc>
        <w:tc>
          <w:tcPr>
            <w:tcW w:w="231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737"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01.01 по 05.05*</w:t>
            </w:r>
          </w:p>
        </w:tc>
        <w:tc>
          <w:tcPr>
            <w:tcW w:w="2738"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05.05 по 20.10</w:t>
            </w:r>
          </w:p>
        </w:tc>
        <w:tc>
          <w:tcPr>
            <w:tcW w:w="2733"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20.10 по 31.12*</w:t>
            </w:r>
          </w:p>
        </w:tc>
        <w:tc>
          <w:tcPr>
            <w:tcW w:w="22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454" w:hRule="atLeast"/>
        </w:trPr>
        <w:tc>
          <w:tcPr>
            <w:tcW w:w="2722"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1</w:t>
            </w:r>
          </w:p>
        </w:tc>
        <w:tc>
          <w:tcPr>
            <w:tcW w:w="2723"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2</w:t>
            </w:r>
          </w:p>
        </w:tc>
        <w:tc>
          <w:tcPr>
            <w:tcW w:w="2722"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1</w:t>
            </w:r>
          </w:p>
        </w:tc>
        <w:tc>
          <w:tcPr>
            <w:tcW w:w="231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737"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27</w:t>
            </w:r>
          </w:p>
        </w:tc>
        <w:tc>
          <w:tcPr>
            <w:tcW w:w="2738"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Fonts w:ascii="Times New Roman" w:hAnsi="Times New Roman"/>
                <w:sz w:val="24"/>
                <w:szCs w:val="24"/>
              </w:rPr>
              <w:t>54</w:t>
            </w:r>
          </w:p>
        </w:tc>
        <w:tc>
          <w:tcPr>
            <w:tcW w:w="2733"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27</w:t>
            </w:r>
          </w:p>
        </w:tc>
        <w:tc>
          <w:tcPr>
            <w:tcW w:w="2288"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cs="Times New Roman"/>
                <w:sz w:val="24"/>
                <w:szCs w:val="24"/>
              </w:rPr>
            </w:pPr>
            <w:r>
              <w:rPr>
                <w:rStyle w:val="Bodytext2Arial65pt"/>
                <w:rFonts w:cs="Times New Roman" w:ascii="Times New Roman" w:hAnsi="Times New Roman"/>
                <w:sz w:val="24"/>
                <w:szCs w:val="24"/>
              </w:rPr>
              <w:t>108</w:t>
            </w:r>
          </w:p>
        </w:tc>
      </w:tr>
      <w:tr>
        <w:trPr>
          <w:trHeight w:val="454" w:hRule="atLeast"/>
        </w:trPr>
        <w:tc>
          <w:tcPr>
            <w:tcW w:w="20973" w:type="dxa"/>
            <w:gridSpan w:val="8"/>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8ptBold"/>
                <w:rFonts w:cs="Times New Roman" w:ascii="Times New Roman" w:hAnsi="Times New Roman"/>
                <w:b w:val="false"/>
                <w:bCs w:val="false"/>
                <w:sz w:val="24"/>
                <w:szCs w:val="24"/>
              </w:rPr>
              <w:t>Марки, установленные в служебно-производственном корпусе</w:t>
            </w:r>
          </w:p>
        </w:tc>
      </w:tr>
      <w:tr>
        <w:trPr>
          <w:trHeight w:val="454" w:hRule="atLeast"/>
        </w:trPr>
        <w:tc>
          <w:tcPr>
            <w:tcW w:w="8167" w:type="dxa"/>
            <w:gridSpan w:val="3"/>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4</w:t>
            </w:r>
          </w:p>
        </w:tc>
        <w:tc>
          <w:tcPr>
            <w:tcW w:w="2310" w:type="dxa"/>
            <w:vMerge w:val="restart"/>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cs="Times New Roman"/>
                <w:sz w:val="24"/>
                <w:szCs w:val="24"/>
              </w:rPr>
            </w:pPr>
            <w:r>
              <w:rPr>
                <w:rStyle w:val="Bodytext2Arial65pt"/>
                <w:rFonts w:cs="Times New Roman" w:ascii="Times New Roman" w:hAnsi="Times New Roman"/>
                <w:sz w:val="24"/>
                <w:szCs w:val="24"/>
              </w:rPr>
              <w:t>26</w:t>
            </w:r>
          </w:p>
        </w:tc>
        <w:tc>
          <w:tcPr>
            <w:tcW w:w="8208" w:type="dxa"/>
            <w:gridSpan w:val="3"/>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Fonts w:ascii="Times New Roman" w:hAnsi="Times New Roman"/>
                <w:sz w:val="24"/>
                <w:szCs w:val="24"/>
              </w:rPr>
              <w:t>104</w:t>
            </w:r>
          </w:p>
        </w:tc>
        <w:tc>
          <w:tcPr>
            <w:tcW w:w="2288" w:type="dxa"/>
            <w:vMerge w:val="restart"/>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Всего</w:t>
            </w:r>
          </w:p>
        </w:tc>
      </w:tr>
      <w:tr>
        <w:trPr>
          <w:trHeight w:val="624" w:hRule="atLeast"/>
        </w:trPr>
        <w:tc>
          <w:tcPr>
            <w:tcW w:w="2722"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01.01 по 05.05*</w:t>
            </w:r>
          </w:p>
        </w:tc>
        <w:tc>
          <w:tcPr>
            <w:tcW w:w="2723"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05.05 по 20.10</w:t>
            </w:r>
          </w:p>
        </w:tc>
        <w:tc>
          <w:tcPr>
            <w:tcW w:w="2722"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20.10 по 31.12*</w:t>
            </w:r>
          </w:p>
        </w:tc>
        <w:tc>
          <w:tcPr>
            <w:tcW w:w="231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737"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01.01 по 05.05*</w:t>
            </w:r>
          </w:p>
        </w:tc>
        <w:tc>
          <w:tcPr>
            <w:tcW w:w="2738"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05.05 по 20.10</w:t>
            </w:r>
          </w:p>
        </w:tc>
        <w:tc>
          <w:tcPr>
            <w:tcW w:w="2733"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20.10 по 31.12*</w:t>
            </w:r>
          </w:p>
        </w:tc>
        <w:tc>
          <w:tcPr>
            <w:tcW w:w="22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454" w:hRule="atLeast"/>
        </w:trPr>
        <w:tc>
          <w:tcPr>
            <w:tcW w:w="2722"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1</w:t>
            </w:r>
          </w:p>
        </w:tc>
        <w:tc>
          <w:tcPr>
            <w:tcW w:w="2723"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2</w:t>
            </w:r>
          </w:p>
        </w:tc>
        <w:tc>
          <w:tcPr>
            <w:tcW w:w="2722"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1</w:t>
            </w:r>
          </w:p>
        </w:tc>
        <w:tc>
          <w:tcPr>
            <w:tcW w:w="231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737"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26</w:t>
            </w:r>
          </w:p>
        </w:tc>
        <w:tc>
          <w:tcPr>
            <w:tcW w:w="2738"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Fonts w:ascii="Times New Roman" w:hAnsi="Times New Roman"/>
                <w:sz w:val="24"/>
                <w:szCs w:val="24"/>
              </w:rPr>
              <w:t>52</w:t>
            </w:r>
          </w:p>
        </w:tc>
        <w:tc>
          <w:tcPr>
            <w:tcW w:w="2733"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26</w:t>
            </w:r>
          </w:p>
        </w:tc>
        <w:tc>
          <w:tcPr>
            <w:tcW w:w="2288"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cs="Times New Roman"/>
                <w:sz w:val="24"/>
                <w:szCs w:val="24"/>
              </w:rPr>
            </w:pPr>
            <w:r>
              <w:rPr>
                <w:rStyle w:val="Bodytext2Arial65pt"/>
                <w:rFonts w:cs="Times New Roman" w:ascii="Times New Roman" w:hAnsi="Times New Roman"/>
                <w:sz w:val="24"/>
                <w:szCs w:val="24"/>
              </w:rPr>
              <w:t>104</w:t>
            </w:r>
          </w:p>
        </w:tc>
      </w:tr>
      <w:tr>
        <w:trPr>
          <w:trHeight w:val="454" w:hRule="atLeast"/>
        </w:trPr>
        <w:tc>
          <w:tcPr>
            <w:tcW w:w="20973" w:type="dxa"/>
            <w:gridSpan w:val="8"/>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8ptBold"/>
                <w:rFonts w:cs="Times New Roman" w:ascii="Times New Roman" w:hAnsi="Times New Roman"/>
                <w:b w:val="false"/>
                <w:bCs w:val="false"/>
                <w:sz w:val="24"/>
                <w:szCs w:val="24"/>
              </w:rPr>
              <w:t>Марки, установленные на отм. 142,000 м здания ГАЭС</w:t>
            </w:r>
          </w:p>
        </w:tc>
      </w:tr>
      <w:tr>
        <w:trPr>
          <w:trHeight w:val="454" w:hRule="atLeast"/>
        </w:trPr>
        <w:tc>
          <w:tcPr>
            <w:tcW w:w="8167" w:type="dxa"/>
            <w:gridSpan w:val="3"/>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4</w:t>
            </w:r>
          </w:p>
        </w:tc>
        <w:tc>
          <w:tcPr>
            <w:tcW w:w="2310" w:type="dxa"/>
            <w:vMerge w:val="restart"/>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cs="Times New Roman"/>
                <w:sz w:val="24"/>
                <w:szCs w:val="24"/>
              </w:rPr>
            </w:pPr>
            <w:r>
              <w:rPr>
                <w:rStyle w:val="Bodytext2Arial65pt"/>
                <w:rFonts w:cs="Times New Roman" w:ascii="Times New Roman" w:hAnsi="Times New Roman"/>
                <w:sz w:val="24"/>
                <w:szCs w:val="24"/>
              </w:rPr>
              <w:t>20</w:t>
            </w:r>
          </w:p>
        </w:tc>
        <w:tc>
          <w:tcPr>
            <w:tcW w:w="8208" w:type="dxa"/>
            <w:gridSpan w:val="3"/>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Fonts w:ascii="Times New Roman" w:hAnsi="Times New Roman"/>
                <w:sz w:val="24"/>
                <w:szCs w:val="24"/>
              </w:rPr>
              <w:t>80</w:t>
            </w:r>
          </w:p>
        </w:tc>
        <w:tc>
          <w:tcPr>
            <w:tcW w:w="2288" w:type="dxa"/>
            <w:vMerge w:val="restart"/>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Всего</w:t>
            </w:r>
          </w:p>
        </w:tc>
      </w:tr>
      <w:tr>
        <w:trPr>
          <w:trHeight w:val="624" w:hRule="atLeast"/>
        </w:trPr>
        <w:tc>
          <w:tcPr>
            <w:tcW w:w="27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01.01 по 05.05*</w:t>
            </w:r>
          </w:p>
        </w:tc>
        <w:tc>
          <w:tcPr>
            <w:tcW w:w="2723"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05.05 по 20.10</w:t>
            </w:r>
          </w:p>
        </w:tc>
        <w:tc>
          <w:tcPr>
            <w:tcW w:w="2722"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20.10 по 31.12*</w:t>
            </w:r>
          </w:p>
        </w:tc>
        <w:tc>
          <w:tcPr>
            <w:tcW w:w="231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737"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01.01 по 05.05*</w:t>
            </w:r>
          </w:p>
        </w:tc>
        <w:tc>
          <w:tcPr>
            <w:tcW w:w="2738"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05.05 по 20.10</w:t>
            </w:r>
          </w:p>
        </w:tc>
        <w:tc>
          <w:tcPr>
            <w:tcW w:w="2733"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20.10 по 31.12*</w:t>
            </w:r>
          </w:p>
        </w:tc>
        <w:tc>
          <w:tcPr>
            <w:tcW w:w="22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454" w:hRule="atLeast"/>
        </w:trPr>
        <w:tc>
          <w:tcPr>
            <w:tcW w:w="27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1</w:t>
            </w:r>
          </w:p>
        </w:tc>
        <w:tc>
          <w:tcPr>
            <w:tcW w:w="2723"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2</w:t>
            </w:r>
          </w:p>
        </w:tc>
        <w:tc>
          <w:tcPr>
            <w:tcW w:w="2722"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1</w:t>
            </w:r>
          </w:p>
        </w:tc>
        <w:tc>
          <w:tcPr>
            <w:tcW w:w="231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737"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20</w:t>
            </w:r>
          </w:p>
        </w:tc>
        <w:tc>
          <w:tcPr>
            <w:tcW w:w="2738"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Fonts w:ascii="Times New Roman" w:hAnsi="Times New Roman"/>
                <w:sz w:val="24"/>
                <w:szCs w:val="24"/>
              </w:rPr>
              <w:t>40</w:t>
            </w:r>
          </w:p>
        </w:tc>
        <w:tc>
          <w:tcPr>
            <w:tcW w:w="2733"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20</w:t>
            </w:r>
          </w:p>
        </w:tc>
        <w:tc>
          <w:tcPr>
            <w:tcW w:w="2288"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cs="Times New Roman"/>
                <w:sz w:val="24"/>
                <w:szCs w:val="24"/>
              </w:rPr>
            </w:pPr>
            <w:r>
              <w:rPr>
                <w:rStyle w:val="Bodytext2Arial65pt"/>
                <w:rFonts w:cs="Times New Roman" w:ascii="Times New Roman" w:hAnsi="Times New Roman"/>
                <w:sz w:val="24"/>
                <w:szCs w:val="24"/>
              </w:rPr>
              <w:t>80</w:t>
            </w:r>
          </w:p>
        </w:tc>
      </w:tr>
      <w:tr>
        <w:trPr>
          <w:trHeight w:val="454" w:hRule="atLeast"/>
        </w:trPr>
        <w:tc>
          <w:tcPr>
            <w:tcW w:w="20973" w:type="dxa"/>
            <w:gridSpan w:val="8"/>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8ptBold"/>
                <w:rFonts w:cs="Times New Roman" w:ascii="Times New Roman" w:hAnsi="Times New Roman"/>
                <w:b w:val="false"/>
                <w:bCs w:val="false"/>
                <w:sz w:val="24"/>
                <w:szCs w:val="24"/>
              </w:rPr>
              <w:t>Марки, установленные на отм. 125,000 м здания ГАЭС</w:t>
            </w:r>
          </w:p>
        </w:tc>
      </w:tr>
      <w:tr>
        <w:trPr>
          <w:trHeight w:val="454" w:hRule="atLeast"/>
        </w:trPr>
        <w:tc>
          <w:tcPr>
            <w:tcW w:w="8167" w:type="dxa"/>
            <w:gridSpan w:val="3"/>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4</w:t>
            </w:r>
          </w:p>
        </w:tc>
        <w:tc>
          <w:tcPr>
            <w:tcW w:w="2310" w:type="dxa"/>
            <w:vMerge w:val="restart"/>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cs="Times New Roman"/>
                <w:sz w:val="24"/>
                <w:szCs w:val="24"/>
              </w:rPr>
            </w:pPr>
            <w:r>
              <w:rPr>
                <w:rStyle w:val="Bodytext2Arial65pt"/>
                <w:rFonts w:cs="Times New Roman" w:ascii="Times New Roman" w:hAnsi="Times New Roman"/>
                <w:sz w:val="24"/>
                <w:szCs w:val="24"/>
              </w:rPr>
              <w:t>30</w:t>
            </w:r>
          </w:p>
        </w:tc>
        <w:tc>
          <w:tcPr>
            <w:tcW w:w="8208" w:type="dxa"/>
            <w:gridSpan w:val="3"/>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Fonts w:ascii="Times New Roman" w:hAnsi="Times New Roman"/>
                <w:sz w:val="24"/>
                <w:szCs w:val="24"/>
              </w:rPr>
              <w:t>120</w:t>
            </w:r>
          </w:p>
        </w:tc>
        <w:tc>
          <w:tcPr>
            <w:tcW w:w="2288" w:type="dxa"/>
            <w:vMerge w:val="restart"/>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Всего</w:t>
            </w:r>
          </w:p>
        </w:tc>
      </w:tr>
      <w:tr>
        <w:trPr>
          <w:trHeight w:val="624" w:hRule="atLeast"/>
        </w:trPr>
        <w:tc>
          <w:tcPr>
            <w:tcW w:w="27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01.01 по 05.05*</w:t>
            </w:r>
          </w:p>
        </w:tc>
        <w:tc>
          <w:tcPr>
            <w:tcW w:w="2723"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05.05 по 20.10</w:t>
            </w:r>
          </w:p>
        </w:tc>
        <w:tc>
          <w:tcPr>
            <w:tcW w:w="2722"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20.10 по 31.12*</w:t>
            </w:r>
          </w:p>
        </w:tc>
        <w:tc>
          <w:tcPr>
            <w:tcW w:w="231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737"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01.01 по 05.05*</w:t>
            </w:r>
          </w:p>
        </w:tc>
        <w:tc>
          <w:tcPr>
            <w:tcW w:w="2738"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05.05 по 20.10</w:t>
            </w:r>
          </w:p>
        </w:tc>
        <w:tc>
          <w:tcPr>
            <w:tcW w:w="2733"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20.10 по 31.12*</w:t>
            </w:r>
          </w:p>
        </w:tc>
        <w:tc>
          <w:tcPr>
            <w:tcW w:w="22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454" w:hRule="atLeast"/>
        </w:trPr>
        <w:tc>
          <w:tcPr>
            <w:tcW w:w="27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1</w:t>
            </w:r>
          </w:p>
        </w:tc>
        <w:tc>
          <w:tcPr>
            <w:tcW w:w="2723"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2</w:t>
            </w:r>
          </w:p>
        </w:tc>
        <w:tc>
          <w:tcPr>
            <w:tcW w:w="2722"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1</w:t>
            </w:r>
          </w:p>
        </w:tc>
        <w:tc>
          <w:tcPr>
            <w:tcW w:w="231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737"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Fonts w:ascii="Times New Roman" w:hAnsi="Times New Roman"/>
                <w:sz w:val="24"/>
                <w:szCs w:val="24"/>
              </w:rPr>
              <w:t>30</w:t>
            </w:r>
          </w:p>
        </w:tc>
        <w:tc>
          <w:tcPr>
            <w:tcW w:w="2738"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Fonts w:ascii="Times New Roman" w:hAnsi="Times New Roman"/>
                <w:sz w:val="24"/>
                <w:szCs w:val="24"/>
              </w:rPr>
              <w:t>60</w:t>
            </w:r>
          </w:p>
        </w:tc>
        <w:tc>
          <w:tcPr>
            <w:tcW w:w="2733"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Fonts w:ascii="Times New Roman" w:hAnsi="Times New Roman"/>
                <w:sz w:val="24"/>
                <w:szCs w:val="24"/>
              </w:rPr>
              <w:t>30</w:t>
            </w:r>
          </w:p>
        </w:tc>
        <w:tc>
          <w:tcPr>
            <w:tcW w:w="2288"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cs="Times New Roman"/>
                <w:sz w:val="24"/>
                <w:szCs w:val="24"/>
              </w:rPr>
            </w:pPr>
            <w:r>
              <w:rPr>
                <w:rStyle w:val="Bodytext2Arial65pt"/>
                <w:rFonts w:cs="Times New Roman" w:ascii="Times New Roman" w:hAnsi="Times New Roman"/>
                <w:sz w:val="24"/>
                <w:szCs w:val="24"/>
              </w:rPr>
              <w:t>120</w:t>
            </w:r>
          </w:p>
        </w:tc>
      </w:tr>
      <w:tr>
        <w:trPr>
          <w:trHeight w:val="454" w:hRule="atLeast"/>
        </w:trPr>
        <w:tc>
          <w:tcPr>
            <w:tcW w:w="20973" w:type="dxa"/>
            <w:gridSpan w:val="8"/>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8ptBold"/>
                <w:rFonts w:cs="Times New Roman" w:ascii="Times New Roman" w:hAnsi="Times New Roman"/>
                <w:b w:val="false"/>
                <w:bCs w:val="false"/>
                <w:sz w:val="24"/>
                <w:szCs w:val="24"/>
              </w:rPr>
              <w:t>Марки, установленные на ПС-8</w:t>
            </w:r>
          </w:p>
        </w:tc>
      </w:tr>
      <w:tr>
        <w:trPr>
          <w:trHeight w:val="454" w:hRule="atLeast"/>
        </w:trPr>
        <w:tc>
          <w:tcPr>
            <w:tcW w:w="8167" w:type="dxa"/>
            <w:gridSpan w:val="3"/>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4</w:t>
            </w:r>
          </w:p>
        </w:tc>
        <w:tc>
          <w:tcPr>
            <w:tcW w:w="2310" w:type="dxa"/>
            <w:vMerge w:val="restart"/>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cs="Times New Roman"/>
                <w:sz w:val="24"/>
                <w:szCs w:val="24"/>
              </w:rPr>
            </w:pPr>
            <w:r>
              <w:rPr>
                <w:rStyle w:val="Bodytext2Arial65pt"/>
                <w:rFonts w:cs="Times New Roman" w:ascii="Times New Roman" w:hAnsi="Times New Roman"/>
                <w:sz w:val="24"/>
                <w:szCs w:val="24"/>
              </w:rPr>
              <w:t>30</w:t>
            </w:r>
          </w:p>
        </w:tc>
        <w:tc>
          <w:tcPr>
            <w:tcW w:w="8208" w:type="dxa"/>
            <w:gridSpan w:val="3"/>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Fonts w:ascii="Times New Roman" w:hAnsi="Times New Roman"/>
                <w:sz w:val="24"/>
                <w:szCs w:val="24"/>
              </w:rPr>
              <w:t>120</w:t>
            </w:r>
          </w:p>
        </w:tc>
        <w:tc>
          <w:tcPr>
            <w:tcW w:w="2288" w:type="dxa"/>
            <w:vMerge w:val="restart"/>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Всего</w:t>
            </w:r>
          </w:p>
        </w:tc>
      </w:tr>
      <w:tr>
        <w:trPr>
          <w:trHeight w:val="624" w:hRule="atLeast"/>
        </w:trPr>
        <w:tc>
          <w:tcPr>
            <w:tcW w:w="27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01.01 по 05.05*</w:t>
            </w:r>
          </w:p>
        </w:tc>
        <w:tc>
          <w:tcPr>
            <w:tcW w:w="2723"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05.05 по 20.10</w:t>
            </w:r>
          </w:p>
        </w:tc>
        <w:tc>
          <w:tcPr>
            <w:tcW w:w="27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20.10 по 31.12*</w:t>
            </w:r>
          </w:p>
        </w:tc>
        <w:tc>
          <w:tcPr>
            <w:tcW w:w="231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737"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01.01 по 05.05*</w:t>
            </w:r>
          </w:p>
        </w:tc>
        <w:tc>
          <w:tcPr>
            <w:tcW w:w="2738"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05.05 по 20.10</w:t>
            </w:r>
          </w:p>
        </w:tc>
        <w:tc>
          <w:tcPr>
            <w:tcW w:w="2733"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в т.ч. в период с 20.10 по 31.12*</w:t>
            </w:r>
          </w:p>
        </w:tc>
        <w:tc>
          <w:tcPr>
            <w:tcW w:w="22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454" w:hRule="atLeast"/>
        </w:trPr>
        <w:tc>
          <w:tcPr>
            <w:tcW w:w="27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1</w:t>
            </w:r>
          </w:p>
        </w:tc>
        <w:tc>
          <w:tcPr>
            <w:tcW w:w="2723"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2</w:t>
            </w:r>
          </w:p>
        </w:tc>
        <w:tc>
          <w:tcPr>
            <w:tcW w:w="272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spacing w:lineRule="atLeast" w:line="18"/>
              <w:jc w:val="center"/>
              <w:rPr>
                <w:rFonts w:ascii="Times New Roman" w:hAnsi="Times New Roman"/>
                <w:sz w:val="24"/>
                <w:szCs w:val="24"/>
              </w:rPr>
            </w:pPr>
            <w:r>
              <w:rPr>
                <w:rStyle w:val="Bodytext2Arial65pt"/>
                <w:rFonts w:cs="Times New Roman" w:ascii="Times New Roman" w:hAnsi="Times New Roman"/>
                <w:sz w:val="24"/>
                <w:szCs w:val="24"/>
              </w:rPr>
              <w:t>1</w:t>
            </w:r>
          </w:p>
        </w:tc>
        <w:tc>
          <w:tcPr>
            <w:tcW w:w="231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737"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Fonts w:ascii="Times New Roman" w:hAnsi="Times New Roman"/>
                <w:sz w:val="24"/>
                <w:szCs w:val="24"/>
              </w:rPr>
              <w:t>30</w:t>
            </w:r>
          </w:p>
        </w:tc>
        <w:tc>
          <w:tcPr>
            <w:tcW w:w="2738"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Fonts w:ascii="Times New Roman" w:hAnsi="Times New Roman"/>
                <w:sz w:val="24"/>
                <w:szCs w:val="24"/>
              </w:rPr>
              <w:t>60</w:t>
            </w:r>
          </w:p>
        </w:tc>
        <w:tc>
          <w:tcPr>
            <w:tcW w:w="2733"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sz w:val="24"/>
                <w:szCs w:val="24"/>
              </w:rPr>
            </w:pPr>
            <w:r>
              <w:rPr>
                <w:rFonts w:ascii="Times New Roman" w:hAnsi="Times New Roman"/>
                <w:sz w:val="24"/>
                <w:szCs w:val="24"/>
              </w:rPr>
              <w:t>30</w:t>
            </w:r>
          </w:p>
        </w:tc>
        <w:tc>
          <w:tcPr>
            <w:tcW w:w="2288"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spacing w:lineRule="atLeast" w:line="18"/>
              <w:jc w:val="center"/>
              <w:rPr>
                <w:rFonts w:ascii="Times New Roman" w:hAnsi="Times New Roman" w:cs="Times New Roman"/>
                <w:sz w:val="24"/>
                <w:szCs w:val="24"/>
              </w:rPr>
            </w:pPr>
            <w:r>
              <w:rPr>
                <w:rStyle w:val="Bodytext2Arial65pt"/>
                <w:rFonts w:cs="Times New Roman" w:ascii="Times New Roman" w:hAnsi="Times New Roman"/>
                <w:sz w:val="24"/>
                <w:szCs w:val="24"/>
              </w:rPr>
              <w:t>120</w:t>
            </w:r>
          </w:p>
        </w:tc>
      </w:tr>
      <w:tr>
        <w:trPr>
          <w:trHeight w:val="357" w:hRule="atLeast"/>
        </w:trPr>
        <w:tc>
          <w:tcPr>
            <w:tcW w:w="20973" w:type="dxa"/>
            <w:gridSpan w:val="8"/>
            <w:tcBorders>
              <w:top w:val="single" w:sz="4" w:space="0" w:color="000000"/>
              <w:left w:val="single" w:sz="4" w:space="0" w:color="000000"/>
              <w:bottom w:val="single" w:sz="4" w:space="0" w:color="000000"/>
              <w:right w:val="single" w:sz="4" w:space="0" w:color="000000"/>
            </w:tcBorders>
          </w:tcPr>
          <w:p>
            <w:pPr>
              <w:pStyle w:val="Bodytext22"/>
              <w:widowControl w:val="false"/>
              <w:shd w:val="clear" w:fill="auto"/>
              <w:jc w:val="center"/>
              <w:rPr>
                <w:rFonts w:ascii="Times New Roman" w:hAnsi="Times New Roman" w:cs="Times New Roman"/>
                <w:sz w:val="24"/>
                <w:szCs w:val="24"/>
              </w:rPr>
            </w:pPr>
            <w:r>
              <w:rPr>
                <w:rStyle w:val="Bodytext2Arial8ptBold"/>
                <w:rFonts w:cs="Times New Roman" w:ascii="Times New Roman" w:hAnsi="Times New Roman"/>
                <w:b w:val="false"/>
                <w:bCs w:val="false"/>
                <w:sz w:val="24"/>
                <w:szCs w:val="24"/>
              </w:rPr>
              <w:t>Марки, установленные на прилегающей территории ГТС станционного узла</w:t>
            </w:r>
          </w:p>
        </w:tc>
      </w:tr>
      <w:tr>
        <w:trPr>
          <w:trHeight w:val="264" w:hRule="atLeast"/>
        </w:trPr>
        <w:tc>
          <w:tcPr>
            <w:tcW w:w="8167" w:type="dxa"/>
            <w:gridSpan w:val="3"/>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cs="Times New Roman"/>
                <w:sz w:val="24"/>
                <w:szCs w:val="24"/>
              </w:rPr>
            </w:pPr>
            <w:r>
              <w:rPr>
                <w:rStyle w:val="Bodytext2Arial65pt"/>
                <w:rFonts w:cs="Times New Roman" w:ascii="Times New Roman" w:hAnsi="Times New Roman"/>
                <w:sz w:val="24"/>
                <w:szCs w:val="24"/>
              </w:rPr>
              <w:t>4</w:t>
            </w:r>
          </w:p>
        </w:tc>
        <w:tc>
          <w:tcPr>
            <w:tcW w:w="2310" w:type="dxa"/>
            <w:tcBorders>
              <w:left w:val="single" w:sz="4" w:space="0" w:color="000000"/>
              <w:bottom w:val="single" w:sz="4" w:space="0" w:color="000000"/>
            </w:tcBorders>
            <w:shd w:fill="FFFFFF" w:val="clear"/>
            <w:vAlign w:val="center"/>
          </w:tcPr>
          <w:p>
            <w:pPr>
              <w:pStyle w:val="Normal"/>
              <w:widowControl w:val="false"/>
              <w:spacing w:lineRule="auto" w:line="240"/>
              <w:ind w:left="0" w:right="0" w:hanging="0"/>
              <w:jc w:val="center"/>
              <w:rPr>
                <w:rFonts w:ascii="Times New Roman" w:hAnsi="Times New Roman" w:cs="Times New Roman"/>
                <w:sz w:val="24"/>
                <w:szCs w:val="24"/>
              </w:rPr>
            </w:pPr>
            <w:r>
              <w:rPr>
                <w:rStyle w:val="Bodytext2Arial65pt"/>
                <w:rFonts w:cs="Times New Roman" w:ascii="Times New Roman" w:hAnsi="Times New Roman"/>
                <w:sz w:val="24"/>
                <w:szCs w:val="24"/>
              </w:rPr>
              <w:t>Всего</w:t>
            </w:r>
          </w:p>
        </w:tc>
        <w:tc>
          <w:tcPr>
            <w:tcW w:w="8208" w:type="dxa"/>
            <w:gridSpan w:val="3"/>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cs="Times New Roman"/>
                <w:sz w:val="24"/>
                <w:szCs w:val="24"/>
              </w:rPr>
            </w:pPr>
            <w:r>
              <w:rPr>
                <w:rStyle w:val="Bodytext2Arial65pt"/>
                <w:rFonts w:cs="Times New Roman" w:ascii="Times New Roman" w:hAnsi="Times New Roman"/>
                <w:sz w:val="24"/>
                <w:szCs w:val="24"/>
              </w:rPr>
              <w:t>100</w:t>
            </w:r>
          </w:p>
        </w:tc>
        <w:tc>
          <w:tcPr>
            <w:tcW w:w="2288"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jc w:val="center"/>
              <w:rPr>
                <w:rFonts w:ascii="Times New Roman" w:hAnsi="Times New Roman"/>
                <w:sz w:val="24"/>
                <w:szCs w:val="24"/>
              </w:rPr>
            </w:pPr>
            <w:r>
              <w:rPr>
                <w:rFonts w:ascii="Times New Roman" w:hAnsi="Times New Roman"/>
                <w:sz w:val="24"/>
                <w:szCs w:val="24"/>
              </w:rPr>
            </w:r>
          </w:p>
        </w:tc>
      </w:tr>
      <w:tr>
        <w:trPr>
          <w:trHeight w:val="573" w:hRule="atLeast"/>
        </w:trPr>
        <w:tc>
          <w:tcPr>
            <w:tcW w:w="2722" w:type="dxa"/>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cs="Times New Roman"/>
                <w:sz w:val="24"/>
                <w:szCs w:val="24"/>
              </w:rPr>
            </w:pPr>
            <w:r>
              <w:rPr>
                <w:rStyle w:val="Bodytext2Arial65pt"/>
                <w:rFonts w:cs="Times New Roman" w:ascii="Times New Roman" w:hAnsi="Times New Roman"/>
                <w:sz w:val="24"/>
                <w:szCs w:val="24"/>
              </w:rPr>
              <w:t>в т.ч. в период с 01.01 по 05.05*</w:t>
            </w:r>
          </w:p>
        </w:tc>
        <w:tc>
          <w:tcPr>
            <w:tcW w:w="2723" w:type="dxa"/>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cs="Times New Roman"/>
                <w:sz w:val="24"/>
                <w:szCs w:val="24"/>
              </w:rPr>
            </w:pPr>
            <w:r>
              <w:rPr>
                <w:rStyle w:val="Bodytext2Arial65pt"/>
                <w:rFonts w:cs="Times New Roman" w:ascii="Times New Roman" w:hAnsi="Times New Roman"/>
                <w:sz w:val="24"/>
                <w:szCs w:val="24"/>
              </w:rPr>
              <w:t>в т.ч. в период с 05.05 по 20.10</w:t>
            </w:r>
          </w:p>
        </w:tc>
        <w:tc>
          <w:tcPr>
            <w:tcW w:w="2722" w:type="dxa"/>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cs="Times New Roman"/>
                <w:sz w:val="24"/>
                <w:szCs w:val="24"/>
              </w:rPr>
            </w:pPr>
            <w:r>
              <w:rPr>
                <w:rStyle w:val="Bodytext2Arial65pt"/>
                <w:rFonts w:cs="Times New Roman" w:ascii="Times New Roman" w:hAnsi="Times New Roman"/>
                <w:sz w:val="24"/>
                <w:szCs w:val="24"/>
              </w:rPr>
              <w:t>в т.ч. в период с 20.10 по 31.12*</w:t>
            </w:r>
          </w:p>
        </w:tc>
        <w:tc>
          <w:tcPr>
            <w:tcW w:w="2310" w:type="dxa"/>
            <w:vMerge w:val="restart"/>
            <w:tcBorders>
              <w:left w:val="single" w:sz="4" w:space="0" w:color="000000"/>
              <w:bottom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Style w:val="Bodytext2Arial65pt"/>
                <w:rFonts w:cs="Times New Roman" w:ascii="Times New Roman" w:hAnsi="Times New Roman"/>
                <w:sz w:val="24"/>
                <w:szCs w:val="24"/>
              </w:rPr>
              <w:t>83</w:t>
            </w:r>
          </w:p>
        </w:tc>
        <w:tc>
          <w:tcPr>
            <w:tcW w:w="2737" w:type="dxa"/>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cs="Times New Roman"/>
                <w:sz w:val="24"/>
                <w:szCs w:val="24"/>
              </w:rPr>
            </w:pPr>
            <w:r>
              <w:rPr>
                <w:rStyle w:val="Bodytext2Arial65pt"/>
                <w:rFonts w:cs="Times New Roman" w:ascii="Times New Roman" w:hAnsi="Times New Roman"/>
                <w:sz w:val="24"/>
                <w:szCs w:val="24"/>
              </w:rPr>
              <w:t>в т.ч. в период с 01.01 по 05.05*</w:t>
            </w:r>
          </w:p>
        </w:tc>
        <w:tc>
          <w:tcPr>
            <w:tcW w:w="2738" w:type="dxa"/>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cs="Times New Roman"/>
                <w:sz w:val="24"/>
                <w:szCs w:val="24"/>
              </w:rPr>
            </w:pPr>
            <w:r>
              <w:rPr>
                <w:rStyle w:val="Bodytext2Arial65pt"/>
                <w:rFonts w:cs="Times New Roman" w:ascii="Times New Roman" w:hAnsi="Times New Roman"/>
                <w:sz w:val="24"/>
                <w:szCs w:val="24"/>
              </w:rPr>
              <w:t>в т.ч. в период с 05.05 по 20.10</w:t>
            </w:r>
          </w:p>
        </w:tc>
        <w:tc>
          <w:tcPr>
            <w:tcW w:w="2733" w:type="dxa"/>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cs="Times New Roman"/>
                <w:sz w:val="24"/>
                <w:szCs w:val="24"/>
              </w:rPr>
            </w:pPr>
            <w:r>
              <w:rPr>
                <w:rStyle w:val="Bodytext2Arial65pt"/>
                <w:rFonts w:cs="Times New Roman" w:ascii="Times New Roman" w:hAnsi="Times New Roman"/>
                <w:sz w:val="24"/>
                <w:szCs w:val="24"/>
              </w:rPr>
              <w:t>в т.ч. в период с 20.10 по 31.12*</w:t>
            </w:r>
          </w:p>
        </w:tc>
        <w:tc>
          <w:tcPr>
            <w:tcW w:w="2288"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jc w:val="center"/>
              <w:rPr>
                <w:rFonts w:ascii="Times New Roman" w:hAnsi="Times New Roman"/>
                <w:sz w:val="24"/>
                <w:szCs w:val="24"/>
              </w:rPr>
            </w:pPr>
            <w:r>
              <w:rPr>
                <w:rStyle w:val="Bodytext2Arial65pt"/>
                <w:rFonts w:cs="Times New Roman" w:ascii="Times New Roman" w:hAnsi="Times New Roman"/>
                <w:sz w:val="24"/>
                <w:szCs w:val="24"/>
              </w:rPr>
              <w:t>Всего</w:t>
            </w:r>
          </w:p>
        </w:tc>
      </w:tr>
      <w:tr>
        <w:trPr>
          <w:trHeight w:val="573" w:hRule="atLeast"/>
        </w:trPr>
        <w:tc>
          <w:tcPr>
            <w:tcW w:w="2722" w:type="dxa"/>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cs="Times New Roman"/>
                <w:sz w:val="24"/>
                <w:szCs w:val="24"/>
              </w:rPr>
            </w:pPr>
            <w:r>
              <w:rPr>
                <w:rFonts w:ascii="Times New Roman" w:hAnsi="Times New Roman"/>
                <w:sz w:val="24"/>
                <w:szCs w:val="24"/>
              </w:rPr>
              <w:t>1</w:t>
            </w:r>
          </w:p>
        </w:tc>
        <w:tc>
          <w:tcPr>
            <w:tcW w:w="2723" w:type="dxa"/>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cs="Times New Roman"/>
                <w:sz w:val="24"/>
                <w:szCs w:val="24"/>
              </w:rPr>
            </w:pPr>
            <w:r>
              <w:rPr>
                <w:rFonts w:ascii="Times New Roman" w:hAnsi="Times New Roman"/>
                <w:sz w:val="24"/>
                <w:szCs w:val="24"/>
              </w:rPr>
              <w:t>2</w:t>
            </w:r>
          </w:p>
        </w:tc>
        <w:tc>
          <w:tcPr>
            <w:tcW w:w="2722" w:type="dxa"/>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cs="Times New Roman"/>
                <w:sz w:val="24"/>
                <w:szCs w:val="24"/>
              </w:rPr>
            </w:pPr>
            <w:r>
              <w:rPr>
                <w:rStyle w:val="Bodytext2Arial65pt"/>
                <w:rFonts w:cs="Times New Roman" w:ascii="Times New Roman" w:hAnsi="Times New Roman"/>
                <w:sz w:val="24"/>
                <w:szCs w:val="24"/>
              </w:rPr>
              <w:t>1</w:t>
            </w:r>
          </w:p>
        </w:tc>
        <w:tc>
          <w:tcPr>
            <w:tcW w:w="2310" w:type="dxa"/>
            <w:vMerge w:val="continue"/>
            <w:tcBorders>
              <w:left w:val="single" w:sz="4" w:space="0" w:color="000000"/>
              <w:bottom w:val="single" w:sz="4" w:space="0" w:color="000000"/>
            </w:tcBorders>
            <w:vAlign w:val="center"/>
          </w:tcPr>
          <w:p>
            <w:pPr>
              <w:pStyle w:val="Normal"/>
              <w:widowControl w:val="false"/>
              <w:rPr/>
            </w:pPr>
            <w:r>
              <w:rPr/>
            </w:r>
          </w:p>
        </w:tc>
        <w:tc>
          <w:tcPr>
            <w:tcW w:w="2737" w:type="dxa"/>
            <w:tcBorders>
              <w:top w:val="single" w:sz="4" w:space="0" w:color="000000"/>
              <w:left w:val="single" w:sz="4" w:space="0" w:color="000000"/>
              <w:bottom w:val="single" w:sz="4" w:space="0" w:color="000000"/>
            </w:tcBorders>
            <w:vAlign w:val="center"/>
          </w:tcPr>
          <w:p>
            <w:pPr>
              <w:pStyle w:val="Bodytext22"/>
              <w:widowControl w:val="false"/>
              <w:shd w:val="clear" w:fill="auto"/>
              <w:jc w:val="center"/>
              <w:rPr>
                <w:rFonts w:ascii="Times New Roman" w:hAnsi="Times New Roman" w:cs="Times New Roman"/>
                <w:sz w:val="24"/>
                <w:szCs w:val="24"/>
              </w:rPr>
            </w:pPr>
            <w:r>
              <w:rPr>
                <w:rStyle w:val="Bodytext2Arial65pt"/>
                <w:rFonts w:cs="Times New Roman" w:ascii="Times New Roman" w:hAnsi="Times New Roman"/>
                <w:sz w:val="24"/>
                <w:szCs w:val="24"/>
              </w:rPr>
              <w:t>83</w:t>
            </w:r>
          </w:p>
        </w:tc>
        <w:tc>
          <w:tcPr>
            <w:tcW w:w="2738" w:type="dxa"/>
            <w:tcBorders>
              <w:top w:val="single" w:sz="4" w:space="0" w:color="000000"/>
              <w:left w:val="single" w:sz="4" w:space="0" w:color="000000"/>
              <w:bottom w:val="single" w:sz="4" w:space="0" w:color="000000"/>
            </w:tcBorders>
            <w:vAlign w:val="center"/>
          </w:tcPr>
          <w:p>
            <w:pPr>
              <w:pStyle w:val="Bodytext22"/>
              <w:widowControl w:val="false"/>
              <w:shd w:val="clear" w:fill="auto"/>
              <w:jc w:val="center"/>
              <w:rPr>
                <w:rFonts w:ascii="Times New Roman" w:hAnsi="Times New Roman" w:cs="Times New Roman"/>
                <w:sz w:val="24"/>
                <w:szCs w:val="24"/>
              </w:rPr>
            </w:pPr>
            <w:r>
              <w:rPr>
                <w:rStyle w:val="Bodytext2Arial65pt"/>
                <w:rFonts w:cs="Times New Roman" w:ascii="Times New Roman" w:hAnsi="Times New Roman"/>
                <w:sz w:val="24"/>
                <w:szCs w:val="24"/>
              </w:rPr>
              <w:t>166</w:t>
            </w:r>
          </w:p>
        </w:tc>
        <w:tc>
          <w:tcPr>
            <w:tcW w:w="2733" w:type="dxa"/>
            <w:tcBorders>
              <w:top w:val="single" w:sz="4" w:space="0" w:color="000000"/>
              <w:left w:val="single" w:sz="4" w:space="0" w:color="000000"/>
              <w:bottom w:val="single" w:sz="4" w:space="0" w:color="000000"/>
            </w:tcBorders>
            <w:vAlign w:val="center"/>
          </w:tcPr>
          <w:p>
            <w:pPr>
              <w:pStyle w:val="Bodytext22"/>
              <w:widowControl w:val="false"/>
              <w:shd w:val="clear" w:fill="auto"/>
              <w:jc w:val="center"/>
              <w:rPr>
                <w:rFonts w:ascii="Times New Roman" w:hAnsi="Times New Roman" w:cs="Times New Roman"/>
                <w:sz w:val="24"/>
                <w:szCs w:val="24"/>
              </w:rPr>
            </w:pPr>
            <w:r>
              <w:rPr>
                <w:rStyle w:val="Bodytext2Arial65pt"/>
                <w:rFonts w:cs="Times New Roman" w:ascii="Times New Roman" w:hAnsi="Times New Roman"/>
                <w:sz w:val="24"/>
                <w:szCs w:val="24"/>
              </w:rPr>
              <w:t>83</w:t>
            </w:r>
          </w:p>
        </w:tc>
        <w:tc>
          <w:tcPr>
            <w:tcW w:w="2288"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jc w:val="center"/>
              <w:rPr>
                <w:rFonts w:ascii="Times New Roman" w:hAnsi="Times New Roman"/>
                <w:sz w:val="24"/>
                <w:szCs w:val="24"/>
              </w:rPr>
            </w:pPr>
            <w:r>
              <w:rPr>
                <w:rFonts w:ascii="Times New Roman" w:hAnsi="Times New Roman"/>
                <w:sz w:val="24"/>
                <w:szCs w:val="24"/>
              </w:rPr>
              <w:t>332</w:t>
            </w:r>
          </w:p>
        </w:tc>
      </w:tr>
    </w:tbl>
    <w:p>
      <w:pPr>
        <w:pStyle w:val="Normal"/>
        <w:ind w:left="0" w:right="0" w:hanging="0"/>
        <w:rPr>
          <w:rFonts w:ascii="Times New Roman" w:hAnsi="Times New Roman"/>
          <w:sz w:val="24"/>
        </w:rPr>
      </w:pPr>
      <w:r>
        <w:rPr>
          <w:rFonts w:ascii="Times New Roman" w:hAnsi="Times New Roman"/>
          <w:sz w:val="24"/>
        </w:rPr>
        <w:t>*Неблагоприятный период</w:t>
      </w:r>
    </w:p>
    <w:p>
      <w:pPr>
        <w:pStyle w:val="Normal"/>
        <w:rPr>
          <w:rFonts w:ascii="Times New Roman" w:hAnsi="Times New Roman"/>
          <w:sz w:val="24"/>
        </w:rPr>
      </w:pPr>
      <w:r>
        <w:rPr>
          <w:rFonts w:ascii="Times New Roman" w:hAnsi="Times New Roman"/>
          <w:sz w:val="24"/>
        </w:rPr>
      </w:r>
    </w:p>
    <w:p>
      <w:pPr>
        <w:pStyle w:val="Normal"/>
        <w:spacing w:lineRule="auto" w:line="240" w:before="0" w:after="120"/>
        <w:ind w:left="0" w:right="0" w:hanging="0"/>
        <w:rPr>
          <w:rFonts w:ascii="Times New Roman" w:hAnsi="Times New Roman"/>
          <w:sz w:val="24"/>
        </w:rPr>
      </w:pPr>
      <w:r>
        <w:rPr>
          <w:rFonts w:ascii="Times New Roman" w:hAnsi="Times New Roman"/>
          <w:sz w:val="24"/>
        </w:rPr>
        <w:t xml:space="preserve">Таблица 4.2 – Подсчёт объёмов работ на один год по нивелированию III класса марок, установленных на дамбе верхнего бассейна </w:t>
      </w:r>
    </w:p>
    <w:tbl>
      <w:tblPr>
        <w:tblW w:w="5000" w:type="pct"/>
        <w:jc w:val="center"/>
        <w:tblInd w:w="0" w:type="dxa"/>
        <w:tblLayout w:type="fixed"/>
        <w:tblCellMar>
          <w:top w:w="0" w:type="dxa"/>
          <w:left w:w="10" w:type="dxa"/>
          <w:bottom w:w="0" w:type="dxa"/>
          <w:right w:w="10" w:type="dxa"/>
        </w:tblCellMar>
      </w:tblPr>
      <w:tblGrid>
        <w:gridCol w:w="2760"/>
        <w:gridCol w:w="2618"/>
        <w:gridCol w:w="2789"/>
        <w:gridCol w:w="2310"/>
        <w:gridCol w:w="2716"/>
        <w:gridCol w:w="2673"/>
        <w:gridCol w:w="2817"/>
        <w:gridCol w:w="2290"/>
      </w:tblGrid>
      <w:tr>
        <w:trPr>
          <w:tblHeader w:val="true"/>
          <w:trHeight w:val="662" w:hRule="atLeast"/>
        </w:trPr>
        <w:tc>
          <w:tcPr>
            <w:tcW w:w="8167" w:type="dxa"/>
            <w:gridSpan w:val="3"/>
            <w:tcBorders>
              <w:top w:val="single" w:sz="4" w:space="0" w:color="000000"/>
              <w:left w:val="single" w:sz="4" w:space="0" w:color="000000"/>
            </w:tcBorders>
            <w:shd w:fill="FFFFFF" w:val="clear"/>
            <w:vAlign w:val="center"/>
          </w:tcPr>
          <w:p>
            <w:pPr>
              <w:pStyle w:val="Bodytext22"/>
              <w:widowControl w:val="false"/>
              <w:shd w:val="clear" w:fill="auto"/>
              <w:jc w:val="center"/>
              <w:rPr>
                <w:rFonts w:ascii="Times New Roman" w:hAnsi="Times New Roman"/>
                <w:sz w:val="24"/>
                <w:szCs w:val="24"/>
              </w:rPr>
            </w:pPr>
            <w:r>
              <w:rPr>
                <w:rStyle w:val="Bodytext2Arial8ptBold"/>
                <w:rFonts w:cs="Times New Roman" w:ascii="Times New Roman" w:hAnsi="Times New Roman"/>
                <w:b w:val="false"/>
                <w:bCs w:val="false"/>
                <w:sz w:val="24"/>
                <w:szCs w:val="24"/>
              </w:rPr>
              <w:t>Количество циклов в 2027 г.</w:t>
            </w:r>
          </w:p>
        </w:tc>
        <w:tc>
          <w:tcPr>
            <w:tcW w:w="2310" w:type="dxa"/>
            <w:tcBorders>
              <w:top w:val="single" w:sz="4" w:space="0" w:color="000000"/>
              <w:left w:val="single" w:sz="4" w:space="0" w:color="000000"/>
            </w:tcBorders>
            <w:shd w:fill="FFFFFF" w:val="clear"/>
            <w:vAlign w:val="center"/>
          </w:tcPr>
          <w:p>
            <w:pPr>
              <w:pStyle w:val="Bodytext22"/>
              <w:widowControl w:val="false"/>
              <w:shd w:val="clear" w:fill="auto"/>
              <w:jc w:val="center"/>
              <w:rPr>
                <w:rFonts w:ascii="Times New Roman" w:hAnsi="Times New Roman"/>
                <w:sz w:val="24"/>
                <w:szCs w:val="24"/>
              </w:rPr>
            </w:pPr>
            <w:r>
              <w:rPr>
                <w:rStyle w:val="Bodytext2Arial8ptBold"/>
                <w:rFonts w:cs="Times New Roman" w:ascii="Times New Roman" w:hAnsi="Times New Roman"/>
                <w:b w:val="false"/>
                <w:bCs w:val="false"/>
                <w:sz w:val="24"/>
                <w:szCs w:val="24"/>
              </w:rPr>
              <w:t>Количество штативов на 1 цикл, шт.</w:t>
            </w:r>
          </w:p>
        </w:tc>
        <w:tc>
          <w:tcPr>
            <w:tcW w:w="8206" w:type="dxa"/>
            <w:gridSpan w:val="3"/>
            <w:tcBorders>
              <w:top w:val="single" w:sz="4" w:space="0" w:color="000000"/>
              <w:left w:val="single" w:sz="4" w:space="0" w:color="000000"/>
            </w:tcBorders>
            <w:shd w:fill="FFFFFF" w:val="clear"/>
            <w:vAlign w:val="center"/>
          </w:tcPr>
          <w:p>
            <w:pPr>
              <w:pStyle w:val="Bodytext22"/>
              <w:widowControl w:val="false"/>
              <w:shd w:val="clear" w:fill="auto"/>
              <w:jc w:val="center"/>
              <w:rPr>
                <w:rFonts w:ascii="Times New Roman" w:hAnsi="Times New Roman"/>
                <w:sz w:val="24"/>
                <w:szCs w:val="24"/>
              </w:rPr>
            </w:pPr>
            <w:r>
              <w:rPr>
                <w:rStyle w:val="Bodytext2Arial8ptBold"/>
                <w:rFonts w:cs="Times New Roman" w:ascii="Times New Roman" w:hAnsi="Times New Roman"/>
                <w:b w:val="false"/>
                <w:bCs w:val="false"/>
                <w:sz w:val="24"/>
                <w:szCs w:val="24"/>
              </w:rPr>
              <w:t>Количество штативов всего, шт.</w:t>
            </w:r>
          </w:p>
        </w:tc>
        <w:tc>
          <w:tcPr>
            <w:tcW w:w="2290" w:type="dxa"/>
            <w:tcBorders>
              <w:top w:val="single" w:sz="4" w:space="0" w:color="000000"/>
              <w:left w:val="single" w:sz="4" w:space="0" w:color="000000"/>
              <w:right w:val="single" w:sz="4" w:space="0" w:color="000000"/>
            </w:tcBorders>
            <w:shd w:fill="FFFFFF" w:val="clear"/>
            <w:vAlign w:val="center"/>
          </w:tcPr>
          <w:p>
            <w:pPr>
              <w:pStyle w:val="Bodytext22"/>
              <w:widowControl w:val="false"/>
              <w:shd w:val="clear" w:fill="auto"/>
              <w:jc w:val="center"/>
              <w:rPr>
                <w:rFonts w:ascii="Times New Roman" w:hAnsi="Times New Roman"/>
                <w:sz w:val="24"/>
                <w:szCs w:val="24"/>
              </w:rPr>
            </w:pPr>
            <w:r>
              <w:rPr>
                <w:rStyle w:val="Bodytext2Arial8ptBold"/>
                <w:rFonts w:cs="Times New Roman" w:ascii="Times New Roman" w:hAnsi="Times New Roman"/>
                <w:b w:val="false"/>
                <w:bCs w:val="false"/>
                <w:sz w:val="24"/>
                <w:szCs w:val="24"/>
              </w:rPr>
              <w:t>Количество штативов всего, шт.</w:t>
            </w:r>
          </w:p>
        </w:tc>
      </w:tr>
      <w:tr>
        <w:trPr>
          <w:trHeight w:val="23" w:hRule="atLeast"/>
        </w:trPr>
        <w:tc>
          <w:tcPr>
            <w:tcW w:w="20973" w:type="dxa"/>
            <w:gridSpan w:val="8"/>
            <w:tcBorders>
              <w:top w:val="single" w:sz="4" w:space="0" w:color="000000"/>
              <w:left w:val="single" w:sz="4" w:space="0" w:color="000000"/>
              <w:right w:val="single" w:sz="4" w:space="0" w:color="000000"/>
            </w:tcBorders>
            <w:shd w:fill="FFFFFF" w:val="clear"/>
          </w:tcPr>
          <w:p>
            <w:pPr>
              <w:pStyle w:val="Bodytext22"/>
              <w:widowControl w:val="false"/>
              <w:shd w:val="clear" w:fill="auto"/>
              <w:jc w:val="center"/>
              <w:rPr>
                <w:rFonts w:ascii="Times New Roman" w:hAnsi="Times New Roman"/>
                <w:sz w:val="24"/>
                <w:szCs w:val="24"/>
              </w:rPr>
            </w:pPr>
            <w:r>
              <w:rPr>
                <w:rStyle w:val="Bodytext2Arial8ptBold"/>
                <w:rFonts w:cs="Times New Roman" w:ascii="Times New Roman" w:hAnsi="Times New Roman"/>
                <w:b w:val="false"/>
                <w:bCs w:val="false"/>
                <w:sz w:val="24"/>
                <w:szCs w:val="24"/>
              </w:rPr>
              <w:t>Дамба верхнего бассейна</w:t>
            </w:r>
          </w:p>
        </w:tc>
      </w:tr>
      <w:tr>
        <w:trPr>
          <w:trHeight w:val="23" w:hRule="atLeast"/>
        </w:trPr>
        <w:tc>
          <w:tcPr>
            <w:tcW w:w="8167" w:type="dxa"/>
            <w:gridSpan w:val="3"/>
            <w:tcBorders>
              <w:top w:val="single" w:sz="4" w:space="0" w:color="000000"/>
              <w:left w:val="single" w:sz="4" w:space="0" w:color="000000"/>
            </w:tcBorders>
            <w:shd w:fill="FFFFFF" w:val="clear"/>
            <w:vAlign w:val="center"/>
          </w:tcPr>
          <w:p>
            <w:pPr>
              <w:pStyle w:val="Bodytext22"/>
              <w:widowControl w:val="false"/>
              <w:shd w:val="clear" w:fill="auto"/>
              <w:jc w:val="center"/>
              <w:rPr>
                <w:rFonts w:ascii="Times New Roman" w:hAnsi="Times New Roman"/>
                <w:sz w:val="24"/>
                <w:szCs w:val="24"/>
              </w:rPr>
            </w:pPr>
            <w:r>
              <w:rPr>
                <w:rStyle w:val="Bodytext2Arial65pt"/>
                <w:rFonts w:cs="Times New Roman" w:ascii="Times New Roman" w:hAnsi="Times New Roman"/>
                <w:sz w:val="24"/>
                <w:szCs w:val="24"/>
              </w:rPr>
              <w:t>4</w:t>
            </w:r>
          </w:p>
        </w:tc>
        <w:tc>
          <w:tcPr>
            <w:tcW w:w="2310" w:type="dxa"/>
            <w:vMerge w:val="restart"/>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sz w:val="24"/>
                <w:szCs w:val="24"/>
              </w:rPr>
            </w:pPr>
            <w:r>
              <w:rPr>
                <w:rStyle w:val="Bodytext2Arial65pt"/>
                <w:rFonts w:cs="Times New Roman" w:ascii="Times New Roman" w:hAnsi="Times New Roman"/>
                <w:sz w:val="24"/>
                <w:szCs w:val="24"/>
              </w:rPr>
              <w:t>129</w:t>
            </w:r>
          </w:p>
        </w:tc>
        <w:tc>
          <w:tcPr>
            <w:tcW w:w="8206" w:type="dxa"/>
            <w:gridSpan w:val="3"/>
            <w:tcBorders>
              <w:top w:val="single" w:sz="4" w:space="0" w:color="000000"/>
              <w:left w:val="single" w:sz="4" w:space="0" w:color="000000"/>
            </w:tcBorders>
            <w:shd w:fill="FFFFFF" w:val="clear"/>
            <w:vAlign w:val="center"/>
          </w:tcPr>
          <w:p>
            <w:pPr>
              <w:pStyle w:val="Bodytext22"/>
              <w:widowControl w:val="false"/>
              <w:shd w:val="clear" w:fill="auto"/>
              <w:jc w:val="center"/>
              <w:rPr>
                <w:rFonts w:ascii="Times New Roman" w:hAnsi="Times New Roman"/>
                <w:sz w:val="24"/>
                <w:szCs w:val="24"/>
              </w:rPr>
            </w:pPr>
            <w:r>
              <w:rPr>
                <w:rStyle w:val="Bodytext2Arial65pt"/>
                <w:rFonts w:cs="Times New Roman" w:ascii="Times New Roman" w:hAnsi="Times New Roman"/>
                <w:sz w:val="24"/>
                <w:szCs w:val="24"/>
              </w:rPr>
              <w:t>516</w:t>
            </w:r>
          </w:p>
        </w:tc>
        <w:tc>
          <w:tcPr>
            <w:tcW w:w="2290"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jc w:val="center"/>
              <w:rPr>
                <w:rFonts w:ascii="Times New Roman" w:hAnsi="Times New Roman"/>
                <w:sz w:val="24"/>
                <w:szCs w:val="24"/>
              </w:rPr>
            </w:pPr>
            <w:r>
              <w:rPr>
                <w:rStyle w:val="Bodytext2Arial65pt"/>
                <w:rFonts w:cs="Times New Roman" w:ascii="Times New Roman" w:hAnsi="Times New Roman"/>
                <w:sz w:val="24"/>
                <w:szCs w:val="24"/>
              </w:rPr>
              <w:t>Всего</w:t>
            </w:r>
          </w:p>
        </w:tc>
      </w:tr>
      <w:tr>
        <w:trPr>
          <w:trHeight w:val="23" w:hRule="atLeast"/>
        </w:trPr>
        <w:tc>
          <w:tcPr>
            <w:tcW w:w="2760" w:type="dxa"/>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sz w:val="24"/>
                <w:szCs w:val="24"/>
              </w:rPr>
            </w:pPr>
            <w:r>
              <w:rPr>
                <w:rStyle w:val="Bodytext2Arial65pt"/>
                <w:rFonts w:cs="Times New Roman" w:ascii="Times New Roman" w:hAnsi="Times New Roman"/>
                <w:sz w:val="24"/>
                <w:szCs w:val="24"/>
              </w:rPr>
              <w:t>в т.ч. в период с 01.01 по 05.05*</w:t>
            </w:r>
          </w:p>
        </w:tc>
        <w:tc>
          <w:tcPr>
            <w:tcW w:w="2618" w:type="dxa"/>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sz w:val="24"/>
                <w:szCs w:val="24"/>
              </w:rPr>
            </w:pPr>
            <w:r>
              <w:rPr>
                <w:rStyle w:val="Bodytext2Arial65pt"/>
                <w:rFonts w:cs="Times New Roman" w:ascii="Times New Roman" w:hAnsi="Times New Roman"/>
                <w:sz w:val="24"/>
                <w:szCs w:val="24"/>
              </w:rPr>
              <w:t>в т.ч. в период с 05.05 по 20.10</w:t>
            </w:r>
          </w:p>
        </w:tc>
        <w:tc>
          <w:tcPr>
            <w:tcW w:w="2789" w:type="dxa"/>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sz w:val="24"/>
                <w:szCs w:val="24"/>
              </w:rPr>
            </w:pPr>
            <w:r>
              <w:rPr>
                <w:rStyle w:val="Bodytext2Arial65pt"/>
                <w:rFonts w:cs="Times New Roman" w:ascii="Times New Roman" w:hAnsi="Times New Roman"/>
                <w:sz w:val="24"/>
                <w:szCs w:val="24"/>
              </w:rPr>
              <w:t>в т.ч. в период с 20.10 по 31.12*</w:t>
            </w:r>
          </w:p>
        </w:tc>
        <w:tc>
          <w:tcPr>
            <w:tcW w:w="2310" w:type="dxa"/>
            <w:vMerge w:val="continue"/>
            <w:tcBorders>
              <w:left w:val="single" w:sz="4" w:space="0" w:color="000000"/>
              <w:bottom w:val="single" w:sz="4" w:space="0" w:color="000000"/>
            </w:tcBorders>
            <w:shd w:fill="FFFFFF" w:val="clear"/>
            <w:vAlign w:val="center"/>
          </w:tcPr>
          <w:p>
            <w:pPr>
              <w:pStyle w:val="Normal"/>
              <w:widowControl w:val="false"/>
              <w:rPr/>
            </w:pPr>
            <w:r>
              <w:rPr/>
            </w:r>
          </w:p>
        </w:tc>
        <w:tc>
          <w:tcPr>
            <w:tcW w:w="2716" w:type="dxa"/>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sz w:val="24"/>
                <w:szCs w:val="24"/>
              </w:rPr>
            </w:pPr>
            <w:r>
              <w:rPr>
                <w:rStyle w:val="Bodytext2Arial65pt"/>
                <w:rFonts w:cs="Times New Roman" w:ascii="Times New Roman" w:hAnsi="Times New Roman"/>
                <w:sz w:val="24"/>
                <w:szCs w:val="24"/>
              </w:rPr>
              <w:t>в т.ч. в период с 01.01 по 05.05*</w:t>
            </w:r>
          </w:p>
        </w:tc>
        <w:tc>
          <w:tcPr>
            <w:tcW w:w="2673" w:type="dxa"/>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sz w:val="24"/>
                <w:szCs w:val="24"/>
              </w:rPr>
            </w:pPr>
            <w:r>
              <w:rPr>
                <w:rStyle w:val="Bodytext2Arial65pt"/>
                <w:rFonts w:cs="Times New Roman" w:ascii="Times New Roman" w:hAnsi="Times New Roman"/>
                <w:sz w:val="24"/>
                <w:szCs w:val="24"/>
              </w:rPr>
              <w:t>в т.ч. в период с 05.05 по 20.10</w:t>
            </w:r>
          </w:p>
        </w:tc>
        <w:tc>
          <w:tcPr>
            <w:tcW w:w="2817" w:type="dxa"/>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sz w:val="24"/>
                <w:szCs w:val="24"/>
              </w:rPr>
            </w:pPr>
            <w:r>
              <w:rPr>
                <w:rStyle w:val="Bodytext2Arial65pt"/>
                <w:rFonts w:cs="Times New Roman" w:ascii="Times New Roman" w:hAnsi="Times New Roman"/>
                <w:sz w:val="24"/>
                <w:szCs w:val="24"/>
              </w:rPr>
              <w:t>в т.ч. в период с 20.10 по 31.12*</w:t>
            </w:r>
          </w:p>
        </w:tc>
        <w:tc>
          <w:tcPr>
            <w:tcW w:w="2290" w:type="dxa"/>
            <w:vMerge w:val="continue"/>
            <w:tcBorders>
              <w:left w:val="single" w:sz="4" w:space="0" w:color="000000"/>
              <w:bottom w:val="single" w:sz="4" w:space="0" w:color="000000"/>
              <w:right w:val="single" w:sz="4" w:space="0" w:color="000000"/>
            </w:tcBorders>
            <w:shd w:fill="FFFFFF" w:val="clear"/>
            <w:vAlign w:val="center"/>
          </w:tcPr>
          <w:p>
            <w:pPr>
              <w:pStyle w:val="Normal"/>
              <w:widowControl w:val="false"/>
              <w:rPr/>
            </w:pPr>
            <w:r>
              <w:rPr/>
            </w:r>
          </w:p>
        </w:tc>
      </w:tr>
      <w:tr>
        <w:trPr>
          <w:trHeight w:val="573" w:hRule="atLeast"/>
        </w:trPr>
        <w:tc>
          <w:tcPr>
            <w:tcW w:w="2760" w:type="dxa"/>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sz w:val="24"/>
                <w:szCs w:val="24"/>
              </w:rPr>
            </w:pPr>
            <w:r>
              <w:rPr>
                <w:rFonts w:ascii="Times New Roman" w:hAnsi="Times New Roman"/>
                <w:sz w:val="24"/>
                <w:szCs w:val="24"/>
              </w:rPr>
              <w:t>1</w:t>
            </w:r>
          </w:p>
        </w:tc>
        <w:tc>
          <w:tcPr>
            <w:tcW w:w="2618" w:type="dxa"/>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sz w:val="24"/>
                <w:szCs w:val="24"/>
              </w:rPr>
            </w:pPr>
            <w:r>
              <w:rPr>
                <w:rFonts w:ascii="Times New Roman" w:hAnsi="Times New Roman"/>
                <w:sz w:val="24"/>
                <w:szCs w:val="24"/>
              </w:rPr>
              <w:t>2</w:t>
            </w:r>
          </w:p>
        </w:tc>
        <w:tc>
          <w:tcPr>
            <w:tcW w:w="2789" w:type="dxa"/>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sz w:val="24"/>
                <w:szCs w:val="24"/>
              </w:rPr>
            </w:pPr>
            <w:r>
              <w:rPr>
                <w:rStyle w:val="Bodytext2Arial65pt"/>
                <w:rFonts w:cs="Times New Roman" w:ascii="Times New Roman" w:hAnsi="Times New Roman"/>
                <w:sz w:val="24"/>
                <w:szCs w:val="24"/>
              </w:rPr>
              <w:t>1</w:t>
            </w:r>
          </w:p>
        </w:tc>
        <w:tc>
          <w:tcPr>
            <w:tcW w:w="2310" w:type="dxa"/>
            <w:vMerge w:val="continue"/>
            <w:tcBorders>
              <w:top w:val="single" w:sz="4" w:space="0" w:color="000000"/>
              <w:left w:val="single" w:sz="4" w:space="0" w:color="000000"/>
              <w:bottom w:val="single" w:sz="4" w:space="0" w:color="000000"/>
            </w:tcBorders>
            <w:shd w:fill="FFFFFF" w:val="clear"/>
            <w:vAlign w:val="center"/>
          </w:tcPr>
          <w:p>
            <w:pPr>
              <w:pStyle w:val="Normal"/>
              <w:widowControl w:val="false"/>
              <w:rPr/>
            </w:pPr>
            <w:r>
              <w:rPr/>
            </w:r>
          </w:p>
        </w:tc>
        <w:tc>
          <w:tcPr>
            <w:tcW w:w="2716" w:type="dxa"/>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sz w:val="24"/>
                <w:szCs w:val="24"/>
              </w:rPr>
            </w:pPr>
            <w:r>
              <w:rPr>
                <w:rFonts w:ascii="Times New Roman" w:hAnsi="Times New Roman"/>
                <w:sz w:val="24"/>
                <w:szCs w:val="24"/>
              </w:rPr>
              <w:t>129</w:t>
            </w:r>
          </w:p>
        </w:tc>
        <w:tc>
          <w:tcPr>
            <w:tcW w:w="2673" w:type="dxa"/>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sz w:val="24"/>
                <w:szCs w:val="24"/>
                <w:lang w:val="en-US"/>
              </w:rPr>
            </w:pPr>
            <w:r>
              <w:rPr>
                <w:rStyle w:val="Bodytext2Arial65pt"/>
                <w:rFonts w:cs="Times New Roman" w:ascii="Times New Roman" w:hAnsi="Times New Roman"/>
                <w:sz w:val="24"/>
                <w:szCs w:val="24"/>
              </w:rPr>
              <w:t>258</w:t>
            </w:r>
          </w:p>
        </w:tc>
        <w:tc>
          <w:tcPr>
            <w:tcW w:w="2817" w:type="dxa"/>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sz w:val="24"/>
                <w:szCs w:val="24"/>
              </w:rPr>
            </w:pPr>
            <w:r>
              <w:rPr>
                <w:rStyle w:val="Bodytext2Arial65pt"/>
                <w:rFonts w:cs="Times New Roman" w:ascii="Times New Roman" w:hAnsi="Times New Roman"/>
                <w:sz w:val="24"/>
                <w:szCs w:val="24"/>
                <w:lang w:val="en-US"/>
              </w:rPr>
              <w:t>12</w:t>
            </w:r>
            <w:r>
              <w:rPr>
                <w:rStyle w:val="Bodytext2Arial65pt"/>
                <w:rFonts w:cs="Times New Roman" w:ascii="Times New Roman" w:hAnsi="Times New Roman"/>
                <w:sz w:val="24"/>
                <w:szCs w:val="24"/>
              </w:rPr>
              <w:t>9</w:t>
            </w:r>
          </w:p>
        </w:tc>
        <w:tc>
          <w:tcPr>
            <w:tcW w:w="2290"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jc w:val="center"/>
              <w:rPr>
                <w:rFonts w:ascii="Times New Roman" w:hAnsi="Times New Roman"/>
                <w:sz w:val="24"/>
                <w:szCs w:val="24"/>
              </w:rPr>
            </w:pPr>
            <w:r>
              <w:rPr>
                <w:rFonts w:ascii="Times New Roman" w:hAnsi="Times New Roman"/>
                <w:sz w:val="24"/>
                <w:szCs w:val="24"/>
              </w:rPr>
              <w:t>516</w:t>
            </w:r>
          </w:p>
        </w:tc>
      </w:tr>
      <w:tr>
        <w:trPr>
          <w:trHeight w:val="357" w:hRule="atLeast"/>
        </w:trPr>
        <w:tc>
          <w:tcPr>
            <w:tcW w:w="20973" w:type="dxa"/>
            <w:gridSpan w:val="8"/>
            <w:tcBorders>
              <w:top w:val="single" w:sz="4" w:space="0" w:color="000000"/>
              <w:left w:val="single" w:sz="4" w:space="0" w:color="000000"/>
              <w:bottom w:val="single" w:sz="4" w:space="0" w:color="000000"/>
              <w:right w:val="single" w:sz="4" w:space="0" w:color="000000"/>
            </w:tcBorders>
            <w:shd w:fill="FFFFFF" w:val="clear"/>
          </w:tcPr>
          <w:p>
            <w:pPr>
              <w:pStyle w:val="Bodytext22"/>
              <w:widowControl w:val="false"/>
              <w:shd w:val="clear" w:fill="auto"/>
              <w:jc w:val="center"/>
              <w:rPr>
                <w:rFonts w:ascii="Times New Roman" w:hAnsi="Times New Roman" w:cs="Times New Roman"/>
                <w:sz w:val="24"/>
                <w:szCs w:val="24"/>
              </w:rPr>
            </w:pPr>
            <w:r>
              <w:rPr>
                <w:rStyle w:val="Bodytext2Arial8ptBold"/>
                <w:rFonts w:cs="Times New Roman" w:ascii="Times New Roman" w:hAnsi="Times New Roman"/>
                <w:b w:val="false"/>
                <w:bCs w:val="false"/>
                <w:sz w:val="24"/>
                <w:szCs w:val="24"/>
              </w:rPr>
              <w:t>Временная перемычка реверсивного канала</w:t>
            </w:r>
          </w:p>
        </w:tc>
      </w:tr>
      <w:tr>
        <w:trPr>
          <w:trHeight w:val="264" w:hRule="atLeast"/>
        </w:trPr>
        <w:tc>
          <w:tcPr>
            <w:tcW w:w="8167" w:type="dxa"/>
            <w:gridSpan w:val="3"/>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cs="Times New Roman"/>
                <w:sz w:val="24"/>
                <w:szCs w:val="24"/>
              </w:rPr>
            </w:pPr>
            <w:r>
              <w:rPr>
                <w:rStyle w:val="Bodytext2Arial65pt"/>
                <w:rFonts w:cs="Times New Roman" w:ascii="Times New Roman" w:hAnsi="Times New Roman"/>
                <w:sz w:val="24"/>
                <w:szCs w:val="24"/>
              </w:rPr>
              <w:t>4</w:t>
            </w:r>
          </w:p>
        </w:tc>
        <w:tc>
          <w:tcPr>
            <w:tcW w:w="2310" w:type="dxa"/>
            <w:tcBorders>
              <w:left w:val="single" w:sz="4" w:space="0" w:color="000000"/>
              <w:bottom w:val="single" w:sz="4" w:space="0" w:color="000000"/>
            </w:tcBorders>
            <w:shd w:fill="FFFFFF" w:val="clear"/>
            <w:vAlign w:val="center"/>
          </w:tcPr>
          <w:p>
            <w:pPr>
              <w:pStyle w:val="Normal"/>
              <w:widowControl w:val="false"/>
              <w:spacing w:lineRule="auto" w:line="240"/>
              <w:ind w:left="0" w:right="0" w:hanging="0"/>
              <w:jc w:val="center"/>
              <w:rPr>
                <w:rFonts w:ascii="Times New Roman" w:hAnsi="Times New Roman" w:cs="Times New Roman"/>
                <w:sz w:val="24"/>
                <w:szCs w:val="24"/>
              </w:rPr>
            </w:pPr>
            <w:r>
              <w:rPr>
                <w:rStyle w:val="Bodytext2Arial65pt"/>
                <w:rFonts w:cs="Times New Roman" w:ascii="Times New Roman" w:hAnsi="Times New Roman"/>
                <w:sz w:val="24"/>
                <w:szCs w:val="24"/>
              </w:rPr>
              <w:t>Всего</w:t>
            </w:r>
          </w:p>
        </w:tc>
        <w:tc>
          <w:tcPr>
            <w:tcW w:w="8206" w:type="dxa"/>
            <w:gridSpan w:val="3"/>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cs="Times New Roman"/>
                <w:sz w:val="24"/>
                <w:szCs w:val="24"/>
              </w:rPr>
            </w:pPr>
            <w:r>
              <w:rPr>
                <w:rStyle w:val="Bodytext2Arial65pt"/>
                <w:rFonts w:cs="Times New Roman" w:ascii="Times New Roman" w:hAnsi="Times New Roman"/>
                <w:sz w:val="24"/>
                <w:szCs w:val="24"/>
              </w:rPr>
              <w:t>100</w:t>
            </w:r>
          </w:p>
        </w:tc>
        <w:tc>
          <w:tcPr>
            <w:tcW w:w="2290"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jc w:val="center"/>
              <w:rPr>
                <w:rFonts w:ascii="Times New Roman" w:hAnsi="Times New Roman"/>
                <w:sz w:val="24"/>
                <w:szCs w:val="24"/>
              </w:rPr>
            </w:pPr>
            <w:r>
              <w:rPr>
                <w:rFonts w:ascii="Times New Roman" w:hAnsi="Times New Roman"/>
                <w:sz w:val="24"/>
                <w:szCs w:val="24"/>
              </w:rPr>
            </w:r>
          </w:p>
        </w:tc>
      </w:tr>
      <w:tr>
        <w:trPr>
          <w:trHeight w:val="573" w:hRule="atLeast"/>
        </w:trPr>
        <w:tc>
          <w:tcPr>
            <w:tcW w:w="2760" w:type="dxa"/>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cs="Times New Roman"/>
                <w:sz w:val="24"/>
                <w:szCs w:val="24"/>
              </w:rPr>
            </w:pPr>
            <w:r>
              <w:rPr>
                <w:rStyle w:val="Bodytext2Arial65pt"/>
                <w:rFonts w:cs="Times New Roman" w:ascii="Times New Roman" w:hAnsi="Times New Roman"/>
                <w:sz w:val="24"/>
                <w:szCs w:val="24"/>
              </w:rPr>
              <w:t>в т.ч. в период с 01.01 по 05.05*</w:t>
            </w:r>
          </w:p>
        </w:tc>
        <w:tc>
          <w:tcPr>
            <w:tcW w:w="2618" w:type="dxa"/>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cs="Times New Roman"/>
                <w:sz w:val="24"/>
                <w:szCs w:val="24"/>
              </w:rPr>
            </w:pPr>
            <w:r>
              <w:rPr>
                <w:rStyle w:val="Bodytext2Arial65pt"/>
                <w:rFonts w:cs="Times New Roman" w:ascii="Times New Roman" w:hAnsi="Times New Roman"/>
                <w:sz w:val="24"/>
                <w:szCs w:val="24"/>
              </w:rPr>
              <w:t>в т.ч. в период с 05.05 по 20.10</w:t>
            </w:r>
          </w:p>
        </w:tc>
        <w:tc>
          <w:tcPr>
            <w:tcW w:w="2789" w:type="dxa"/>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cs="Times New Roman"/>
                <w:sz w:val="24"/>
                <w:szCs w:val="24"/>
              </w:rPr>
            </w:pPr>
            <w:r>
              <w:rPr>
                <w:rStyle w:val="Bodytext2Arial65pt"/>
                <w:rFonts w:cs="Times New Roman" w:ascii="Times New Roman" w:hAnsi="Times New Roman"/>
                <w:sz w:val="24"/>
                <w:szCs w:val="24"/>
              </w:rPr>
              <w:t>в т.ч. в период с 20.10 по 31.12*</w:t>
            </w:r>
          </w:p>
        </w:tc>
        <w:tc>
          <w:tcPr>
            <w:tcW w:w="2310" w:type="dxa"/>
            <w:vMerge w:val="restart"/>
            <w:tcBorders>
              <w:left w:val="single" w:sz="4" w:space="0" w:color="000000"/>
              <w:bottom w:val="single" w:sz="4" w:space="0" w:color="000000"/>
            </w:tcBorders>
            <w:shd w:fill="FFFFFF" w:val="clear"/>
            <w:vAlign w:val="center"/>
          </w:tcPr>
          <w:p>
            <w:pPr>
              <w:pStyle w:val="Normal"/>
              <w:widowControl w:val="false"/>
              <w:spacing w:lineRule="auto" w:line="240"/>
              <w:ind w:left="0" w:right="0" w:hanging="0"/>
              <w:jc w:val="center"/>
              <w:rPr>
                <w:rFonts w:ascii="Times New Roman" w:hAnsi="Times New Roman" w:cs="Times New Roman"/>
                <w:sz w:val="24"/>
                <w:szCs w:val="24"/>
              </w:rPr>
            </w:pPr>
            <w:r>
              <w:rPr>
                <w:rStyle w:val="Bodytext2Arial65pt"/>
                <w:rFonts w:cs="Times New Roman" w:ascii="Times New Roman" w:hAnsi="Times New Roman"/>
                <w:sz w:val="24"/>
                <w:szCs w:val="24"/>
              </w:rPr>
              <w:t>25</w:t>
            </w:r>
          </w:p>
        </w:tc>
        <w:tc>
          <w:tcPr>
            <w:tcW w:w="2716" w:type="dxa"/>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cs="Times New Roman"/>
                <w:sz w:val="24"/>
                <w:szCs w:val="24"/>
              </w:rPr>
            </w:pPr>
            <w:r>
              <w:rPr>
                <w:rStyle w:val="Bodytext2Arial65pt"/>
                <w:rFonts w:cs="Times New Roman" w:ascii="Times New Roman" w:hAnsi="Times New Roman"/>
                <w:sz w:val="24"/>
                <w:szCs w:val="24"/>
              </w:rPr>
              <w:t>в т.ч. в период с 01.01 по 05.05*</w:t>
            </w:r>
          </w:p>
        </w:tc>
        <w:tc>
          <w:tcPr>
            <w:tcW w:w="2673" w:type="dxa"/>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cs="Times New Roman"/>
                <w:sz w:val="24"/>
                <w:szCs w:val="24"/>
              </w:rPr>
            </w:pPr>
            <w:r>
              <w:rPr>
                <w:rStyle w:val="Bodytext2Arial65pt"/>
                <w:rFonts w:cs="Times New Roman" w:ascii="Times New Roman" w:hAnsi="Times New Roman"/>
                <w:sz w:val="24"/>
                <w:szCs w:val="24"/>
              </w:rPr>
              <w:t>в т.ч. в период с 05.05 по 20.10</w:t>
            </w:r>
          </w:p>
        </w:tc>
        <w:tc>
          <w:tcPr>
            <w:tcW w:w="2817" w:type="dxa"/>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cs="Times New Roman"/>
                <w:sz w:val="24"/>
                <w:szCs w:val="24"/>
              </w:rPr>
            </w:pPr>
            <w:r>
              <w:rPr>
                <w:rStyle w:val="Bodytext2Arial65pt"/>
                <w:rFonts w:cs="Times New Roman" w:ascii="Times New Roman" w:hAnsi="Times New Roman"/>
                <w:sz w:val="24"/>
                <w:szCs w:val="24"/>
              </w:rPr>
              <w:t>в т.ч. в период с 20.10 по 31.12*</w:t>
            </w:r>
          </w:p>
        </w:tc>
        <w:tc>
          <w:tcPr>
            <w:tcW w:w="2290"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jc w:val="center"/>
              <w:rPr>
                <w:rFonts w:ascii="Times New Roman" w:hAnsi="Times New Roman"/>
                <w:sz w:val="24"/>
                <w:szCs w:val="24"/>
              </w:rPr>
            </w:pPr>
            <w:r>
              <w:rPr>
                <w:rStyle w:val="Bodytext2Arial65pt"/>
                <w:rFonts w:cs="Times New Roman" w:ascii="Times New Roman" w:hAnsi="Times New Roman"/>
                <w:sz w:val="24"/>
                <w:szCs w:val="24"/>
              </w:rPr>
              <w:t>Всего</w:t>
            </w:r>
          </w:p>
        </w:tc>
      </w:tr>
      <w:tr>
        <w:trPr>
          <w:trHeight w:val="573" w:hRule="atLeast"/>
        </w:trPr>
        <w:tc>
          <w:tcPr>
            <w:tcW w:w="2760" w:type="dxa"/>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cs="Times New Roman"/>
                <w:sz w:val="24"/>
                <w:szCs w:val="24"/>
              </w:rPr>
            </w:pPr>
            <w:r>
              <w:rPr>
                <w:rFonts w:ascii="Times New Roman" w:hAnsi="Times New Roman"/>
                <w:sz w:val="24"/>
                <w:szCs w:val="24"/>
              </w:rPr>
              <w:t>1</w:t>
            </w:r>
          </w:p>
        </w:tc>
        <w:tc>
          <w:tcPr>
            <w:tcW w:w="2618" w:type="dxa"/>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cs="Times New Roman"/>
                <w:sz w:val="24"/>
                <w:szCs w:val="24"/>
              </w:rPr>
            </w:pPr>
            <w:r>
              <w:rPr>
                <w:rFonts w:ascii="Times New Roman" w:hAnsi="Times New Roman"/>
                <w:sz w:val="24"/>
                <w:szCs w:val="24"/>
              </w:rPr>
              <w:t>2</w:t>
            </w:r>
          </w:p>
        </w:tc>
        <w:tc>
          <w:tcPr>
            <w:tcW w:w="2789" w:type="dxa"/>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cs="Times New Roman"/>
                <w:sz w:val="24"/>
                <w:szCs w:val="24"/>
              </w:rPr>
            </w:pPr>
            <w:r>
              <w:rPr>
                <w:rStyle w:val="Bodytext2Arial65pt"/>
                <w:rFonts w:cs="Times New Roman" w:ascii="Times New Roman" w:hAnsi="Times New Roman"/>
                <w:sz w:val="24"/>
                <w:szCs w:val="24"/>
              </w:rPr>
              <w:t>1</w:t>
            </w:r>
          </w:p>
        </w:tc>
        <w:tc>
          <w:tcPr>
            <w:tcW w:w="2310" w:type="dxa"/>
            <w:vMerge w:val="continue"/>
            <w:tcBorders>
              <w:left w:val="single" w:sz="4" w:space="0" w:color="000000"/>
              <w:bottom w:val="single" w:sz="4" w:space="0" w:color="000000"/>
            </w:tcBorders>
            <w:shd w:fill="FFFFFF" w:val="clear"/>
            <w:vAlign w:val="center"/>
          </w:tcPr>
          <w:p>
            <w:pPr>
              <w:pStyle w:val="Normal"/>
              <w:widowControl w:val="false"/>
              <w:rPr/>
            </w:pPr>
            <w:r>
              <w:rPr/>
            </w:r>
          </w:p>
        </w:tc>
        <w:tc>
          <w:tcPr>
            <w:tcW w:w="2716" w:type="dxa"/>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cs="Times New Roman"/>
                <w:sz w:val="24"/>
                <w:szCs w:val="24"/>
              </w:rPr>
            </w:pPr>
            <w:r>
              <w:rPr>
                <w:rFonts w:ascii="Times New Roman" w:hAnsi="Times New Roman"/>
                <w:sz w:val="24"/>
                <w:szCs w:val="24"/>
              </w:rPr>
              <w:t>25</w:t>
            </w:r>
          </w:p>
        </w:tc>
        <w:tc>
          <w:tcPr>
            <w:tcW w:w="2673" w:type="dxa"/>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cs="Times New Roman"/>
                <w:sz w:val="24"/>
                <w:szCs w:val="24"/>
              </w:rPr>
            </w:pPr>
            <w:r>
              <w:rPr>
                <w:rStyle w:val="Bodytext2Arial65pt"/>
                <w:rFonts w:cs="Times New Roman" w:ascii="Times New Roman" w:hAnsi="Times New Roman"/>
                <w:sz w:val="24"/>
                <w:szCs w:val="24"/>
              </w:rPr>
              <w:t>50</w:t>
            </w:r>
          </w:p>
        </w:tc>
        <w:tc>
          <w:tcPr>
            <w:tcW w:w="2817" w:type="dxa"/>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cs="Times New Roman"/>
                <w:sz w:val="24"/>
                <w:szCs w:val="24"/>
              </w:rPr>
            </w:pPr>
            <w:r>
              <w:rPr>
                <w:rStyle w:val="Bodytext2Arial65pt"/>
                <w:rFonts w:cs="Times New Roman" w:ascii="Times New Roman" w:hAnsi="Times New Roman"/>
                <w:sz w:val="24"/>
                <w:szCs w:val="24"/>
              </w:rPr>
              <w:t>25</w:t>
            </w:r>
          </w:p>
        </w:tc>
        <w:tc>
          <w:tcPr>
            <w:tcW w:w="2290"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jc w:val="center"/>
              <w:rPr>
                <w:rFonts w:ascii="Times New Roman" w:hAnsi="Times New Roman"/>
                <w:sz w:val="24"/>
                <w:szCs w:val="24"/>
              </w:rPr>
            </w:pPr>
            <w:r>
              <w:rPr>
                <w:rFonts w:ascii="Times New Roman" w:hAnsi="Times New Roman"/>
                <w:sz w:val="24"/>
                <w:szCs w:val="24"/>
              </w:rPr>
              <w:t>100</w:t>
            </w:r>
          </w:p>
        </w:tc>
      </w:tr>
      <w:tr>
        <w:trPr>
          <w:trHeight w:val="357" w:hRule="atLeast"/>
        </w:trPr>
        <w:tc>
          <w:tcPr>
            <w:tcW w:w="20973" w:type="dxa"/>
            <w:gridSpan w:val="8"/>
            <w:tcBorders>
              <w:top w:val="single" w:sz="4" w:space="0" w:color="000000"/>
              <w:left w:val="single" w:sz="4" w:space="0" w:color="000000"/>
              <w:bottom w:val="single" w:sz="4" w:space="0" w:color="000000"/>
              <w:right w:val="single" w:sz="4" w:space="0" w:color="000000"/>
            </w:tcBorders>
          </w:tcPr>
          <w:p>
            <w:pPr>
              <w:pStyle w:val="Bodytext22"/>
              <w:widowControl w:val="false"/>
              <w:shd w:val="clear" w:fill="auto"/>
              <w:jc w:val="center"/>
              <w:rPr>
                <w:rFonts w:ascii="Times New Roman" w:hAnsi="Times New Roman" w:cs="Times New Roman"/>
                <w:sz w:val="24"/>
                <w:szCs w:val="24"/>
              </w:rPr>
            </w:pPr>
            <w:r>
              <w:rPr>
                <w:rStyle w:val="Bodytext2Arial8ptBold"/>
                <w:rFonts w:cs="Times New Roman" w:ascii="Times New Roman" w:hAnsi="Times New Roman"/>
                <w:b w:val="false"/>
                <w:bCs w:val="false"/>
                <w:sz w:val="24"/>
                <w:szCs w:val="24"/>
              </w:rPr>
              <w:t>Перемычка реверсивного канала</w:t>
            </w:r>
          </w:p>
        </w:tc>
      </w:tr>
      <w:tr>
        <w:trPr>
          <w:trHeight w:val="264" w:hRule="atLeast"/>
        </w:trPr>
        <w:tc>
          <w:tcPr>
            <w:tcW w:w="8167" w:type="dxa"/>
            <w:gridSpan w:val="3"/>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cs="Times New Roman"/>
                <w:sz w:val="24"/>
                <w:szCs w:val="24"/>
              </w:rPr>
            </w:pPr>
            <w:r>
              <w:rPr>
                <w:rStyle w:val="Bodytext2Arial65pt"/>
                <w:rFonts w:cs="Times New Roman" w:ascii="Times New Roman" w:hAnsi="Times New Roman"/>
                <w:sz w:val="24"/>
                <w:szCs w:val="24"/>
              </w:rPr>
              <w:t>4</w:t>
            </w:r>
          </w:p>
        </w:tc>
        <w:tc>
          <w:tcPr>
            <w:tcW w:w="2310" w:type="dxa"/>
            <w:tcBorders>
              <w:left w:val="single" w:sz="4" w:space="0" w:color="000000"/>
              <w:bottom w:val="single" w:sz="4" w:space="0" w:color="000000"/>
            </w:tcBorders>
            <w:shd w:fill="FFFFFF" w:val="clear"/>
            <w:vAlign w:val="center"/>
          </w:tcPr>
          <w:p>
            <w:pPr>
              <w:pStyle w:val="Normal"/>
              <w:widowControl w:val="false"/>
              <w:spacing w:lineRule="auto" w:line="240"/>
              <w:ind w:left="0" w:right="0" w:hanging="0"/>
              <w:jc w:val="center"/>
              <w:rPr>
                <w:rFonts w:ascii="Times New Roman" w:hAnsi="Times New Roman" w:cs="Times New Roman"/>
                <w:sz w:val="24"/>
                <w:szCs w:val="24"/>
              </w:rPr>
            </w:pPr>
            <w:r>
              <w:rPr>
                <w:rStyle w:val="Bodytext2Arial65pt"/>
                <w:rFonts w:cs="Times New Roman" w:ascii="Times New Roman" w:hAnsi="Times New Roman"/>
                <w:sz w:val="24"/>
                <w:szCs w:val="24"/>
              </w:rPr>
              <w:t>Всего</w:t>
            </w:r>
          </w:p>
        </w:tc>
        <w:tc>
          <w:tcPr>
            <w:tcW w:w="8206" w:type="dxa"/>
            <w:gridSpan w:val="3"/>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cs="Times New Roman"/>
                <w:sz w:val="24"/>
                <w:szCs w:val="24"/>
              </w:rPr>
            </w:pPr>
            <w:r>
              <w:rPr>
                <w:rStyle w:val="Bodytext2Arial65pt"/>
                <w:rFonts w:cs="Times New Roman" w:ascii="Times New Roman" w:hAnsi="Times New Roman"/>
                <w:sz w:val="24"/>
                <w:szCs w:val="24"/>
              </w:rPr>
              <w:t>100</w:t>
            </w:r>
          </w:p>
        </w:tc>
        <w:tc>
          <w:tcPr>
            <w:tcW w:w="2290"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jc w:val="center"/>
              <w:rPr>
                <w:rFonts w:ascii="Times New Roman" w:hAnsi="Times New Roman"/>
                <w:sz w:val="24"/>
                <w:szCs w:val="24"/>
              </w:rPr>
            </w:pPr>
            <w:r>
              <w:rPr>
                <w:rFonts w:ascii="Times New Roman" w:hAnsi="Times New Roman"/>
                <w:sz w:val="24"/>
                <w:szCs w:val="24"/>
              </w:rPr>
            </w:r>
          </w:p>
        </w:tc>
      </w:tr>
      <w:tr>
        <w:trPr>
          <w:trHeight w:val="573" w:hRule="atLeast"/>
        </w:trPr>
        <w:tc>
          <w:tcPr>
            <w:tcW w:w="2760" w:type="dxa"/>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cs="Times New Roman"/>
                <w:sz w:val="24"/>
                <w:szCs w:val="24"/>
              </w:rPr>
            </w:pPr>
            <w:r>
              <w:rPr>
                <w:rStyle w:val="Bodytext2Arial65pt"/>
                <w:rFonts w:cs="Times New Roman" w:ascii="Times New Roman" w:hAnsi="Times New Roman"/>
                <w:sz w:val="24"/>
                <w:szCs w:val="24"/>
              </w:rPr>
              <w:t>в т.ч. в период с 01.01 по 05.05*</w:t>
            </w:r>
          </w:p>
        </w:tc>
        <w:tc>
          <w:tcPr>
            <w:tcW w:w="2618" w:type="dxa"/>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cs="Times New Roman"/>
                <w:sz w:val="24"/>
                <w:szCs w:val="24"/>
              </w:rPr>
            </w:pPr>
            <w:r>
              <w:rPr>
                <w:rStyle w:val="Bodytext2Arial65pt"/>
                <w:rFonts w:cs="Times New Roman" w:ascii="Times New Roman" w:hAnsi="Times New Roman"/>
                <w:sz w:val="24"/>
                <w:szCs w:val="24"/>
              </w:rPr>
              <w:t>в т.ч. в период с 05.05 по 20.10</w:t>
            </w:r>
          </w:p>
        </w:tc>
        <w:tc>
          <w:tcPr>
            <w:tcW w:w="2789" w:type="dxa"/>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cs="Times New Roman"/>
                <w:sz w:val="24"/>
                <w:szCs w:val="24"/>
              </w:rPr>
            </w:pPr>
            <w:r>
              <w:rPr>
                <w:rStyle w:val="Bodytext2Arial65pt"/>
                <w:rFonts w:cs="Times New Roman" w:ascii="Times New Roman" w:hAnsi="Times New Roman"/>
                <w:sz w:val="24"/>
                <w:szCs w:val="24"/>
              </w:rPr>
              <w:t>в т.ч. в период с 20.10 по 31.12*</w:t>
            </w:r>
          </w:p>
        </w:tc>
        <w:tc>
          <w:tcPr>
            <w:tcW w:w="2310" w:type="dxa"/>
            <w:vMerge w:val="restart"/>
            <w:tcBorders>
              <w:left w:val="single" w:sz="4" w:space="0" w:color="000000"/>
              <w:bottom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Style w:val="Bodytext2Arial65pt"/>
                <w:rFonts w:cs="Times New Roman" w:ascii="Times New Roman" w:hAnsi="Times New Roman"/>
                <w:sz w:val="24"/>
                <w:szCs w:val="24"/>
              </w:rPr>
              <w:t>40</w:t>
            </w:r>
          </w:p>
        </w:tc>
        <w:tc>
          <w:tcPr>
            <w:tcW w:w="2716" w:type="dxa"/>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cs="Times New Roman"/>
                <w:sz w:val="24"/>
                <w:szCs w:val="24"/>
              </w:rPr>
            </w:pPr>
            <w:r>
              <w:rPr>
                <w:rStyle w:val="Bodytext2Arial65pt"/>
                <w:rFonts w:cs="Times New Roman" w:ascii="Times New Roman" w:hAnsi="Times New Roman"/>
                <w:sz w:val="24"/>
                <w:szCs w:val="24"/>
              </w:rPr>
              <w:t>в т.ч. в период с 01.01 по 05.05*</w:t>
            </w:r>
          </w:p>
        </w:tc>
        <w:tc>
          <w:tcPr>
            <w:tcW w:w="2673" w:type="dxa"/>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cs="Times New Roman"/>
                <w:sz w:val="24"/>
                <w:szCs w:val="24"/>
              </w:rPr>
            </w:pPr>
            <w:r>
              <w:rPr>
                <w:rStyle w:val="Bodytext2Arial65pt"/>
                <w:rFonts w:cs="Times New Roman" w:ascii="Times New Roman" w:hAnsi="Times New Roman"/>
                <w:sz w:val="24"/>
                <w:szCs w:val="24"/>
              </w:rPr>
              <w:t>в т.ч. в период с 05.05 по 20.10</w:t>
            </w:r>
          </w:p>
        </w:tc>
        <w:tc>
          <w:tcPr>
            <w:tcW w:w="2817" w:type="dxa"/>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cs="Times New Roman"/>
                <w:sz w:val="24"/>
                <w:szCs w:val="24"/>
              </w:rPr>
            </w:pPr>
            <w:r>
              <w:rPr>
                <w:rStyle w:val="Bodytext2Arial65pt"/>
                <w:rFonts w:cs="Times New Roman" w:ascii="Times New Roman" w:hAnsi="Times New Roman"/>
                <w:sz w:val="24"/>
                <w:szCs w:val="24"/>
              </w:rPr>
              <w:t>в т.ч. в период с 20.10 по 31.12*</w:t>
            </w:r>
          </w:p>
        </w:tc>
        <w:tc>
          <w:tcPr>
            <w:tcW w:w="2290"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22"/>
              <w:widowControl w:val="false"/>
              <w:shd w:val="clear" w:fill="auto"/>
              <w:jc w:val="center"/>
              <w:rPr>
                <w:rFonts w:ascii="Times New Roman" w:hAnsi="Times New Roman"/>
                <w:sz w:val="24"/>
                <w:szCs w:val="24"/>
              </w:rPr>
            </w:pPr>
            <w:r>
              <w:rPr>
                <w:rStyle w:val="Bodytext2Arial65pt"/>
                <w:rFonts w:cs="Times New Roman" w:ascii="Times New Roman" w:hAnsi="Times New Roman"/>
                <w:sz w:val="24"/>
                <w:szCs w:val="24"/>
              </w:rPr>
              <w:t>Всего</w:t>
            </w:r>
          </w:p>
        </w:tc>
      </w:tr>
      <w:tr>
        <w:trPr>
          <w:trHeight w:val="573" w:hRule="atLeast"/>
        </w:trPr>
        <w:tc>
          <w:tcPr>
            <w:tcW w:w="2760" w:type="dxa"/>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cs="Times New Roman"/>
                <w:sz w:val="24"/>
                <w:szCs w:val="24"/>
              </w:rPr>
            </w:pPr>
            <w:r>
              <w:rPr>
                <w:rFonts w:ascii="Times New Roman" w:hAnsi="Times New Roman"/>
                <w:sz w:val="24"/>
                <w:szCs w:val="24"/>
              </w:rPr>
              <w:t>1</w:t>
            </w:r>
          </w:p>
        </w:tc>
        <w:tc>
          <w:tcPr>
            <w:tcW w:w="2618" w:type="dxa"/>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cs="Times New Roman"/>
                <w:sz w:val="24"/>
                <w:szCs w:val="24"/>
              </w:rPr>
            </w:pPr>
            <w:r>
              <w:rPr>
                <w:rFonts w:ascii="Times New Roman" w:hAnsi="Times New Roman"/>
                <w:sz w:val="24"/>
                <w:szCs w:val="24"/>
              </w:rPr>
              <w:t>2</w:t>
            </w:r>
          </w:p>
        </w:tc>
        <w:tc>
          <w:tcPr>
            <w:tcW w:w="2789" w:type="dxa"/>
            <w:tcBorders>
              <w:top w:val="single" w:sz="4" w:space="0" w:color="000000"/>
              <w:left w:val="single" w:sz="4" w:space="0" w:color="000000"/>
              <w:bottom w:val="single" w:sz="4" w:space="0" w:color="000000"/>
            </w:tcBorders>
            <w:shd w:fill="FFFFFF" w:val="clear"/>
            <w:vAlign w:val="center"/>
          </w:tcPr>
          <w:p>
            <w:pPr>
              <w:pStyle w:val="Bodytext22"/>
              <w:widowControl w:val="false"/>
              <w:shd w:val="clear" w:fill="auto"/>
              <w:jc w:val="center"/>
              <w:rPr>
                <w:rFonts w:ascii="Times New Roman" w:hAnsi="Times New Roman" w:cs="Times New Roman"/>
                <w:sz w:val="24"/>
                <w:szCs w:val="24"/>
              </w:rPr>
            </w:pPr>
            <w:r>
              <w:rPr>
                <w:rStyle w:val="Bodytext2Arial65pt"/>
                <w:rFonts w:cs="Times New Roman" w:ascii="Times New Roman" w:hAnsi="Times New Roman"/>
                <w:sz w:val="24"/>
                <w:szCs w:val="24"/>
              </w:rPr>
              <w:t>1</w:t>
            </w:r>
          </w:p>
        </w:tc>
        <w:tc>
          <w:tcPr>
            <w:tcW w:w="2310" w:type="dxa"/>
            <w:vMerge w:val="continue"/>
            <w:tcBorders>
              <w:left w:val="single" w:sz="4" w:space="0" w:color="000000"/>
              <w:bottom w:val="single" w:sz="4" w:space="0" w:color="000000"/>
            </w:tcBorders>
            <w:vAlign w:val="center"/>
          </w:tcPr>
          <w:p>
            <w:pPr>
              <w:pStyle w:val="Normal"/>
              <w:widowControl w:val="false"/>
              <w:rPr/>
            </w:pPr>
            <w:r>
              <w:rPr/>
            </w:r>
          </w:p>
        </w:tc>
        <w:tc>
          <w:tcPr>
            <w:tcW w:w="2716" w:type="dxa"/>
            <w:tcBorders>
              <w:top w:val="single" w:sz="4" w:space="0" w:color="000000"/>
              <w:left w:val="single" w:sz="4" w:space="0" w:color="000000"/>
              <w:bottom w:val="single" w:sz="4" w:space="0" w:color="000000"/>
            </w:tcBorders>
            <w:vAlign w:val="center"/>
          </w:tcPr>
          <w:p>
            <w:pPr>
              <w:pStyle w:val="Bodytext22"/>
              <w:widowControl w:val="false"/>
              <w:shd w:val="clear" w:fill="auto"/>
              <w:jc w:val="center"/>
              <w:rPr>
                <w:rFonts w:ascii="Times New Roman" w:hAnsi="Times New Roman" w:cs="Times New Roman"/>
                <w:sz w:val="24"/>
                <w:szCs w:val="24"/>
              </w:rPr>
            </w:pPr>
            <w:r>
              <w:rPr>
                <w:rStyle w:val="Bodytext2Arial65pt"/>
                <w:rFonts w:cs="Times New Roman" w:ascii="Times New Roman" w:hAnsi="Times New Roman"/>
                <w:sz w:val="24"/>
                <w:szCs w:val="24"/>
              </w:rPr>
              <w:t>40</w:t>
            </w:r>
          </w:p>
        </w:tc>
        <w:tc>
          <w:tcPr>
            <w:tcW w:w="2673" w:type="dxa"/>
            <w:tcBorders>
              <w:top w:val="single" w:sz="4" w:space="0" w:color="000000"/>
              <w:left w:val="single" w:sz="4" w:space="0" w:color="000000"/>
              <w:bottom w:val="single" w:sz="4" w:space="0" w:color="000000"/>
            </w:tcBorders>
            <w:vAlign w:val="center"/>
          </w:tcPr>
          <w:p>
            <w:pPr>
              <w:pStyle w:val="Bodytext22"/>
              <w:widowControl w:val="false"/>
              <w:shd w:val="clear" w:fill="auto"/>
              <w:jc w:val="center"/>
              <w:rPr>
                <w:rFonts w:ascii="Times New Roman" w:hAnsi="Times New Roman" w:cs="Times New Roman"/>
                <w:sz w:val="24"/>
                <w:szCs w:val="24"/>
              </w:rPr>
            </w:pPr>
            <w:r>
              <w:rPr>
                <w:rStyle w:val="Bodytext2Arial65pt"/>
                <w:rFonts w:cs="Times New Roman" w:ascii="Times New Roman" w:hAnsi="Times New Roman"/>
                <w:sz w:val="24"/>
                <w:szCs w:val="24"/>
              </w:rPr>
              <w:t>80</w:t>
            </w:r>
          </w:p>
        </w:tc>
        <w:tc>
          <w:tcPr>
            <w:tcW w:w="2817" w:type="dxa"/>
            <w:tcBorders>
              <w:top w:val="single" w:sz="4" w:space="0" w:color="000000"/>
              <w:left w:val="single" w:sz="4" w:space="0" w:color="000000"/>
              <w:bottom w:val="single" w:sz="4" w:space="0" w:color="000000"/>
            </w:tcBorders>
            <w:vAlign w:val="center"/>
          </w:tcPr>
          <w:p>
            <w:pPr>
              <w:pStyle w:val="Bodytext22"/>
              <w:widowControl w:val="false"/>
              <w:shd w:val="clear" w:fill="auto"/>
              <w:jc w:val="center"/>
              <w:rPr>
                <w:rFonts w:ascii="Times New Roman" w:hAnsi="Times New Roman" w:cs="Times New Roman"/>
                <w:sz w:val="24"/>
                <w:szCs w:val="24"/>
              </w:rPr>
            </w:pPr>
            <w:r>
              <w:rPr>
                <w:rStyle w:val="Bodytext2Arial65pt"/>
                <w:rFonts w:cs="Times New Roman" w:ascii="Times New Roman" w:hAnsi="Times New Roman"/>
                <w:sz w:val="24"/>
                <w:szCs w:val="24"/>
              </w:rPr>
              <w:t>40</w:t>
            </w:r>
          </w:p>
        </w:tc>
        <w:tc>
          <w:tcPr>
            <w:tcW w:w="2290" w:type="dxa"/>
            <w:tcBorders>
              <w:top w:val="single" w:sz="4" w:space="0" w:color="000000"/>
              <w:left w:val="single" w:sz="4" w:space="0" w:color="000000"/>
              <w:bottom w:val="single" w:sz="4" w:space="0" w:color="000000"/>
              <w:right w:val="single" w:sz="4" w:space="0" w:color="000000"/>
            </w:tcBorders>
            <w:vAlign w:val="center"/>
          </w:tcPr>
          <w:p>
            <w:pPr>
              <w:pStyle w:val="Bodytext22"/>
              <w:widowControl w:val="false"/>
              <w:shd w:val="clear" w:fill="auto"/>
              <w:jc w:val="center"/>
              <w:rPr>
                <w:rFonts w:ascii="Times New Roman" w:hAnsi="Times New Roman"/>
                <w:sz w:val="24"/>
                <w:szCs w:val="24"/>
              </w:rPr>
            </w:pPr>
            <w:r>
              <w:rPr>
                <w:rFonts w:ascii="Times New Roman" w:hAnsi="Times New Roman"/>
                <w:sz w:val="24"/>
                <w:szCs w:val="24"/>
              </w:rPr>
              <w:t>160</w:t>
            </w:r>
          </w:p>
        </w:tc>
      </w:tr>
    </w:tbl>
    <w:p>
      <w:pPr>
        <w:sectPr>
          <w:headerReference w:type="default" r:id="rId67"/>
          <w:headerReference w:type="first" r:id="rId68"/>
          <w:footerReference w:type="default" r:id="rId69"/>
          <w:footerReference w:type="first" r:id="rId70"/>
          <w:type w:val="nextPage"/>
          <w:pgSz w:orient="landscape" w:w="23811" w:h="16838"/>
          <w:pgMar w:left="1701" w:right="1134" w:gutter="0" w:header="397" w:top="1134" w:footer="0" w:bottom="1134"/>
          <w:pgNumType w:fmt="decimal"/>
          <w:formProt w:val="false"/>
          <w:textDirection w:val="lrTb"/>
          <w:docGrid w:type="default" w:linePitch="360" w:charSpace="4096"/>
        </w:sectPr>
        <w:pStyle w:val="Normal"/>
        <w:ind w:left="0" w:right="0" w:hanging="0"/>
        <w:rPr>
          <w:rFonts w:ascii="Times New Roman" w:hAnsi="Times New Roman"/>
          <w:sz w:val="24"/>
        </w:rPr>
      </w:pPr>
      <w:r>
        <w:rPr>
          <w:rFonts w:ascii="Times New Roman" w:hAnsi="Times New Roman"/>
          <w:sz w:val="24"/>
        </w:rPr>
        <w:t>*Неблагоприятный период</w:t>
      </w:r>
    </w:p>
    <w:p>
      <w:pPr>
        <w:pStyle w:val="Normal"/>
        <w:rPr>
          <w:rFonts w:ascii="Times New Roman" w:hAnsi="Times New Roman"/>
          <w:sz w:val="24"/>
        </w:rPr>
      </w:pPr>
      <w:r>
        <w:rPr>
          <w:rFonts w:ascii="Times New Roman" w:hAnsi="Times New Roman"/>
          <w:sz w:val="24"/>
        </w:rPr>
        <w:t>В соответствии со «Справочником базовых цен на инженерные изыскания для строительства. Инженерно-геодезические изыскания при строительстве и эксплуатации зданий и сооружений»:</w:t>
      </w:r>
    </w:p>
    <w:p>
      <w:pPr>
        <w:pStyle w:val="Normal"/>
        <w:rPr>
          <w:rFonts w:ascii="Times New Roman" w:hAnsi="Times New Roman"/>
          <w:sz w:val="24"/>
        </w:rPr>
      </w:pPr>
      <w:r>
        <w:rPr>
          <w:rFonts w:ascii="Times New Roman" w:hAnsi="Times New Roman"/>
          <w:sz w:val="24"/>
        </w:rPr>
        <w:t>- условия выполнения рекогносцировки и наблюдений за вертикальными перемещениями (нивелирование) относятся к III категории сложности;</w:t>
      </w:r>
    </w:p>
    <w:p>
      <w:pPr>
        <w:pStyle w:val="Normal"/>
        <w:rPr>
          <w:rFonts w:ascii="Times New Roman" w:hAnsi="Times New Roman"/>
          <w:sz w:val="24"/>
        </w:rPr>
      </w:pPr>
      <w:r>
        <w:rPr>
          <w:rFonts w:ascii="Times New Roman" w:hAnsi="Times New Roman"/>
          <w:sz w:val="24"/>
        </w:rPr>
        <w:t>- расстояния по внутреннему транспорту связанные с перевозкой изыскателей, оборудования и материалов от места базирования изыскательской организации до участка изысканий и обратно, а также непосредственно на участке работ относится к категории от 10 до 15 км;</w:t>
      </w:r>
    </w:p>
    <w:p>
      <w:pPr>
        <w:pStyle w:val="Normal"/>
        <w:rPr>
          <w:rFonts w:ascii="Times New Roman" w:hAnsi="Times New Roman"/>
          <w:sz w:val="24"/>
        </w:rPr>
      </w:pPr>
      <w:r>
        <w:rPr>
          <w:rFonts w:ascii="Times New Roman" w:hAnsi="Times New Roman"/>
          <w:sz w:val="24"/>
        </w:rPr>
        <w:t>- расстояния по внешнему транспорту, связанные с проездом работников и перевозкой изыскательского оборудования и грузов от постоянного местонахождения организации до места базирования относится к категории от 100 до 300 км.</w:t>
      </w:r>
    </w:p>
    <w:p>
      <w:pPr>
        <w:pStyle w:val="Heading2"/>
        <w:numPr>
          <w:ilvl w:val="0"/>
        </w:numPr>
        <w:ind w:left="0" w:right="0" w:hanging="0"/>
        <w:rPr>
          <w:rFonts w:ascii="Times New Roman" w:hAnsi="Times New Roman"/>
        </w:rPr>
      </w:pPr>
      <w:bookmarkStart w:id="160" w:name="__RefHeading___Toc39954_2889022187"/>
      <w:bookmarkEnd w:id="160"/>
      <w:r>
        <w:rPr>
          <w:rFonts w:ascii="Times New Roman" w:hAnsi="Times New Roman"/>
        </w:rPr>
        <w:t xml:space="preserve">4.5.3 </w:t>
      </w:r>
      <w:bookmarkStart w:id="161" w:name="_Toc215650214"/>
      <w:bookmarkStart w:id="162" w:name="_Toc526843742"/>
      <w:r>
        <w:rPr>
          <w:rFonts w:ascii="Times New Roman" w:hAnsi="Times New Roman"/>
        </w:rPr>
        <w:t>Периодичность проведения наблюдений за вертикальными перемещениями</w:t>
      </w:r>
      <w:bookmarkEnd w:id="161"/>
      <w:bookmarkEnd w:id="162"/>
    </w:p>
    <w:p>
      <w:pPr>
        <w:pStyle w:val="Normal"/>
        <w:rPr>
          <w:rFonts w:ascii="Times New Roman" w:hAnsi="Times New Roman"/>
          <w:sz w:val="24"/>
        </w:rPr>
      </w:pPr>
      <w:r>
        <w:rPr>
          <w:rFonts w:ascii="Times New Roman" w:hAnsi="Times New Roman"/>
          <w:sz w:val="24"/>
        </w:rPr>
        <w:t>Периодичность проведения наблюдений по контрольно-измерительной аппаратуре для наблюдений за осадками представлена в приложении Б.</w:t>
      </w:r>
    </w:p>
    <w:p>
      <w:pPr>
        <w:pStyle w:val="Normal"/>
        <w:rPr>
          <w:rFonts w:ascii="Times New Roman" w:hAnsi="Times New Roman"/>
          <w:sz w:val="24"/>
        </w:rPr>
      </w:pPr>
      <w:r>
        <w:rPr>
          <w:rFonts w:ascii="Times New Roman" w:hAnsi="Times New Roman"/>
          <w:sz w:val="24"/>
        </w:rPr>
        <w:t>Настоящая периодичность предусматривает количество циклов наблюдений (измерений) по соответствующей контрольно-измерительной аппаратуре за определенный промежуток времени.</w:t>
      </w:r>
    </w:p>
    <w:p>
      <w:pPr>
        <w:pStyle w:val="Heading2"/>
        <w:numPr>
          <w:ilvl w:val="0"/>
        </w:numPr>
        <w:ind w:left="0" w:right="0" w:hanging="0"/>
        <w:rPr>
          <w:rFonts w:ascii="Times New Roman" w:hAnsi="Times New Roman"/>
        </w:rPr>
      </w:pPr>
      <w:bookmarkStart w:id="163" w:name="__RefHeading___Toc39956_2889022187"/>
      <w:bookmarkEnd w:id="163"/>
      <w:r>
        <w:rPr>
          <w:rFonts w:ascii="Times New Roman" w:hAnsi="Times New Roman"/>
        </w:rPr>
        <w:t xml:space="preserve">4.5.4 </w:t>
      </w:r>
      <w:bookmarkStart w:id="164" w:name="_Toc526843743"/>
      <w:bookmarkStart w:id="165" w:name="_Toc215650215"/>
      <w:r>
        <w:rPr>
          <w:rFonts w:ascii="Times New Roman" w:hAnsi="Times New Roman"/>
        </w:rPr>
        <w:t>Объёмы наблюдений за вертикальными перемещениями</w:t>
      </w:r>
      <w:bookmarkEnd w:id="164"/>
      <w:bookmarkEnd w:id="165"/>
    </w:p>
    <w:p>
      <w:pPr>
        <w:pStyle w:val="Normal"/>
        <w:rPr>
          <w:rFonts w:ascii="Times New Roman" w:hAnsi="Times New Roman"/>
          <w:sz w:val="24"/>
        </w:rPr>
      </w:pPr>
      <w:r>
        <w:rPr>
          <w:rFonts w:ascii="Times New Roman" w:hAnsi="Times New Roman"/>
          <w:sz w:val="24"/>
        </w:rPr>
        <w:t>Объём наблюдений по контрольно-измерительной аппаратуре для наблюдений за осадками определяется на основе длины нивелирного хода (количества штативов) и количества циклов наблюдений в год.</w:t>
      </w:r>
    </w:p>
    <w:p>
      <w:pPr>
        <w:pStyle w:val="Normal"/>
        <w:rPr>
          <w:rFonts w:ascii="Times New Roman" w:hAnsi="Times New Roman"/>
          <w:sz w:val="24"/>
        </w:rPr>
      </w:pPr>
      <w:r>
        <w:rPr>
          <w:rFonts w:ascii="Times New Roman" w:hAnsi="Times New Roman"/>
          <w:sz w:val="24"/>
        </w:rPr>
        <w:t>Объём наблюдений за вертикальными перемещениями по контрольно-измерительной аппаратуре на один год представлен в приложении В.</w:t>
      </w:r>
    </w:p>
    <w:p>
      <w:pPr>
        <w:pStyle w:val="Normal"/>
        <w:ind w:left="0" w:right="0" w:hanging="0"/>
        <w:rPr>
          <w:rFonts w:ascii="Times New Roman" w:hAnsi="Times New Roman"/>
          <w:sz w:val="24"/>
        </w:rPr>
      </w:pPr>
      <w:r>
        <w:rPr>
          <w:rFonts w:ascii="Times New Roman" w:hAnsi="Times New Roman"/>
          <w:sz w:val="24"/>
        </w:rPr>
      </w:r>
    </w:p>
    <w:p>
      <w:pPr>
        <w:pStyle w:val="Heading2"/>
        <w:numPr>
          <w:ilvl w:val="0"/>
        </w:numPr>
        <w:ind w:left="0" w:right="0" w:hanging="0"/>
        <w:rPr>
          <w:rFonts w:ascii="Times New Roman" w:hAnsi="Times New Roman"/>
        </w:rPr>
      </w:pPr>
      <w:bookmarkStart w:id="166" w:name="__RefHeading___Toc14192_3528834450"/>
      <w:bookmarkEnd w:id="166"/>
      <w:r>
        <w:rPr>
          <w:rFonts w:ascii="Times New Roman" w:hAnsi="Times New Roman"/>
        </w:rPr>
        <w:t xml:space="preserve">4.5.5 </w:t>
      </w:r>
      <w:bookmarkStart w:id="167" w:name="_Toc215650216"/>
      <w:bookmarkStart w:id="168" w:name="_Toc526843744"/>
      <w:r>
        <w:rPr>
          <w:rFonts w:ascii="Times New Roman" w:hAnsi="Times New Roman"/>
        </w:rPr>
        <w:t>Обработка и оформление результатов наблюдений за вертикальными перемещениями</w:t>
      </w:r>
      <w:bookmarkEnd w:id="167"/>
      <w:bookmarkEnd w:id="168"/>
    </w:p>
    <w:p>
      <w:pPr>
        <w:pStyle w:val="Normal"/>
        <w:rPr>
          <w:rFonts w:ascii="Times New Roman" w:hAnsi="Times New Roman"/>
          <w:sz w:val="24"/>
        </w:rPr>
      </w:pPr>
      <w:r>
        <w:rPr>
          <w:rFonts w:ascii="Times New Roman" w:hAnsi="Times New Roman"/>
          <w:sz w:val="24"/>
        </w:rPr>
        <w:t>Регистрация наблюдений выполняется в памяти инструмента (нивелира) без ведения полевого журнала.</w:t>
      </w:r>
    </w:p>
    <w:p>
      <w:pPr>
        <w:pStyle w:val="Normal"/>
        <w:rPr>
          <w:rFonts w:ascii="Times New Roman" w:hAnsi="Times New Roman"/>
          <w:sz w:val="24"/>
        </w:rPr>
      </w:pPr>
      <w:r>
        <w:rPr>
          <w:rFonts w:ascii="Times New Roman" w:hAnsi="Times New Roman"/>
          <w:sz w:val="24"/>
        </w:rPr>
        <w:t xml:space="preserve">Результаты выполненных наблюдений за вертикальными перемещениями заносятся в соответствующие журналы наблюдений </w:t>
      </w:r>
      <w:r>
        <w:rPr>
          <w:rFonts w:ascii="Times New Roman" w:hAnsi="Times New Roman"/>
          <w:sz w:val="24"/>
          <w:shd w:fill="auto" w:val="clear"/>
        </w:rPr>
        <w:t xml:space="preserve">(форма полевого журнала приведена в приложении Д) и в электронную </w:t>
      </w:r>
      <w:r>
        <w:rPr>
          <w:rFonts w:ascii="Times New Roman" w:hAnsi="Times New Roman"/>
          <w:sz w:val="24"/>
        </w:rPr>
        <w:t>базу данных информационно-диагностической системы «БИНГ-3».</w:t>
      </w:r>
    </w:p>
    <w:p>
      <w:pPr>
        <w:pStyle w:val="Heading2"/>
        <w:numPr>
          <w:ilvl w:val="0"/>
        </w:numPr>
        <w:ind w:left="0" w:right="0" w:hanging="0"/>
        <w:rPr>
          <w:rFonts w:ascii="Times New Roman" w:hAnsi="Times New Roman"/>
        </w:rPr>
      </w:pPr>
      <w:bookmarkStart w:id="169" w:name="__RefHeading___Toc39960_2889022187"/>
      <w:bookmarkEnd w:id="169"/>
      <w:r>
        <w:rPr>
          <w:rFonts w:ascii="Times New Roman" w:hAnsi="Times New Roman"/>
        </w:rPr>
        <w:t xml:space="preserve">4.6 </w:t>
      </w:r>
      <w:bookmarkStart w:id="170" w:name="_Toc215650217"/>
      <w:bookmarkStart w:id="171" w:name="_Toc526843745"/>
      <w:r>
        <w:rPr>
          <w:rFonts w:ascii="Times New Roman" w:hAnsi="Times New Roman"/>
        </w:rPr>
        <w:t>Проведение наблюдений по обратным отвесам</w:t>
      </w:r>
      <w:bookmarkEnd w:id="170"/>
      <w:bookmarkEnd w:id="171"/>
    </w:p>
    <w:p>
      <w:pPr>
        <w:pStyle w:val="Heading2"/>
        <w:numPr>
          <w:ilvl w:val="0"/>
        </w:numPr>
        <w:ind w:left="0" w:right="0" w:hanging="0"/>
        <w:rPr>
          <w:rFonts w:ascii="Times New Roman" w:hAnsi="Times New Roman"/>
        </w:rPr>
      </w:pPr>
      <w:bookmarkStart w:id="172" w:name="__RefHeading___Toc39962_2889022187"/>
      <w:bookmarkEnd w:id="172"/>
      <w:r>
        <w:rPr>
          <w:rFonts w:ascii="Times New Roman" w:hAnsi="Times New Roman"/>
        </w:rPr>
        <w:t xml:space="preserve">4.6.1 </w:t>
      </w:r>
      <w:bookmarkStart w:id="173" w:name="_Toc215650218"/>
      <w:bookmarkStart w:id="174" w:name="_Toc526843746"/>
      <w:r>
        <w:rPr>
          <w:rFonts w:ascii="Times New Roman" w:hAnsi="Times New Roman"/>
        </w:rPr>
        <w:t>Состав обратных отвесов</w:t>
      </w:r>
      <w:bookmarkEnd w:id="173"/>
      <w:bookmarkEnd w:id="174"/>
    </w:p>
    <w:p>
      <w:pPr>
        <w:pStyle w:val="Normal"/>
        <w:rPr>
          <w:rFonts w:ascii="Times New Roman" w:hAnsi="Times New Roman"/>
          <w:sz w:val="24"/>
        </w:rPr>
      </w:pPr>
      <w:r>
        <w:rPr>
          <w:rFonts w:ascii="Times New Roman" w:hAnsi="Times New Roman"/>
          <w:sz w:val="24"/>
        </w:rPr>
        <w:t>Для контроля относительных горизонтальных перемещений гидротехнических сооружений и склона проектом предусматривается установка обратных отвесов.</w:t>
      </w:r>
    </w:p>
    <w:p>
      <w:pPr>
        <w:pStyle w:val="Normal"/>
        <w:rPr>
          <w:rFonts w:ascii="Times New Roman" w:hAnsi="Times New Roman"/>
          <w:sz w:val="24"/>
        </w:rPr>
      </w:pPr>
      <w:r>
        <w:rPr>
          <w:rFonts w:ascii="Times New Roman" w:hAnsi="Times New Roman"/>
          <w:sz w:val="24"/>
        </w:rPr>
        <w:t>Количество обратных отвесов, предусмотренных проектом, представлено в приложении А.</w:t>
      </w:r>
    </w:p>
    <w:p>
      <w:pPr>
        <w:pStyle w:val="Heading2"/>
        <w:numPr>
          <w:ilvl w:val="0"/>
        </w:numPr>
        <w:ind w:left="0" w:right="0" w:hanging="0"/>
        <w:rPr>
          <w:rFonts w:ascii="Times New Roman" w:hAnsi="Times New Roman"/>
        </w:rPr>
      </w:pPr>
      <w:bookmarkStart w:id="175" w:name="__RefHeading___Toc39964_2889022187"/>
      <w:bookmarkEnd w:id="175"/>
      <w:r>
        <w:rPr>
          <w:rFonts w:ascii="Times New Roman" w:hAnsi="Times New Roman"/>
        </w:rPr>
        <w:t xml:space="preserve">4.6.2 </w:t>
      </w:r>
      <w:bookmarkStart w:id="176" w:name="_Toc215650219"/>
      <w:bookmarkStart w:id="177" w:name="_Toc526843747"/>
      <w:r>
        <w:rPr>
          <w:rFonts w:ascii="Times New Roman" w:hAnsi="Times New Roman"/>
        </w:rPr>
        <w:t>Методика проведения наблюдений по обратным отвесам</w:t>
      </w:r>
      <w:bookmarkEnd w:id="176"/>
      <w:bookmarkEnd w:id="177"/>
    </w:p>
    <w:p>
      <w:pPr>
        <w:pStyle w:val="Normal"/>
        <w:rPr>
          <w:rFonts w:ascii="Times New Roman" w:hAnsi="Times New Roman"/>
          <w:sz w:val="24"/>
        </w:rPr>
      </w:pPr>
      <w:r>
        <w:rPr>
          <w:rFonts w:ascii="Times New Roman" w:hAnsi="Times New Roman"/>
          <w:sz w:val="24"/>
        </w:rPr>
        <w:t>Измерения по обратным отвесам выполняются с помощью переносного координатомера. На координатный столик устанавливают координатомер и проводят замеры координат положения струны. Аналогичные измерения выполняют в перпендикулярном направлении.</w:t>
      </w:r>
    </w:p>
    <w:p>
      <w:pPr>
        <w:pStyle w:val="Normal"/>
        <w:rPr>
          <w:rFonts w:ascii="Times New Roman" w:hAnsi="Times New Roman"/>
          <w:sz w:val="24"/>
        </w:rPr>
      </w:pPr>
      <w:r>
        <w:rPr>
          <w:rFonts w:ascii="Times New Roman" w:hAnsi="Times New Roman"/>
          <w:sz w:val="24"/>
        </w:rPr>
        <w:t>При проведении измерений определяются компоненты перемещения. Вектор измеряемого перемещения при этом раскладывается на компоненты Х и У, соответствующие осям координатного столика.</w:t>
      </w:r>
    </w:p>
    <w:p>
      <w:pPr>
        <w:pStyle w:val="Normal"/>
        <w:rPr>
          <w:rFonts w:ascii="Times New Roman" w:hAnsi="Times New Roman"/>
          <w:sz w:val="24"/>
        </w:rPr>
      </w:pPr>
      <w:r>
        <w:rPr>
          <w:rFonts w:ascii="Times New Roman" w:hAnsi="Times New Roman"/>
          <w:sz w:val="24"/>
        </w:rPr>
        <w:t>В соответствии со «Справочником базовых цен на инженерные изыскания для строительства. Инженерно-геодезические изыскания при строительстве и эксплуатации зданий и сооружений»:</w:t>
      </w:r>
    </w:p>
    <w:p>
      <w:pPr>
        <w:pStyle w:val="Normal"/>
        <w:rPr>
          <w:rFonts w:ascii="Times New Roman" w:hAnsi="Times New Roman"/>
          <w:sz w:val="24"/>
        </w:rPr>
      </w:pPr>
      <w:r>
        <w:rPr>
          <w:rFonts w:ascii="Times New Roman" w:hAnsi="Times New Roman"/>
          <w:sz w:val="24"/>
        </w:rPr>
        <w:t>- условия выполнения наблюдений по обратным отвесам относятся к I категории сложности.</w:t>
      </w:r>
    </w:p>
    <w:p>
      <w:pPr>
        <w:pStyle w:val="Heading2"/>
        <w:numPr>
          <w:ilvl w:val="0"/>
        </w:numPr>
        <w:ind w:left="0" w:right="0" w:hanging="0"/>
        <w:rPr>
          <w:rFonts w:ascii="Times New Roman" w:hAnsi="Times New Roman"/>
        </w:rPr>
      </w:pPr>
      <w:bookmarkStart w:id="178" w:name="__RefHeading___Toc39966_2889022187"/>
      <w:bookmarkEnd w:id="178"/>
      <w:r>
        <w:rPr>
          <w:rFonts w:ascii="Times New Roman" w:hAnsi="Times New Roman"/>
        </w:rPr>
        <w:t xml:space="preserve">4.6.3 </w:t>
      </w:r>
      <w:bookmarkStart w:id="179" w:name="_Toc526843748"/>
      <w:bookmarkStart w:id="180" w:name="_Toc215650220"/>
      <w:r>
        <w:rPr>
          <w:rFonts w:ascii="Times New Roman" w:hAnsi="Times New Roman"/>
        </w:rPr>
        <w:t>Периодичность проведения наблюдений по обратным отвесам</w:t>
      </w:r>
      <w:bookmarkEnd w:id="179"/>
      <w:bookmarkEnd w:id="180"/>
    </w:p>
    <w:p>
      <w:pPr>
        <w:pStyle w:val="Normal"/>
        <w:rPr>
          <w:rFonts w:ascii="Times New Roman" w:hAnsi="Times New Roman"/>
          <w:sz w:val="24"/>
        </w:rPr>
      </w:pPr>
      <w:r>
        <w:rPr>
          <w:rFonts w:ascii="Times New Roman" w:hAnsi="Times New Roman"/>
          <w:sz w:val="24"/>
        </w:rPr>
        <w:t>Периодичность проведения наблюдений по обратным отвесам представлена в приложении Б.</w:t>
      </w:r>
    </w:p>
    <w:p>
      <w:pPr>
        <w:pStyle w:val="Normal"/>
        <w:rPr>
          <w:rFonts w:ascii="Times New Roman" w:hAnsi="Times New Roman"/>
          <w:sz w:val="24"/>
        </w:rPr>
      </w:pPr>
      <w:r>
        <w:rPr>
          <w:rFonts w:ascii="Times New Roman" w:hAnsi="Times New Roman"/>
          <w:sz w:val="24"/>
        </w:rPr>
        <w:t>Настоящая периодичность предусматривает количество циклов наблюдений (измерений) по обратным отвесам за определенный промежуток времени.</w:t>
      </w:r>
    </w:p>
    <w:p>
      <w:pPr>
        <w:pStyle w:val="Heading2"/>
        <w:numPr>
          <w:ilvl w:val="0"/>
        </w:numPr>
        <w:ind w:left="0" w:right="0" w:hanging="0"/>
        <w:rPr>
          <w:rFonts w:ascii="Times New Roman" w:hAnsi="Times New Roman"/>
        </w:rPr>
      </w:pPr>
      <w:bookmarkStart w:id="181" w:name="__RefHeading___Toc39968_2889022187"/>
      <w:bookmarkEnd w:id="181"/>
      <w:r>
        <w:rPr>
          <w:rFonts w:ascii="Times New Roman" w:hAnsi="Times New Roman"/>
        </w:rPr>
        <w:t xml:space="preserve">4.6.4 </w:t>
      </w:r>
      <w:bookmarkStart w:id="182" w:name="_Toc526843749"/>
      <w:bookmarkStart w:id="183" w:name="_Toc215650221"/>
      <w:r>
        <w:rPr>
          <w:rFonts w:ascii="Times New Roman" w:hAnsi="Times New Roman"/>
        </w:rPr>
        <w:t>Объёмы наблюдений по обратным отвесам</w:t>
      </w:r>
      <w:bookmarkEnd w:id="182"/>
      <w:bookmarkEnd w:id="183"/>
    </w:p>
    <w:p>
      <w:pPr>
        <w:pStyle w:val="Normal"/>
        <w:rPr>
          <w:rFonts w:ascii="Times New Roman" w:hAnsi="Times New Roman"/>
          <w:sz w:val="24"/>
        </w:rPr>
      </w:pPr>
      <w:r>
        <w:rPr>
          <w:rFonts w:ascii="Times New Roman" w:hAnsi="Times New Roman"/>
          <w:sz w:val="24"/>
        </w:rPr>
        <w:t>Объём наблюдений по обратным отвесам определяется на основе количества обратных отвесов и количества циклов наблюдений по ним в год.</w:t>
      </w:r>
    </w:p>
    <w:p>
      <w:pPr>
        <w:pStyle w:val="Normal"/>
        <w:rPr>
          <w:rFonts w:ascii="Times New Roman" w:hAnsi="Times New Roman"/>
          <w:sz w:val="24"/>
        </w:rPr>
      </w:pPr>
      <w:r>
        <w:rPr>
          <w:rFonts w:ascii="Times New Roman" w:hAnsi="Times New Roman"/>
          <w:sz w:val="24"/>
        </w:rPr>
        <w:t>Объём наблюдений по обратным отвесам на один год представлен в приложении В.</w:t>
      </w:r>
    </w:p>
    <w:p>
      <w:pPr>
        <w:pStyle w:val="Heading4"/>
        <w:numPr>
          <w:ilvl w:val="0"/>
        </w:numPr>
        <w:ind w:left="0" w:right="0" w:hanging="0"/>
        <w:rPr>
          <w:rFonts w:ascii="Times New Roman" w:hAnsi="Times New Roman" w:eastAsia="Calibri" w:cs="Times New Roman"/>
          <w:b/>
          <w:bCs/>
          <w:sz w:val="24"/>
          <w:szCs w:val="24"/>
        </w:rPr>
      </w:pPr>
      <w:bookmarkStart w:id="184" w:name="__RefHeading___Toc39970_2889022187"/>
      <w:bookmarkEnd w:id="184"/>
      <w:r>
        <w:rPr/>
        <w:t xml:space="preserve">4.6.5 </w:t>
      </w:r>
      <w:bookmarkStart w:id="185" w:name="_Hlk215573213"/>
      <w:bookmarkStart w:id="186" w:name="_Toc215650222"/>
      <w:bookmarkStart w:id="187" w:name="_Toc526843750"/>
      <w:r>
        <w:rPr/>
        <w:t>Обработка и оформление результатов наблюдений по обратным отвесам</w:t>
      </w:r>
      <w:bookmarkEnd w:id="186"/>
      <w:bookmarkEnd w:id="187"/>
    </w:p>
    <w:p>
      <w:pPr>
        <w:pStyle w:val="Normal"/>
        <w:rPr>
          <w:rFonts w:ascii="Times New Roman" w:hAnsi="Times New Roman"/>
          <w:sz w:val="24"/>
        </w:rPr>
      </w:pPr>
      <w:r>
        <w:rPr>
          <w:rFonts w:ascii="Times New Roman" w:hAnsi="Times New Roman"/>
          <w:sz w:val="24"/>
        </w:rPr>
        <w:t xml:space="preserve">Результаты выполненных наблюдений по обратным отвесам заносятся в соответствующие журналы наблюдений </w:t>
      </w:r>
      <w:r>
        <w:rPr>
          <w:rFonts w:ascii="Times New Roman" w:hAnsi="Times New Roman"/>
          <w:sz w:val="24"/>
          <w:shd w:fill="auto" w:val="clear"/>
        </w:rPr>
        <w:t xml:space="preserve">(форма полевого журнала приведена в приложении Д) и в электронную базу данных </w:t>
      </w:r>
      <w:r>
        <w:rPr>
          <w:rFonts w:ascii="Times New Roman" w:hAnsi="Times New Roman"/>
          <w:sz w:val="24"/>
        </w:rPr>
        <w:t>информационно-диагностической системы «БИНГ-3».</w:t>
      </w:r>
    </w:p>
    <w:p>
      <w:pPr>
        <w:pStyle w:val="Heading2"/>
        <w:numPr>
          <w:ilvl w:val="0"/>
        </w:numPr>
        <w:ind w:left="0" w:right="0" w:hanging="0"/>
        <w:rPr>
          <w:rFonts w:ascii="Times New Roman" w:hAnsi="Times New Roman"/>
        </w:rPr>
      </w:pPr>
      <w:bookmarkStart w:id="188" w:name="__RefHeading___Toc39972_2889022187"/>
      <w:bookmarkEnd w:id="185"/>
      <w:bookmarkEnd w:id="188"/>
      <w:r>
        <w:rPr>
          <w:rFonts w:ascii="Times New Roman" w:hAnsi="Times New Roman"/>
        </w:rPr>
        <w:t xml:space="preserve">4.7. </w:t>
      </w:r>
      <w:bookmarkStart w:id="189" w:name="_Toc526843751"/>
      <w:bookmarkStart w:id="190" w:name="_Toc215650223"/>
      <w:r>
        <w:rPr>
          <w:rFonts w:ascii="Times New Roman" w:hAnsi="Times New Roman"/>
        </w:rPr>
        <w:t>Проведение наблюдений по щелемерам</w:t>
      </w:r>
      <w:bookmarkEnd w:id="189"/>
      <w:bookmarkEnd w:id="190"/>
    </w:p>
    <w:p>
      <w:pPr>
        <w:pStyle w:val="Heading2"/>
        <w:numPr>
          <w:ilvl w:val="0"/>
        </w:numPr>
        <w:ind w:left="0" w:right="0" w:hanging="0"/>
        <w:rPr>
          <w:rFonts w:ascii="Times New Roman" w:hAnsi="Times New Roman"/>
        </w:rPr>
      </w:pPr>
      <w:bookmarkStart w:id="191" w:name="__RefHeading___Toc39974_2889022187"/>
      <w:bookmarkEnd w:id="191"/>
      <w:r>
        <w:rPr>
          <w:rFonts w:ascii="Times New Roman" w:hAnsi="Times New Roman"/>
        </w:rPr>
        <w:t xml:space="preserve">4.7.1 </w:t>
      </w:r>
      <w:bookmarkStart w:id="192" w:name="_Toc215650224"/>
      <w:bookmarkStart w:id="193" w:name="_Toc526843752"/>
      <w:r>
        <w:rPr>
          <w:rFonts w:ascii="Times New Roman" w:hAnsi="Times New Roman"/>
        </w:rPr>
        <w:t>Состав щелемеров</w:t>
      </w:r>
      <w:bookmarkEnd w:id="192"/>
      <w:bookmarkEnd w:id="193"/>
    </w:p>
    <w:p>
      <w:pPr>
        <w:pStyle w:val="Normal"/>
        <w:rPr>
          <w:rFonts w:ascii="Times New Roman" w:hAnsi="Times New Roman"/>
          <w:sz w:val="24"/>
        </w:rPr>
      </w:pPr>
      <w:r>
        <w:rPr>
          <w:rFonts w:ascii="Times New Roman" w:hAnsi="Times New Roman"/>
          <w:sz w:val="24"/>
        </w:rPr>
        <w:t>Для контроля относительных горизонтальных смещений гидротехнических сооружений, а также контроля раскрытия трещин установлены одно- и трёхосные щелемеры.</w:t>
      </w:r>
    </w:p>
    <w:p>
      <w:pPr>
        <w:pStyle w:val="Normal"/>
        <w:rPr>
          <w:rFonts w:ascii="Times New Roman" w:hAnsi="Times New Roman"/>
          <w:sz w:val="24"/>
        </w:rPr>
      </w:pPr>
      <w:r>
        <w:rPr>
          <w:rFonts w:ascii="Times New Roman" w:hAnsi="Times New Roman"/>
          <w:sz w:val="24"/>
        </w:rPr>
        <w:t>Состав и количество щелемеров, предусмотренных проектом, представлены в приложении А.</w:t>
      </w:r>
    </w:p>
    <w:p>
      <w:pPr>
        <w:pStyle w:val="Heading2"/>
        <w:numPr>
          <w:ilvl w:val="0"/>
        </w:numPr>
        <w:ind w:left="0" w:right="0" w:hanging="0"/>
        <w:rPr>
          <w:rFonts w:ascii="Times New Roman" w:hAnsi="Times New Roman"/>
        </w:rPr>
      </w:pPr>
      <w:bookmarkStart w:id="194" w:name="__RefHeading___Toc39976_2889022187"/>
      <w:bookmarkEnd w:id="194"/>
      <w:r>
        <w:rPr>
          <w:rFonts w:ascii="Times New Roman" w:hAnsi="Times New Roman"/>
        </w:rPr>
        <w:t xml:space="preserve">4.7.2 </w:t>
      </w:r>
      <w:bookmarkStart w:id="195" w:name="_Toc215650225"/>
      <w:bookmarkStart w:id="196" w:name="_Toc526843753"/>
      <w:r>
        <w:rPr>
          <w:rFonts w:ascii="Times New Roman" w:hAnsi="Times New Roman"/>
        </w:rPr>
        <w:t>Методика проведения наблюдений по щелемерам</w:t>
      </w:r>
      <w:bookmarkEnd w:id="195"/>
      <w:bookmarkEnd w:id="196"/>
    </w:p>
    <w:p>
      <w:pPr>
        <w:pStyle w:val="Normal"/>
        <w:rPr>
          <w:rFonts w:ascii="Times New Roman" w:hAnsi="Times New Roman"/>
          <w:sz w:val="24"/>
        </w:rPr>
      </w:pPr>
      <w:r>
        <w:rPr>
          <w:rFonts w:ascii="Times New Roman" w:hAnsi="Times New Roman"/>
          <w:sz w:val="24"/>
        </w:rPr>
        <w:t>Наблюдения по одноосным щелемерам выполняются с помощью штангенциркуля (см. рисунок 4.7.1). При проведении наблюдений измеряются две компоненты смещений смежных секций друг относительно друга: вдоль и поперёк плоскости шва.</w:t>
      </w:r>
    </w:p>
    <w:p>
      <w:pPr>
        <w:pStyle w:val="Normal"/>
        <w:rPr>
          <w:rFonts w:ascii="Times New Roman" w:hAnsi="Times New Roman"/>
          <w:sz w:val="24"/>
        </w:rPr>
      </w:pPr>
      <w:r>
        <w:rPr>
          <w:rFonts w:ascii="Times New Roman" w:hAnsi="Times New Roman"/>
          <w:sz w:val="24"/>
        </w:rPr>
        <w:t>Наблюдения по трёхосным щелемерам (далее – ЩМ) выполняются с помощью штангенциркуля с удлинёнными губками (далее – штангенщелемера) (см. рисунок 4.7.2).</w:t>
      </w:r>
    </w:p>
    <w:p>
      <w:pPr>
        <w:pStyle w:val="Normal"/>
        <w:spacing w:lineRule="auto" w:line="240"/>
        <w:jc w:val="center"/>
        <w:rPr>
          <w:rFonts w:ascii="Times New Roman" w:hAnsi="Times New Roman"/>
          <w:bCs/>
          <w:sz w:val="24"/>
        </w:rPr>
      </w:pPr>
      <w:r>
        <w:rPr>
          <w:rFonts w:ascii="Times New Roman" w:hAnsi="Times New Roman"/>
          <w:bCs/>
          <w:sz w:val="24"/>
        </w:rPr>
        <w:t>а)</w:t>
      </w:r>
      <w:r>
        <w:rPr/>
        <w:drawing>
          <wp:inline distT="0" distB="0" distL="0" distR="0">
            <wp:extent cx="3213100" cy="3443605"/>
            <wp:effectExtent l="0" t="0" r="0" b="0"/>
            <wp:docPr id="51"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11" descr=""/>
                    <pic:cNvPicPr>
                      <a:picLocks noChangeAspect="1" noChangeArrowheads="1"/>
                    </pic:cNvPicPr>
                  </pic:nvPicPr>
                  <pic:blipFill>
                    <a:blip r:embed="rId71"/>
                    <a:stretch>
                      <a:fillRect/>
                    </a:stretch>
                  </pic:blipFill>
                  <pic:spPr bwMode="auto">
                    <a:xfrm>
                      <a:off x="0" y="0"/>
                      <a:ext cx="3213100" cy="3443605"/>
                    </a:xfrm>
                    <a:prstGeom prst="rect">
                      <a:avLst/>
                    </a:prstGeom>
                  </pic:spPr>
                </pic:pic>
              </a:graphicData>
            </a:graphic>
          </wp:inline>
        </w:drawing>
      </w:r>
    </w:p>
    <w:p>
      <w:pPr>
        <w:pStyle w:val="Normal"/>
        <w:spacing w:lineRule="auto" w:line="240"/>
        <w:jc w:val="center"/>
        <w:rPr>
          <w:rFonts w:ascii="Times New Roman" w:hAnsi="Times New Roman"/>
          <w:bCs/>
          <w:sz w:val="24"/>
        </w:rPr>
      </w:pPr>
      <w:r>
        <w:rPr>
          <w:rFonts w:ascii="Times New Roman" w:hAnsi="Times New Roman"/>
          <w:bCs/>
          <w:sz w:val="24"/>
        </w:rPr>
        <w:t>б)</w:t>
      </w:r>
      <w:r>
        <w:rPr/>
        <w:drawing>
          <wp:inline distT="0" distB="0" distL="0" distR="0">
            <wp:extent cx="3284855" cy="3472815"/>
            <wp:effectExtent l="0" t="0" r="0" b="0"/>
            <wp:docPr id="52" name="Рисунок 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72" descr=""/>
                    <pic:cNvPicPr>
                      <a:picLocks noChangeAspect="1" noChangeArrowheads="1"/>
                    </pic:cNvPicPr>
                  </pic:nvPicPr>
                  <pic:blipFill>
                    <a:blip r:embed="rId72"/>
                    <a:stretch>
                      <a:fillRect/>
                    </a:stretch>
                  </pic:blipFill>
                  <pic:spPr bwMode="auto">
                    <a:xfrm>
                      <a:off x="0" y="0"/>
                      <a:ext cx="3284855" cy="3472815"/>
                    </a:xfrm>
                    <a:prstGeom prst="rect">
                      <a:avLst/>
                    </a:prstGeom>
                  </pic:spPr>
                </pic:pic>
              </a:graphicData>
            </a:graphic>
          </wp:inline>
        </w:drawing>
      </w:r>
    </w:p>
    <w:p>
      <w:pPr>
        <w:pStyle w:val="Normal"/>
        <w:spacing w:lineRule="auto" w:line="240"/>
        <w:jc w:val="center"/>
        <w:rPr>
          <w:rFonts w:ascii="Times New Roman" w:hAnsi="Times New Roman"/>
          <w:bCs/>
          <w:sz w:val="24"/>
        </w:rPr>
      </w:pPr>
      <w:r>
        <w:rPr>
          <w:rFonts w:ascii="Times New Roman" w:hAnsi="Times New Roman"/>
          <w:bCs/>
          <w:sz w:val="24"/>
        </w:rPr>
      </w:r>
    </w:p>
    <w:p>
      <w:pPr>
        <w:pStyle w:val="Normal"/>
        <w:spacing w:lineRule="auto" w:line="240"/>
        <w:jc w:val="center"/>
        <w:rPr>
          <w:rFonts w:ascii="Times New Roman" w:hAnsi="Times New Roman"/>
          <w:bCs/>
          <w:sz w:val="24"/>
        </w:rPr>
      </w:pPr>
      <w:r>
        <w:rPr>
          <w:rFonts w:ascii="Times New Roman" w:hAnsi="Times New Roman"/>
          <w:bCs/>
          <w:sz w:val="24"/>
        </w:rPr>
        <w:t xml:space="preserve">Рисунок 4.7.1 – Схема измерения </w:t>
      </w:r>
      <w:r>
        <w:rPr>
          <w:rFonts w:ascii="Times New Roman" w:hAnsi="Times New Roman"/>
          <w:sz w:val="24"/>
        </w:rPr>
        <w:t xml:space="preserve">штангенциркулем с удлинёнными губками </w:t>
      </w:r>
      <w:r>
        <w:rPr>
          <w:rFonts w:ascii="Times New Roman" w:hAnsi="Times New Roman"/>
          <w:bCs/>
          <w:sz w:val="24"/>
        </w:rPr>
        <w:t>(</w:t>
      </w:r>
      <w:r>
        <w:rPr>
          <w:rFonts w:ascii="Times New Roman" w:hAnsi="Times New Roman"/>
          <w:sz w:val="24"/>
        </w:rPr>
        <w:t>штангенщелемером)</w:t>
      </w:r>
      <w:r>
        <w:rPr>
          <w:rFonts w:ascii="Times New Roman" w:hAnsi="Times New Roman"/>
          <w:bCs/>
          <w:sz w:val="24"/>
        </w:rPr>
        <w:t xml:space="preserve"> плановых относительных перемещений секций сооружений:</w:t>
      </w:r>
    </w:p>
    <w:p>
      <w:pPr>
        <w:pStyle w:val="Normal"/>
        <w:spacing w:lineRule="auto" w:line="240"/>
        <w:jc w:val="center"/>
        <w:rPr>
          <w:rFonts w:ascii="Times New Roman" w:hAnsi="Times New Roman"/>
          <w:bCs/>
          <w:sz w:val="24"/>
        </w:rPr>
      </w:pPr>
      <w:r>
        <w:rPr>
          <w:rFonts w:ascii="Times New Roman" w:hAnsi="Times New Roman"/>
          <w:bCs/>
          <w:sz w:val="24"/>
        </w:rPr>
        <w:t>а) измерение раскрытия шва; б) измерение относительного смещения смежных блоков</w:t>
      </w:r>
    </w:p>
    <w:p>
      <w:pPr>
        <w:pStyle w:val="Normal"/>
        <w:spacing w:lineRule="auto" w:line="240"/>
        <w:jc w:val="center"/>
        <w:rPr>
          <w:rFonts w:ascii="Times New Roman" w:hAnsi="Times New Roman"/>
          <w:bCs/>
          <w:sz w:val="24"/>
        </w:rPr>
      </w:pPr>
      <w:r>
        <w:rPr/>
        <w:drawing>
          <wp:inline distT="0" distB="0" distL="0" distR="0">
            <wp:extent cx="4931410" cy="2816225"/>
            <wp:effectExtent l="0" t="0" r="0" b="0"/>
            <wp:docPr id="53" name="Рисунок 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79" descr=""/>
                    <pic:cNvPicPr>
                      <a:picLocks noChangeAspect="1" noChangeArrowheads="1"/>
                    </pic:cNvPicPr>
                  </pic:nvPicPr>
                  <pic:blipFill>
                    <a:blip r:embed="rId73"/>
                    <a:stretch>
                      <a:fillRect/>
                    </a:stretch>
                  </pic:blipFill>
                  <pic:spPr bwMode="auto">
                    <a:xfrm>
                      <a:off x="0" y="0"/>
                      <a:ext cx="4931410" cy="2816225"/>
                    </a:xfrm>
                    <a:prstGeom prst="rect">
                      <a:avLst/>
                    </a:prstGeom>
                  </pic:spPr>
                </pic:pic>
              </a:graphicData>
            </a:graphic>
          </wp:inline>
        </w:drawing>
      </w:r>
    </w:p>
    <w:p>
      <w:pPr>
        <w:pStyle w:val="Normal"/>
        <w:spacing w:lineRule="auto" w:line="240"/>
        <w:jc w:val="center"/>
        <w:rPr>
          <w:rFonts w:ascii="Times New Roman" w:hAnsi="Times New Roman"/>
          <w:bCs/>
          <w:sz w:val="24"/>
        </w:rPr>
      </w:pPr>
      <w:r>
        <w:rPr>
          <w:rFonts w:ascii="Times New Roman" w:hAnsi="Times New Roman"/>
          <w:bCs/>
          <w:sz w:val="24"/>
        </w:rPr>
      </w:r>
    </w:p>
    <w:p>
      <w:pPr>
        <w:pStyle w:val="Normal"/>
        <w:spacing w:lineRule="auto" w:line="240"/>
        <w:jc w:val="center"/>
        <w:rPr>
          <w:rFonts w:ascii="Times New Roman" w:hAnsi="Times New Roman"/>
          <w:bCs/>
          <w:sz w:val="24"/>
        </w:rPr>
      </w:pPr>
      <w:r>
        <w:rPr>
          <w:rFonts w:ascii="Times New Roman" w:hAnsi="Times New Roman"/>
          <w:bCs/>
          <w:sz w:val="24"/>
        </w:rPr>
        <w:t>Рисунок 4.</w:t>
      </w:r>
      <w:r>
        <w:rPr>
          <w:rFonts w:ascii="Times New Roman" w:hAnsi="Times New Roman"/>
          <w:sz w:val="24"/>
        </w:rPr>
        <w:t>7.2</w:t>
      </w:r>
      <w:r>
        <w:rPr>
          <w:rFonts w:ascii="Times New Roman" w:hAnsi="Times New Roman"/>
          <w:bCs/>
          <w:sz w:val="24"/>
        </w:rPr>
        <w:t xml:space="preserve"> – Ш</w:t>
      </w:r>
      <w:r>
        <w:rPr>
          <w:rFonts w:ascii="Times New Roman" w:hAnsi="Times New Roman"/>
          <w:sz w:val="24"/>
        </w:rPr>
        <w:t>тангенщелемер</w:t>
      </w:r>
      <w:r>
        <w:rPr>
          <w:rFonts w:ascii="Times New Roman" w:hAnsi="Times New Roman"/>
          <w:bCs/>
          <w:sz w:val="24"/>
        </w:rPr>
        <w:t xml:space="preserve"> для измерения смещений смежных секций друг относительно друга (вдоль и поперёк плоскости шва) по трёхмарочным щелемерам</w:t>
      </w:r>
    </w:p>
    <w:p>
      <w:pPr>
        <w:pStyle w:val="Normal"/>
        <w:rPr>
          <w:rFonts w:ascii="Times New Roman" w:hAnsi="Times New Roman"/>
          <w:sz w:val="24"/>
        </w:rPr>
      </w:pPr>
      <w:r>
        <w:rPr>
          <w:rFonts w:ascii="Times New Roman" w:hAnsi="Times New Roman"/>
          <w:sz w:val="24"/>
        </w:rPr>
      </w:r>
    </w:p>
    <w:p>
      <w:pPr>
        <w:pStyle w:val="Normal"/>
        <w:rPr>
          <w:rFonts w:ascii="Times New Roman" w:hAnsi="Times New Roman"/>
          <w:sz w:val="24"/>
        </w:rPr>
      </w:pPr>
      <w:r>
        <w:rPr>
          <w:rFonts w:ascii="Times New Roman" w:hAnsi="Times New Roman"/>
          <w:sz w:val="24"/>
        </w:rPr>
        <w:t>ЩМ состоят из четырёх стальных цилиндрических марок, позволяющих проводить измерения с помощью штангенщелемера плановых перемещений смежных секций друг относительно друга: вдоль и поперек плоскости шва. Три марки (марка 1, марка 2, марка 3) расположены на одной из секций по двум взаимно перпендикулярным направлениям, соответствующим направлениям измеряемых перемещений. Одна марка (марка 4) расположена на смежной секции. Процесс измерения заключается в прикладывании штанги штангенщелемера к соответствующей паре марок (марка 1, марка 2 или марка 1, марка 3) и снятии отсчёта при положении губок штангенщелемера прижатыми к внешним образующим цилиндров марки 4 и марки 1. Перемещения (мм) смежных секций друг относительно друга вычисляются как разница между текущим (</w:t>
      </w:r>
      <w:r>
        <w:rPr/>
      </w:r>
      <m:oMath xmlns:m="http://schemas.openxmlformats.org/officeDocument/2006/math">
        <m:r>
          <w:rPr>
            <w:rFonts w:ascii="Cambria Math" w:hAnsi="Cambria Math"/>
          </w:rPr>
          <m:t xml:space="preserve">F</m:t>
        </m:r>
      </m:oMath>
      <w:r>
        <w:rPr>
          <w:rFonts w:ascii="Times New Roman" w:hAnsi="Times New Roman"/>
          <w:sz w:val="24"/>
        </w:rPr>
        <w:t>) и начальным (</w:t>
      </w:r>
      <w:r>
        <w:rPr/>
      </w:r>
      <m:oMath xmlns:m="http://schemas.openxmlformats.org/officeDocument/2006/math">
        <m:r>
          <w:rPr>
            <w:rFonts w:ascii="Cambria Math" w:hAnsi="Cambria Math"/>
          </w:rPr>
          <m:t xml:space="preserve">A</m:t>
        </m:r>
      </m:oMath>
      <w:r>
        <w:rPr>
          <w:rFonts w:ascii="Times New Roman" w:hAnsi="Times New Roman"/>
          <w:sz w:val="24"/>
        </w:rPr>
        <w:t>) отсчётами:</w:t>
      </w:r>
    </w:p>
    <w:p>
      <w:pPr>
        <w:pStyle w:val="Normal"/>
        <w:jc w:val="center"/>
        <w:rPr>
          <w:rFonts w:ascii="Times New Roman" w:hAnsi="Times New Roman"/>
          <w:sz w:val="24"/>
        </w:rPr>
      </w:pPr>
      <w:r>
        <w:rPr/>
      </w:r>
      <m:oMath xmlns:m="http://schemas.openxmlformats.org/officeDocument/2006/math">
        <m:r>
          <w:rPr>
            <w:rFonts w:ascii="Cambria Math" w:hAnsi="Cambria Math"/>
          </w:rPr>
          <m:t xml:space="preserve">Y</m:t>
        </m:r>
        <m:r>
          <w:rPr>
            <w:rFonts w:ascii="Cambria Math" w:hAnsi="Cambria Math"/>
          </w:rPr>
          <m:t xml:space="preserve">=</m:t>
        </m:r>
        <m:r>
          <w:rPr>
            <w:rFonts w:ascii="Cambria Math" w:hAnsi="Cambria Math"/>
          </w:rPr>
          <m:t xml:space="preserve">F</m:t>
        </m:r>
        <m:r>
          <w:rPr>
            <w:rFonts w:ascii="Cambria Math" w:hAnsi="Cambria Math"/>
          </w:rPr>
          <m:t xml:space="preserve">−</m:t>
        </m:r>
        <m:r>
          <w:rPr>
            <w:rFonts w:ascii="Cambria Math" w:hAnsi="Cambria Math"/>
          </w:rPr>
          <m:t xml:space="preserve">A</m:t>
        </m:r>
      </m:oMath>
      <w:r>
        <w:rPr>
          <w:rFonts w:ascii="Times New Roman" w:hAnsi="Times New Roman"/>
          <w:sz w:val="24"/>
        </w:rPr>
        <w:t>,</w:t>
        <w:tab/>
        <w:tab/>
        <w:tab/>
        <w:t>(1)</w:t>
      </w:r>
    </w:p>
    <w:p>
      <w:pPr>
        <w:pStyle w:val="Normal"/>
        <w:rPr>
          <w:rFonts w:ascii="Times New Roman" w:hAnsi="Times New Roman"/>
          <w:sz w:val="24"/>
        </w:rPr>
      </w:pPr>
      <w:r>
        <w:rPr>
          <w:rFonts w:ascii="Times New Roman" w:hAnsi="Times New Roman"/>
          <w:sz w:val="24"/>
        </w:rPr>
        <w:t>Для перемещений поперёк плоскости шва положительные значения, вычисляемые по зависимости (1), характеризуют величины раскрытия шва между секциями, а отрицательные – величины закрытия его относительно состояния шва во время снятия начального отсчёта.</w:t>
      </w:r>
    </w:p>
    <w:p>
      <w:pPr>
        <w:pStyle w:val="Normal"/>
        <w:rPr>
          <w:rFonts w:ascii="Times New Roman" w:hAnsi="Times New Roman"/>
          <w:sz w:val="24"/>
        </w:rPr>
      </w:pPr>
      <w:r>
        <w:rPr>
          <w:rFonts w:ascii="Times New Roman" w:hAnsi="Times New Roman"/>
          <w:sz w:val="24"/>
        </w:rPr>
        <w:t>Знак перемещений вдоль плоскости шва зависит от положительного направления осей координат и от положения марки 4 относительно марки 1 и марки 2. В качестве положительного направления плановых относительных перемещений принято перемещение секции с большим номером относительно секции с меньшим номером в сторону нижнего бьефа. Значит, если измеряется увеличение расстояния между маркой 1 и маркой 4, и направление измеряемого смещения совпадает с указанным выше положительным направлением, то для пересчёта используется формула (1), если же этого совпадения не наблюдается, то используется формула (2):</w:t>
      </w:r>
    </w:p>
    <w:p>
      <w:pPr>
        <w:pStyle w:val="Normal"/>
        <w:jc w:val="center"/>
        <w:rPr>
          <w:rFonts w:ascii="Times New Roman" w:hAnsi="Times New Roman"/>
          <w:sz w:val="24"/>
        </w:rPr>
      </w:pPr>
      <w:r>
        <w:rPr/>
      </w:r>
      <m:oMath xmlns:m="http://schemas.openxmlformats.org/officeDocument/2006/math">
        <m:r>
          <w:rPr>
            <w:rFonts w:ascii="Cambria Math" w:hAnsi="Cambria Math"/>
          </w:rPr>
          <m:t xml:space="preserve">Y</m:t>
        </m:r>
        <m:r>
          <w:rPr>
            <w:rFonts w:ascii="Cambria Math" w:hAnsi="Cambria Math"/>
          </w:rPr>
          <m:t xml:space="preserve">=</m:t>
        </m:r>
        <m:r>
          <w:rPr>
            <w:rFonts w:ascii="Cambria Math" w:hAnsi="Cambria Math"/>
          </w:rPr>
          <m:t xml:space="preserve">A</m:t>
        </m:r>
        <m:r>
          <w:rPr>
            <w:rFonts w:ascii="Cambria Math" w:hAnsi="Cambria Math"/>
          </w:rPr>
          <m:t xml:space="preserve">−</m:t>
        </m:r>
        <m:r>
          <w:rPr>
            <w:rFonts w:ascii="Cambria Math" w:hAnsi="Cambria Math"/>
          </w:rPr>
          <m:t xml:space="preserve">F</m:t>
        </m:r>
      </m:oMath>
      <w:r>
        <w:rPr>
          <w:rFonts w:ascii="Times New Roman" w:hAnsi="Times New Roman"/>
          <w:sz w:val="24"/>
        </w:rPr>
        <w:t>,</w:t>
        <w:tab/>
        <w:tab/>
        <w:tab/>
        <w:t>(2)</w:t>
      </w:r>
    </w:p>
    <w:p>
      <w:pPr>
        <w:pStyle w:val="Normal"/>
        <w:rPr>
          <w:rFonts w:ascii="Times New Roman" w:hAnsi="Times New Roman"/>
          <w:sz w:val="24"/>
        </w:rPr>
      </w:pPr>
      <w:r>
        <w:rPr>
          <w:rFonts w:ascii="Times New Roman" w:hAnsi="Times New Roman"/>
          <w:sz w:val="24"/>
        </w:rPr>
        <w:t>Кроме того, при измерениях необходимо учитывать положение марки 4 относительно марки 1 и марки 2 (см. рисунок 5.7.2).</w:t>
      </w:r>
    </w:p>
    <w:p>
      <w:pPr>
        <w:pStyle w:val="Normal"/>
        <w:rPr>
          <w:rFonts w:ascii="Times New Roman" w:hAnsi="Times New Roman"/>
          <w:sz w:val="24"/>
        </w:rPr>
      </w:pPr>
      <w:r>
        <w:rPr>
          <w:rFonts w:ascii="Times New Roman" w:hAnsi="Times New Roman"/>
          <w:sz w:val="24"/>
        </w:rPr>
        <w:t>На рисунке 4</w:t>
      </w:r>
      <w:r>
        <w:rPr>
          <w:rFonts w:ascii="Times New Roman" w:hAnsi="Times New Roman"/>
          <w:bCs/>
          <w:sz w:val="24"/>
        </w:rPr>
        <w:t xml:space="preserve">.7.1 </w:t>
      </w:r>
      <w:r>
        <w:rPr>
          <w:rFonts w:ascii="Times New Roman" w:hAnsi="Times New Roman"/>
          <w:sz w:val="24"/>
        </w:rPr>
        <w:t xml:space="preserve">показано положение марки 4, соответствующее положительному значению </w:t>
      </w:r>
      <w:r>
        <w:rPr/>
      </w:r>
      <m:oMath xmlns:m="http://schemas.openxmlformats.org/officeDocument/2006/math">
        <m:r>
          <w:rPr>
            <w:rFonts w:ascii="Cambria Math" w:hAnsi="Cambria Math"/>
          </w:rPr>
          <m:t xml:space="preserve">F</m:t>
        </m:r>
      </m:oMath>
      <w:r>
        <w:rPr>
          <w:rFonts w:ascii="Times New Roman" w:hAnsi="Times New Roman"/>
          <w:sz w:val="24"/>
        </w:rPr>
        <w:t xml:space="preserve">. Если марка 4 будет расположена между маркой 1 и маркой 2, т. е. по другую сторону оси, проходящей через марку 1 и марку 3, значение </w:t>
      </w:r>
      <w:r>
        <w:rPr/>
      </w:r>
      <m:oMath xmlns:m="http://schemas.openxmlformats.org/officeDocument/2006/math">
        <m:r>
          <w:rPr>
            <w:rFonts w:ascii="Cambria Math" w:hAnsi="Cambria Math"/>
          </w:rPr>
          <m:t xml:space="preserve">F</m:t>
        </m:r>
      </m:oMath>
      <w:r>
        <w:rPr>
          <w:rFonts w:ascii="Times New Roman" w:hAnsi="Times New Roman"/>
          <w:sz w:val="24"/>
        </w:rPr>
        <w:t xml:space="preserve"> примет отрицательное значение.</w:t>
      </w:r>
    </w:p>
    <w:p>
      <w:pPr>
        <w:pStyle w:val="Normal"/>
        <w:rPr>
          <w:rFonts w:ascii="Times New Roman" w:hAnsi="Times New Roman"/>
          <w:sz w:val="24"/>
        </w:rPr>
      </w:pPr>
      <w:r>
        <w:rPr>
          <w:rFonts w:ascii="Times New Roman" w:hAnsi="Times New Roman"/>
          <w:sz w:val="24"/>
        </w:rPr>
        <w:t xml:space="preserve">Основная погрешность описанных измерений оценивается </w:t>
      </w:r>
      <w:r>
        <w:rPr>
          <w:rFonts w:eastAsia="Symbol" w:cs="Symbol" w:ascii="Symbol" w:hAnsi="Symbol"/>
          <w:sz w:val="24"/>
        </w:rPr>
        <w:sym w:font="Symbol" w:char="f0b1"/>
      </w:r>
      <w:r>
        <w:rPr>
          <w:rFonts w:ascii="Times New Roman" w:hAnsi="Times New Roman"/>
          <w:sz w:val="24"/>
        </w:rPr>
        <w:t>0,2 мм.</w:t>
      </w:r>
    </w:p>
    <w:p>
      <w:pPr>
        <w:pStyle w:val="Normal"/>
        <w:rPr>
          <w:rFonts w:ascii="Times New Roman" w:hAnsi="Times New Roman"/>
          <w:sz w:val="24"/>
        </w:rPr>
      </w:pPr>
      <w:r>
        <w:rPr>
          <w:rFonts w:ascii="Times New Roman" w:hAnsi="Times New Roman"/>
          <w:sz w:val="24"/>
        </w:rPr>
        <w:t>В соответствии со «Справочником базовых цен на инженерные изыскания для строительства. Инженерно-геодезические изыскания при строительстве и эксплуатации зданий и сооружений»:</w:t>
      </w:r>
    </w:p>
    <w:p>
      <w:pPr>
        <w:pStyle w:val="Normal"/>
        <w:rPr>
          <w:rFonts w:ascii="Times New Roman" w:hAnsi="Times New Roman"/>
          <w:sz w:val="24"/>
        </w:rPr>
      </w:pPr>
      <w:r>
        <w:rPr>
          <w:rFonts w:ascii="Times New Roman" w:hAnsi="Times New Roman"/>
          <w:sz w:val="24"/>
        </w:rPr>
        <w:t>- условия выполнения наблюдений по трёхосным щелемерам относятся к I категории сложности.</w:t>
      </w:r>
    </w:p>
    <w:p>
      <w:pPr>
        <w:pStyle w:val="Heading2"/>
        <w:numPr>
          <w:ilvl w:val="0"/>
        </w:numPr>
        <w:ind w:left="0" w:right="0" w:hanging="0"/>
        <w:rPr>
          <w:rFonts w:ascii="Times New Roman" w:hAnsi="Times New Roman"/>
        </w:rPr>
      </w:pPr>
      <w:bookmarkStart w:id="197" w:name="__RefHeading___Toc39978_2889022187"/>
      <w:bookmarkEnd w:id="197"/>
      <w:r>
        <w:rPr>
          <w:rFonts w:ascii="Times New Roman" w:hAnsi="Times New Roman"/>
        </w:rPr>
        <w:t xml:space="preserve">4.7.3 </w:t>
      </w:r>
      <w:bookmarkStart w:id="198" w:name="_Toc215650226"/>
      <w:bookmarkStart w:id="199" w:name="_Toc526843754"/>
      <w:r>
        <w:rPr>
          <w:rFonts w:ascii="Times New Roman" w:hAnsi="Times New Roman"/>
        </w:rPr>
        <w:t>Периодичность проведения наблюдений по щелемерам</w:t>
      </w:r>
      <w:bookmarkEnd w:id="198"/>
      <w:bookmarkEnd w:id="199"/>
    </w:p>
    <w:p>
      <w:pPr>
        <w:pStyle w:val="Normal"/>
        <w:rPr>
          <w:rFonts w:ascii="Times New Roman" w:hAnsi="Times New Roman"/>
          <w:sz w:val="24"/>
        </w:rPr>
      </w:pPr>
      <w:r>
        <w:rPr>
          <w:rFonts w:ascii="Times New Roman" w:hAnsi="Times New Roman"/>
          <w:sz w:val="24"/>
        </w:rPr>
        <w:t>Периодичность проведения наблюдений по щелемерам представлена в приложении Б.</w:t>
      </w:r>
    </w:p>
    <w:p>
      <w:pPr>
        <w:pStyle w:val="Normal"/>
        <w:rPr>
          <w:rFonts w:ascii="Times New Roman" w:hAnsi="Times New Roman"/>
          <w:sz w:val="24"/>
        </w:rPr>
      </w:pPr>
      <w:r>
        <w:rPr>
          <w:rFonts w:ascii="Times New Roman" w:hAnsi="Times New Roman"/>
          <w:sz w:val="24"/>
        </w:rPr>
        <w:t>Настоящая периодичность предусматривает количество циклов наблюдений (измерений) по щелемерам за определенный промежуток времени.</w:t>
      </w:r>
    </w:p>
    <w:p>
      <w:pPr>
        <w:pStyle w:val="Heading2"/>
        <w:numPr>
          <w:ilvl w:val="0"/>
        </w:numPr>
        <w:ind w:left="0" w:right="0" w:hanging="0"/>
        <w:rPr>
          <w:rFonts w:ascii="Times New Roman" w:hAnsi="Times New Roman"/>
        </w:rPr>
      </w:pPr>
      <w:bookmarkStart w:id="200" w:name="__RefHeading___Toc39980_2889022187"/>
      <w:bookmarkEnd w:id="200"/>
      <w:r>
        <w:rPr>
          <w:rFonts w:ascii="Times New Roman" w:hAnsi="Times New Roman"/>
        </w:rPr>
        <w:t xml:space="preserve">4.7.4 </w:t>
      </w:r>
      <w:bookmarkStart w:id="201" w:name="_Toc526843755"/>
      <w:bookmarkStart w:id="202" w:name="_Toc215650227"/>
      <w:r>
        <w:rPr>
          <w:rFonts w:ascii="Times New Roman" w:hAnsi="Times New Roman"/>
        </w:rPr>
        <w:t>Объёмы наблюдений по щелемерам</w:t>
      </w:r>
      <w:bookmarkEnd w:id="201"/>
      <w:bookmarkEnd w:id="202"/>
    </w:p>
    <w:p>
      <w:pPr>
        <w:pStyle w:val="Normal"/>
        <w:rPr>
          <w:rFonts w:ascii="Times New Roman" w:hAnsi="Times New Roman"/>
          <w:sz w:val="24"/>
        </w:rPr>
      </w:pPr>
      <w:r>
        <w:rPr>
          <w:rFonts w:ascii="Times New Roman" w:hAnsi="Times New Roman"/>
          <w:sz w:val="24"/>
        </w:rPr>
        <w:t>Объём наблюдений по щелемерам определяется на основе количества щелемеров и количества циклов наблюдений по ним в год.</w:t>
      </w:r>
    </w:p>
    <w:p>
      <w:pPr>
        <w:pStyle w:val="Normal"/>
        <w:rPr>
          <w:rFonts w:ascii="Times New Roman" w:hAnsi="Times New Roman"/>
          <w:sz w:val="24"/>
        </w:rPr>
      </w:pPr>
      <w:r>
        <w:rPr>
          <w:rFonts w:ascii="Times New Roman" w:hAnsi="Times New Roman"/>
          <w:sz w:val="24"/>
        </w:rPr>
        <w:t>Объём наблюдений по щелемерам на один год представлен в приложении В.</w:t>
      </w:r>
    </w:p>
    <w:p>
      <w:pPr>
        <w:pStyle w:val="Heading2"/>
        <w:numPr>
          <w:ilvl w:val="0"/>
        </w:numPr>
        <w:ind w:left="0" w:right="0" w:hanging="0"/>
        <w:rPr>
          <w:rFonts w:ascii="Times New Roman" w:hAnsi="Times New Roman"/>
        </w:rPr>
      </w:pPr>
      <w:bookmarkStart w:id="203" w:name="__RefHeading___Toc39982_2889022187"/>
      <w:bookmarkEnd w:id="203"/>
      <w:r>
        <w:rPr>
          <w:rFonts w:ascii="Times New Roman" w:hAnsi="Times New Roman"/>
        </w:rPr>
        <w:t xml:space="preserve">4.7.5 </w:t>
      </w:r>
      <w:bookmarkStart w:id="204" w:name="_Hlk215573915"/>
      <w:bookmarkStart w:id="205" w:name="_Toc526843756"/>
      <w:bookmarkStart w:id="206" w:name="_Toc215650228"/>
      <w:r>
        <w:rPr>
          <w:rFonts w:ascii="Times New Roman" w:hAnsi="Times New Roman"/>
        </w:rPr>
        <w:t>Обработка и оформление результатов наблюдений по щелемерам</w:t>
      </w:r>
      <w:bookmarkEnd w:id="205"/>
      <w:bookmarkEnd w:id="206"/>
    </w:p>
    <w:p>
      <w:pPr>
        <w:pStyle w:val="Normal"/>
        <w:rPr>
          <w:rFonts w:ascii="Times New Roman" w:hAnsi="Times New Roman"/>
          <w:sz w:val="24"/>
        </w:rPr>
      </w:pPr>
      <w:r>
        <w:rPr>
          <w:rFonts w:ascii="Times New Roman" w:hAnsi="Times New Roman"/>
          <w:sz w:val="24"/>
        </w:rPr>
        <w:t>Результаты выполненных наблюдений по щелемерам заносятся в соответствующие журналы наблюдений (форма полевого журнала приведена в приложении К графической части настоящего Регламента) и в электронную базу данных информационно-диагностической системы «БИНГ-3».</w:t>
      </w:r>
    </w:p>
    <w:p>
      <w:pPr>
        <w:pStyle w:val="Heading2"/>
        <w:numPr>
          <w:ilvl w:val="0"/>
        </w:numPr>
        <w:ind w:left="0" w:right="0" w:hanging="0"/>
        <w:rPr>
          <w:rFonts w:ascii="Times New Roman" w:hAnsi="Times New Roman"/>
        </w:rPr>
      </w:pPr>
      <w:bookmarkStart w:id="207" w:name="__RefHeading___Toc39984_2889022187"/>
      <w:bookmarkEnd w:id="204"/>
      <w:bookmarkEnd w:id="207"/>
      <w:r>
        <w:rPr>
          <w:rFonts w:ascii="Times New Roman" w:hAnsi="Times New Roman"/>
        </w:rPr>
        <w:t xml:space="preserve">4.8 </w:t>
      </w:r>
      <w:bookmarkStart w:id="208" w:name="_Toc526843757"/>
      <w:bookmarkStart w:id="209" w:name="_Toc215650229"/>
      <w:r>
        <w:rPr>
          <w:rFonts w:ascii="Times New Roman" w:hAnsi="Times New Roman"/>
        </w:rPr>
        <w:t>Проведение наблюдений за подвижками точек склона и деформаций зданий и сооружений</w:t>
      </w:r>
      <w:bookmarkEnd w:id="208"/>
      <w:bookmarkEnd w:id="209"/>
    </w:p>
    <w:p>
      <w:pPr>
        <w:pStyle w:val="Heading2"/>
        <w:numPr>
          <w:ilvl w:val="0"/>
        </w:numPr>
        <w:ind w:left="0" w:right="0" w:hanging="0"/>
        <w:rPr>
          <w:rFonts w:ascii="Times New Roman" w:hAnsi="Times New Roman"/>
        </w:rPr>
      </w:pPr>
      <w:bookmarkStart w:id="210" w:name="__RefHeading___Toc39986_2889022187"/>
      <w:bookmarkEnd w:id="210"/>
      <w:r>
        <w:rPr>
          <w:rFonts w:ascii="Times New Roman" w:hAnsi="Times New Roman"/>
        </w:rPr>
        <w:t xml:space="preserve">4.8.1 </w:t>
      </w:r>
      <w:bookmarkStart w:id="211" w:name="_Toc215650230"/>
      <w:bookmarkStart w:id="212" w:name="_Toc526843758"/>
      <w:r>
        <w:rPr>
          <w:rFonts w:ascii="Times New Roman" w:hAnsi="Times New Roman"/>
        </w:rPr>
        <w:t>Состав КИА для наблюдений за подвижками точек склона и деформаций зданий и сооружений</w:t>
      </w:r>
      <w:bookmarkEnd w:id="211"/>
      <w:bookmarkEnd w:id="212"/>
    </w:p>
    <w:p>
      <w:pPr>
        <w:pStyle w:val="Normal"/>
        <w:rPr>
          <w:rFonts w:ascii="Times New Roman" w:hAnsi="Times New Roman"/>
          <w:sz w:val="24"/>
        </w:rPr>
      </w:pPr>
      <w:r>
        <w:rPr>
          <w:rFonts w:ascii="Times New Roman" w:hAnsi="Times New Roman"/>
          <w:sz w:val="24"/>
        </w:rPr>
        <w:t>Для контроля горизонтальных перемещений гидротехнических сооружений проектом предусматривается установка светодальномерных знаков.</w:t>
      </w:r>
    </w:p>
    <w:p>
      <w:pPr>
        <w:pStyle w:val="Normal"/>
        <w:rPr>
          <w:rFonts w:ascii="Times New Roman" w:hAnsi="Times New Roman"/>
          <w:sz w:val="24"/>
        </w:rPr>
      </w:pPr>
      <w:r>
        <w:rPr>
          <w:rFonts w:ascii="Times New Roman" w:hAnsi="Times New Roman"/>
          <w:sz w:val="24"/>
        </w:rPr>
        <w:t>Количество светодальномерных знаков, предусмотренных проектом, представлено в приложении А.</w:t>
      </w:r>
    </w:p>
    <w:p>
      <w:pPr>
        <w:pStyle w:val="Heading2"/>
        <w:numPr>
          <w:ilvl w:val="0"/>
        </w:numPr>
        <w:ind w:left="0" w:right="0" w:hanging="0"/>
        <w:rPr>
          <w:rFonts w:ascii="Times New Roman" w:hAnsi="Times New Roman"/>
        </w:rPr>
      </w:pPr>
      <w:bookmarkStart w:id="213" w:name="__RefHeading___Toc39988_2889022187"/>
      <w:bookmarkEnd w:id="213"/>
      <w:r>
        <w:rPr>
          <w:rFonts w:ascii="Times New Roman" w:hAnsi="Times New Roman"/>
        </w:rPr>
        <w:t xml:space="preserve">4.8.2 </w:t>
      </w:r>
      <w:bookmarkStart w:id="214" w:name="_Toc215650231"/>
      <w:bookmarkStart w:id="215" w:name="_Toc526843759"/>
      <w:r>
        <w:rPr>
          <w:rFonts w:ascii="Times New Roman" w:hAnsi="Times New Roman"/>
        </w:rPr>
        <w:t>Цель и методика проведения наблюдений по светодальномерным знакам</w:t>
      </w:r>
      <w:bookmarkEnd w:id="214"/>
      <w:bookmarkEnd w:id="215"/>
    </w:p>
    <w:p>
      <w:pPr>
        <w:pStyle w:val="Normal"/>
        <w:rPr>
          <w:rFonts w:ascii="Times New Roman" w:hAnsi="Times New Roman"/>
          <w:sz w:val="24"/>
        </w:rPr>
      </w:pPr>
      <w:r>
        <w:rPr>
          <w:rFonts w:ascii="Times New Roman" w:hAnsi="Times New Roman"/>
          <w:sz w:val="24"/>
        </w:rPr>
        <w:t>Наблюдения по светодальномерным знакам включают в себя двухуровневую систему измерений: линейно угловые измерения и измерения линий.</w:t>
      </w:r>
    </w:p>
    <w:p>
      <w:pPr>
        <w:pStyle w:val="Normal"/>
        <w:rPr>
          <w:rFonts w:ascii="Times New Roman" w:hAnsi="Times New Roman"/>
          <w:sz w:val="24"/>
        </w:rPr>
      </w:pPr>
      <w:r>
        <w:rPr>
          <w:rFonts w:ascii="Times New Roman" w:hAnsi="Times New Roman"/>
          <w:sz w:val="24"/>
        </w:rPr>
        <w:t>Все работы по наблюдениям по светодальномерным знакам должны проводится в пасмурную погоду с ветром 2 – 4 м/сек, или в период со спокойным изображением, допускается проведение наблюдений в ночной период времени суток.</w:t>
      </w:r>
    </w:p>
    <w:p>
      <w:pPr>
        <w:pStyle w:val="Normal"/>
        <w:rPr>
          <w:rFonts w:ascii="Times New Roman" w:hAnsi="Times New Roman"/>
          <w:sz w:val="24"/>
        </w:rPr>
      </w:pPr>
      <w:r>
        <w:rPr>
          <w:rFonts w:ascii="Times New Roman" w:hAnsi="Times New Roman"/>
          <w:sz w:val="24"/>
        </w:rPr>
        <w:t>В соответствии со «Справочником базовых цен на инженерные изыскания для строительства. Инженерно-геодезические изыскания при строительстве и эксплуатации зданий и сооружений»:</w:t>
      </w:r>
    </w:p>
    <w:p>
      <w:pPr>
        <w:pStyle w:val="Normal"/>
        <w:rPr>
          <w:rFonts w:ascii="Times New Roman" w:hAnsi="Times New Roman"/>
          <w:sz w:val="24"/>
        </w:rPr>
      </w:pPr>
      <w:r>
        <w:rPr>
          <w:rFonts w:ascii="Times New Roman" w:hAnsi="Times New Roman"/>
          <w:sz w:val="24"/>
        </w:rPr>
        <w:t>- условия выполнения наблюдений по светодальномерным знакам относятся к II категории сложности.</w:t>
      </w:r>
    </w:p>
    <w:p>
      <w:pPr>
        <w:pStyle w:val="Heading2"/>
        <w:numPr>
          <w:ilvl w:val="0"/>
        </w:numPr>
        <w:ind w:left="0" w:right="0" w:hanging="0"/>
        <w:rPr>
          <w:rFonts w:ascii="Times New Roman" w:hAnsi="Times New Roman"/>
        </w:rPr>
      </w:pPr>
      <w:bookmarkStart w:id="216" w:name="__RefHeading___Toc39990_2889022187"/>
      <w:bookmarkEnd w:id="216"/>
      <w:r>
        <w:rPr>
          <w:rFonts w:ascii="Times New Roman" w:hAnsi="Times New Roman"/>
        </w:rPr>
        <w:t xml:space="preserve">4.8.3 </w:t>
      </w:r>
      <w:bookmarkStart w:id="217" w:name="_Toc215650232"/>
      <w:bookmarkStart w:id="218" w:name="_Toc526843760"/>
      <w:r>
        <w:rPr>
          <w:rFonts w:ascii="Times New Roman" w:hAnsi="Times New Roman"/>
        </w:rPr>
        <w:t>Линейно угловые измерения</w:t>
      </w:r>
      <w:bookmarkEnd w:id="217"/>
      <w:bookmarkEnd w:id="218"/>
    </w:p>
    <w:p>
      <w:pPr>
        <w:pStyle w:val="Normal"/>
        <w:rPr>
          <w:rFonts w:ascii="Times New Roman" w:hAnsi="Times New Roman"/>
          <w:sz w:val="24"/>
        </w:rPr>
      </w:pPr>
      <w:r>
        <w:rPr>
          <w:rFonts w:ascii="Times New Roman" w:hAnsi="Times New Roman"/>
          <w:sz w:val="24"/>
        </w:rPr>
        <w:t>Схема линейно угловых измерений с размещёнными пунктами представлена на рисунках 5.8.1.</w:t>
      </w:r>
    </w:p>
    <w:p>
      <w:pPr>
        <w:pStyle w:val="Normal"/>
        <w:rPr>
          <w:rFonts w:ascii="Times New Roman" w:hAnsi="Times New Roman"/>
          <w:sz w:val="24"/>
        </w:rPr>
      </w:pPr>
      <w:r>
        <w:rPr>
          <w:rFonts w:ascii="Times New Roman" w:hAnsi="Times New Roman"/>
          <w:sz w:val="24"/>
        </w:rPr>
        <w:t>Измерения выполняются при помощи тахеометра с погрешностью ±1 сек. На всех пунктах углы измеряются способом круговых приёмов. До начала измерений прибор должен принять температуру окружающей среды.</w:t>
      </w:r>
    </w:p>
    <w:p>
      <w:pPr>
        <w:pStyle w:val="Normal"/>
        <w:rPr>
          <w:rFonts w:ascii="Times New Roman" w:hAnsi="Times New Roman"/>
          <w:sz w:val="24"/>
        </w:rPr>
      </w:pPr>
      <w:r>
        <w:rPr>
          <w:rFonts w:ascii="Times New Roman" w:hAnsi="Times New Roman"/>
          <w:sz w:val="24"/>
        </w:rPr>
        <w:t>Допуски и погрешности применяются в соответствии с актуализированной редакцией СП 11-104-97 «Инженерно-геодезические изыскания».</w:t>
      </w:r>
    </w:p>
    <w:p>
      <w:pPr>
        <w:pStyle w:val="Normal"/>
        <w:rPr>
          <w:rFonts w:ascii="Times New Roman" w:hAnsi="Times New Roman"/>
          <w:sz w:val="24"/>
        </w:rPr>
      </w:pPr>
      <w:r>
        <w:rPr>
          <w:rFonts w:ascii="Times New Roman" w:hAnsi="Times New Roman"/>
          <w:sz w:val="24"/>
        </w:rPr>
        <w:t>Расстояния могут измеряться одновременно с угловыми измерениями при каждом наведении на визирную марку, либо раздельно. Измерения между смежными пунктами проводятся либо одновременно, либо с кратчайшим разрывом по времени.</w:t>
      </w:r>
    </w:p>
    <w:p>
      <w:pPr>
        <w:pStyle w:val="Normal"/>
        <w:rPr>
          <w:rFonts w:ascii="Times New Roman" w:hAnsi="Times New Roman"/>
          <w:sz w:val="24"/>
        </w:rPr>
      </w:pPr>
      <w:r>
        <w:rPr>
          <w:rFonts w:ascii="Times New Roman" w:hAnsi="Times New Roman"/>
          <w:sz w:val="24"/>
        </w:rPr>
        <w:t>Перед началом работ необходимо проводить поверки, предусмотренные инструкцией к тахеометру, а также обязательно – определение постоянного слагаемого призмы.</w:t>
      </w:r>
    </w:p>
    <w:p>
      <w:pPr>
        <w:pStyle w:val="Normal"/>
        <w:rPr>
          <w:rFonts w:ascii="Times New Roman" w:hAnsi="Times New Roman"/>
          <w:sz w:val="24"/>
        </w:rPr>
      </w:pPr>
      <w:r>
        <w:rPr>
          <w:rFonts w:ascii="Times New Roman" w:hAnsi="Times New Roman"/>
          <w:sz w:val="24"/>
        </w:rPr>
        <w:t>Метеопараметры измеряются на двух концах линий, в инструмент вводят среднее значение.</w:t>
      </w:r>
    </w:p>
    <w:p>
      <w:pPr>
        <w:pStyle w:val="Normal"/>
        <w:rPr>
          <w:rFonts w:ascii="Times New Roman" w:hAnsi="Times New Roman"/>
          <w:sz w:val="24"/>
        </w:rPr>
      </w:pPr>
      <w:r>
        <w:rPr>
          <w:rFonts w:ascii="Times New Roman" w:hAnsi="Times New Roman"/>
          <w:sz w:val="24"/>
        </w:rPr>
        <w:t>Уравнивание выполняется строгим способом. Линии приводятся к горизонту, более никакие поправки не вводятся.</w:t>
      </w:r>
    </w:p>
    <w:p>
      <w:pPr>
        <w:pStyle w:val="Normal"/>
        <w:rPr>
          <w:rFonts w:ascii="Times New Roman" w:hAnsi="Times New Roman"/>
          <w:sz w:val="24"/>
        </w:rPr>
      </w:pPr>
      <w:r>
        <w:rPr>
          <w:rFonts w:ascii="Times New Roman" w:hAnsi="Times New Roman"/>
          <w:sz w:val="24"/>
        </w:rPr>
      </w:r>
    </w:p>
    <w:p>
      <w:pPr>
        <w:pStyle w:val="Style176"/>
        <w:spacing w:lineRule="auto" w:line="240"/>
        <w:ind w:left="0" w:right="0" w:hanging="0"/>
        <w:jc w:val="center"/>
        <w:rPr/>
      </w:pPr>
      <w:r>
        <w:rPr/>
        <w:drawing>
          <wp:inline distT="0" distB="0" distL="0" distR="0">
            <wp:extent cx="4482465" cy="4144010"/>
            <wp:effectExtent l="0" t="0" r="0" b="0"/>
            <wp:docPr id="54"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5" descr=""/>
                    <pic:cNvPicPr>
                      <a:picLocks noChangeAspect="1" noChangeArrowheads="1"/>
                    </pic:cNvPicPr>
                  </pic:nvPicPr>
                  <pic:blipFill>
                    <a:blip r:embed="rId74"/>
                    <a:stretch>
                      <a:fillRect/>
                    </a:stretch>
                  </pic:blipFill>
                  <pic:spPr bwMode="auto">
                    <a:xfrm>
                      <a:off x="0" y="0"/>
                      <a:ext cx="4482465" cy="4144010"/>
                    </a:xfrm>
                    <a:prstGeom prst="rect">
                      <a:avLst/>
                    </a:prstGeom>
                  </pic:spPr>
                </pic:pic>
              </a:graphicData>
            </a:graphic>
          </wp:inline>
        </w:drawing>
      </w:r>
    </w:p>
    <w:p>
      <w:pPr>
        <w:pStyle w:val="Style176"/>
        <w:spacing w:lineRule="auto" w:line="240"/>
        <w:jc w:val="center"/>
        <w:rPr/>
      </w:pPr>
      <w:r>
        <w:rPr/>
        <w:t>Рисунок 4.8.1 – Схема линейно угловых измерений</w:t>
      </w:r>
    </w:p>
    <w:p>
      <w:pPr>
        <w:pStyle w:val="Style176"/>
        <w:spacing w:lineRule="auto" w:line="240"/>
        <w:ind w:left="0" w:right="0" w:hanging="0"/>
        <w:jc w:val="center"/>
        <w:rPr/>
      </w:pPr>
      <w:r>
        <w:rPr/>
      </w:r>
    </w:p>
    <w:p>
      <w:pPr>
        <w:pStyle w:val="Style176"/>
        <w:spacing w:lineRule="auto" w:line="240"/>
        <w:ind w:left="0" w:right="0" w:hanging="0"/>
        <w:jc w:val="center"/>
        <w:rPr/>
      </w:pPr>
      <w:r>
        <w:rPr/>
      </w:r>
    </w:p>
    <w:p>
      <w:pPr>
        <w:pStyle w:val="Heading2"/>
        <w:numPr>
          <w:ilvl w:val="0"/>
        </w:numPr>
        <w:ind w:left="0" w:right="0" w:hanging="0"/>
        <w:rPr>
          <w:rFonts w:ascii="Times New Roman" w:hAnsi="Times New Roman"/>
        </w:rPr>
      </w:pPr>
      <w:bookmarkStart w:id="219" w:name="__RefHeading___Toc39992_2889022187"/>
      <w:bookmarkEnd w:id="219"/>
      <w:r>
        <w:rPr>
          <w:rFonts w:ascii="Times New Roman" w:hAnsi="Times New Roman"/>
        </w:rPr>
        <w:t xml:space="preserve">4.8.4 </w:t>
      </w:r>
      <w:bookmarkStart w:id="220" w:name="_Toc526843761"/>
      <w:bookmarkStart w:id="221" w:name="_Toc215650233"/>
      <w:r>
        <w:rPr>
          <w:rFonts w:ascii="Times New Roman" w:hAnsi="Times New Roman"/>
        </w:rPr>
        <w:t>Измерения линий</w:t>
      </w:r>
      <w:bookmarkEnd w:id="220"/>
      <w:bookmarkEnd w:id="221"/>
    </w:p>
    <w:p>
      <w:pPr>
        <w:pStyle w:val="Normal"/>
        <w:rPr>
          <w:rFonts w:ascii="Times New Roman" w:hAnsi="Times New Roman"/>
          <w:sz w:val="24"/>
        </w:rPr>
      </w:pPr>
      <w:r>
        <w:rPr>
          <w:rFonts w:ascii="Times New Roman" w:hAnsi="Times New Roman"/>
          <w:sz w:val="24"/>
        </w:rPr>
        <w:t>Для водоводов: с каждого из 6-ти пунктов (VP10, VP7, S7V, S10V, 2СДЗнв.5_7 и 2СДЗнв.15_10) измеряются расстояния на все светодальномерные знаки своего напорного водовода (№ 7 или № 10), которые видны с этого пункта (для накопления избыточного количества максимальных измерений и оценки достоверности получаемых измерений).</w:t>
      </w:r>
    </w:p>
    <w:p>
      <w:pPr>
        <w:pStyle w:val="Normal"/>
        <w:rPr>
          <w:rFonts w:ascii="Times New Roman" w:hAnsi="Times New Roman"/>
          <w:sz w:val="24"/>
        </w:rPr>
      </w:pPr>
      <w:r>
        <w:rPr>
          <w:rFonts w:ascii="Times New Roman" w:hAnsi="Times New Roman"/>
          <w:sz w:val="24"/>
        </w:rPr>
        <w:t xml:space="preserve">Измерения в одном направлении должны выполняться тахеометром с погрешностью измерений не ниже 2 мм x 10-6D. Измерения (точные усреднённые из </w:t>
        <w:br/>
        <w:t>трёх) проводятся одним приёмом при двух кругах.</w:t>
      </w:r>
    </w:p>
    <w:p>
      <w:pPr>
        <w:pStyle w:val="Normal"/>
        <w:rPr>
          <w:rFonts w:ascii="Times New Roman" w:hAnsi="Times New Roman"/>
          <w:sz w:val="24"/>
        </w:rPr>
      </w:pPr>
      <w:r>
        <w:rPr>
          <w:rFonts w:ascii="Times New Roman" w:hAnsi="Times New Roman"/>
          <w:sz w:val="24"/>
        </w:rPr>
        <w:t>Метеопараметры измеряются на двух концах линий, в инструмент вводят среднее значение.</w:t>
      </w:r>
    </w:p>
    <w:p>
      <w:pPr>
        <w:pStyle w:val="Normal"/>
        <w:rPr>
          <w:rFonts w:ascii="Times New Roman" w:hAnsi="Times New Roman"/>
          <w:sz w:val="24"/>
        </w:rPr>
      </w:pPr>
      <w:r>
        <w:rPr>
          <w:rFonts w:ascii="Times New Roman" w:hAnsi="Times New Roman"/>
          <w:sz w:val="24"/>
        </w:rPr>
        <w:t>Наклонное расстояние и угол наклона фиксируются в журнале либо в памяти прибора. Во всех циклах измерений должна использоваться одна и та же призма (её слагаемое должно быть определено исполнителем перед началом работ).</w:t>
      </w:r>
    </w:p>
    <w:p>
      <w:pPr>
        <w:pStyle w:val="Normal"/>
        <w:rPr>
          <w:rFonts w:ascii="Times New Roman" w:hAnsi="Times New Roman"/>
          <w:sz w:val="24"/>
        </w:rPr>
      </w:pPr>
      <w:r>
        <w:rPr>
          <w:rFonts w:ascii="Times New Roman" w:hAnsi="Times New Roman"/>
          <w:sz w:val="24"/>
        </w:rPr>
        <w:t>Данные после строгого уравнивания с приоритетом линейных измерений (с k = 0,8 для CREDO) производится в виде таблицы горизонтальных проложений и углов наклона (в формате .xlsx), а также файлов полевых журналов.</w:t>
      </w:r>
    </w:p>
    <w:p>
      <w:pPr>
        <w:pStyle w:val="Heading2"/>
        <w:numPr>
          <w:ilvl w:val="0"/>
        </w:numPr>
        <w:ind w:left="0" w:right="0" w:hanging="0"/>
        <w:rPr>
          <w:rFonts w:ascii="Times New Roman" w:hAnsi="Times New Roman"/>
        </w:rPr>
      </w:pPr>
      <w:bookmarkStart w:id="222" w:name="__RefHeading___Toc39994_2889022187"/>
      <w:bookmarkEnd w:id="222"/>
      <w:r>
        <w:rPr>
          <w:rFonts w:ascii="Times New Roman" w:hAnsi="Times New Roman"/>
        </w:rPr>
        <w:t xml:space="preserve">4.8.5 </w:t>
      </w:r>
      <w:bookmarkStart w:id="223" w:name="_Toc215650234"/>
      <w:bookmarkStart w:id="224" w:name="_Toc526843762"/>
      <w:r>
        <w:rPr>
          <w:rFonts w:ascii="Times New Roman" w:hAnsi="Times New Roman"/>
        </w:rPr>
        <w:t>Периодичность проведения наблюдений по светодальномерным знакам</w:t>
      </w:r>
      <w:bookmarkEnd w:id="223"/>
      <w:bookmarkEnd w:id="224"/>
    </w:p>
    <w:p>
      <w:pPr>
        <w:pStyle w:val="Normal"/>
        <w:rPr>
          <w:rFonts w:ascii="Times New Roman" w:hAnsi="Times New Roman"/>
          <w:sz w:val="24"/>
        </w:rPr>
      </w:pPr>
      <w:r>
        <w:rPr>
          <w:rFonts w:ascii="Times New Roman" w:hAnsi="Times New Roman"/>
          <w:sz w:val="24"/>
        </w:rPr>
        <w:t>Периодичность проведения наблюдений по светодальномерным знакам представлена в приложении Б.</w:t>
      </w:r>
    </w:p>
    <w:p>
      <w:pPr>
        <w:pStyle w:val="Normal"/>
        <w:rPr>
          <w:rFonts w:ascii="Times New Roman" w:hAnsi="Times New Roman"/>
          <w:sz w:val="24"/>
        </w:rPr>
      </w:pPr>
      <w:r>
        <w:rPr>
          <w:rFonts w:ascii="Times New Roman" w:hAnsi="Times New Roman"/>
          <w:sz w:val="24"/>
        </w:rPr>
        <w:t>Настоящая периодичность предусматривает количество циклов наблюдений (измерений) по светодальномерным знакам за определенный промежуток времени.</w:t>
      </w:r>
    </w:p>
    <w:p>
      <w:pPr>
        <w:pStyle w:val="Normal"/>
        <w:rPr>
          <w:rFonts w:ascii="Times New Roman" w:hAnsi="Times New Roman"/>
          <w:sz w:val="24"/>
        </w:rPr>
      </w:pPr>
      <w:r>
        <w:rPr>
          <w:rFonts w:ascii="Times New Roman" w:hAnsi="Times New Roman"/>
          <w:sz w:val="24"/>
        </w:rPr>
      </w:r>
    </w:p>
    <w:p>
      <w:pPr>
        <w:pStyle w:val="Heading2"/>
        <w:numPr>
          <w:ilvl w:val="0"/>
        </w:numPr>
        <w:ind w:left="0" w:right="0" w:hanging="0"/>
        <w:rPr>
          <w:rFonts w:ascii="Times New Roman" w:hAnsi="Times New Roman"/>
        </w:rPr>
      </w:pPr>
      <w:bookmarkStart w:id="225" w:name="__RefHeading___Toc14194_3528834450"/>
      <w:bookmarkEnd w:id="225"/>
      <w:r>
        <w:rPr>
          <w:rFonts w:ascii="Times New Roman" w:hAnsi="Times New Roman"/>
        </w:rPr>
        <w:t xml:space="preserve">4.8.6 </w:t>
      </w:r>
      <w:bookmarkStart w:id="226" w:name="_Toc215650235"/>
      <w:bookmarkStart w:id="227" w:name="_Toc526843763"/>
      <w:r>
        <w:rPr>
          <w:rFonts w:ascii="Times New Roman" w:hAnsi="Times New Roman"/>
        </w:rPr>
        <w:t>Объёмы наблюдений по свето-дальномерным знакам</w:t>
      </w:r>
      <w:bookmarkEnd w:id="226"/>
      <w:bookmarkEnd w:id="227"/>
    </w:p>
    <w:p>
      <w:pPr>
        <w:pStyle w:val="Normal"/>
        <w:rPr>
          <w:rFonts w:ascii="Times New Roman" w:hAnsi="Times New Roman"/>
          <w:sz w:val="24"/>
        </w:rPr>
      </w:pPr>
      <w:r>
        <w:rPr>
          <w:rFonts w:ascii="Times New Roman" w:hAnsi="Times New Roman"/>
          <w:sz w:val="24"/>
        </w:rPr>
        <w:t>Объём наблюдений по свето-дальномерным знакам определяется на основе количества светодальномерных знаков и количества циклов наблюдений по ним в год.</w:t>
      </w:r>
    </w:p>
    <w:p>
      <w:pPr>
        <w:pStyle w:val="Normal"/>
        <w:rPr>
          <w:rFonts w:ascii="Times New Roman" w:hAnsi="Times New Roman"/>
          <w:sz w:val="24"/>
        </w:rPr>
      </w:pPr>
      <w:r>
        <w:rPr>
          <w:rFonts w:ascii="Times New Roman" w:hAnsi="Times New Roman"/>
          <w:sz w:val="24"/>
        </w:rPr>
        <w:t>Объём наблюдений по светодальномерным знакам на один год представлен в приложении В.</w:t>
      </w:r>
    </w:p>
    <w:p>
      <w:pPr>
        <w:pStyle w:val="Heading2"/>
        <w:numPr>
          <w:ilvl w:val="0"/>
        </w:numPr>
        <w:ind w:left="0" w:right="0" w:hanging="0"/>
        <w:rPr>
          <w:rFonts w:ascii="Times New Roman" w:hAnsi="Times New Roman"/>
        </w:rPr>
      </w:pPr>
      <w:bookmarkStart w:id="228" w:name="__RefHeading___Toc39998_2889022187"/>
      <w:bookmarkEnd w:id="228"/>
      <w:r>
        <w:rPr>
          <w:rFonts w:ascii="Times New Roman" w:hAnsi="Times New Roman"/>
        </w:rPr>
        <w:t xml:space="preserve">4.8.7 </w:t>
      </w:r>
      <w:bookmarkStart w:id="229" w:name="_Toc215650236"/>
      <w:bookmarkStart w:id="230" w:name="_Toc526843764"/>
      <w:r>
        <w:rPr>
          <w:rFonts w:ascii="Times New Roman" w:hAnsi="Times New Roman"/>
        </w:rPr>
        <w:t>Обработка и оформление результатов наблюдений по светодальномерным знакам</w:t>
      </w:r>
      <w:bookmarkEnd w:id="229"/>
      <w:bookmarkEnd w:id="230"/>
    </w:p>
    <w:p>
      <w:pPr>
        <w:pStyle w:val="Normal"/>
        <w:rPr>
          <w:rFonts w:ascii="Times New Roman" w:hAnsi="Times New Roman"/>
          <w:sz w:val="24"/>
        </w:rPr>
      </w:pPr>
      <w:r>
        <w:rPr>
          <w:rFonts w:ascii="Times New Roman" w:hAnsi="Times New Roman"/>
          <w:sz w:val="24"/>
        </w:rPr>
        <w:t>Регистрация наблюдений может выполняется в памяти инструмента (тахеометра) без ведения полевого журнала.</w:t>
      </w:r>
    </w:p>
    <w:p>
      <w:pPr>
        <w:pStyle w:val="Normal"/>
        <w:rPr>
          <w:rFonts w:ascii="Times New Roman" w:hAnsi="Times New Roman"/>
          <w:sz w:val="24"/>
        </w:rPr>
      </w:pPr>
      <w:r>
        <w:rPr>
          <w:rFonts w:ascii="Times New Roman" w:hAnsi="Times New Roman"/>
          <w:sz w:val="24"/>
        </w:rPr>
        <w:t>Результаты выполненных наблюдений по светодальномерным знакам заносятся в соответствующие журналы наблюдений (форма полевого журнала приведена в приложении К графической части настоящего Регламента) и в электронную базу данных информационно-диагностической системы «БИНГ-3».</w:t>
      </w:r>
    </w:p>
    <w:p>
      <w:pPr>
        <w:pStyle w:val="Heading2"/>
        <w:numPr>
          <w:ilvl w:val="0"/>
        </w:numPr>
        <w:ind w:left="0" w:right="0" w:hanging="0"/>
        <w:rPr>
          <w:rFonts w:ascii="Times New Roman" w:hAnsi="Times New Roman"/>
        </w:rPr>
      </w:pPr>
      <w:bookmarkStart w:id="231" w:name="__RefHeading___Toc40000_2889022187"/>
      <w:bookmarkEnd w:id="231"/>
      <w:r>
        <w:rPr>
          <w:rFonts w:ascii="Times New Roman" w:hAnsi="Times New Roman"/>
        </w:rPr>
        <w:t xml:space="preserve">4.9 </w:t>
      </w:r>
      <w:bookmarkStart w:id="232" w:name="_Toc215650237"/>
      <w:r>
        <w:rPr>
          <w:rFonts w:ascii="Times New Roman" w:hAnsi="Times New Roman"/>
        </w:rPr>
        <w:t>Проведение специальных наблюдений за пространственным положением здания ГАЭС</w:t>
      </w:r>
      <w:bookmarkEnd w:id="232"/>
    </w:p>
    <w:p>
      <w:pPr>
        <w:pStyle w:val="Heading2"/>
        <w:numPr>
          <w:ilvl w:val="0"/>
        </w:numPr>
        <w:ind w:left="0" w:right="0" w:hanging="0"/>
        <w:rPr>
          <w:rFonts w:ascii="Times New Roman" w:hAnsi="Times New Roman"/>
        </w:rPr>
      </w:pPr>
      <w:bookmarkStart w:id="233" w:name="__RefHeading___Toc40002_2889022187"/>
      <w:bookmarkEnd w:id="233"/>
      <w:r>
        <w:rPr>
          <w:rFonts w:ascii="Times New Roman" w:hAnsi="Times New Roman"/>
        </w:rPr>
        <w:t xml:space="preserve">4.9.1. </w:t>
      </w:r>
      <w:bookmarkStart w:id="234" w:name="_Toc215650238"/>
      <w:r>
        <w:rPr>
          <w:rFonts w:ascii="Times New Roman" w:hAnsi="Times New Roman"/>
        </w:rPr>
        <w:t>Состав КИА специального контроля за пространственным положением здания ГАЭС</w:t>
      </w:r>
      <w:bookmarkEnd w:id="234"/>
    </w:p>
    <w:p>
      <w:pPr>
        <w:pStyle w:val="Normal"/>
        <w:rPr>
          <w:rFonts w:ascii="Times New Roman" w:hAnsi="Times New Roman"/>
          <w:sz w:val="24"/>
        </w:rPr>
      </w:pPr>
      <w:r>
        <w:rPr>
          <w:rFonts w:ascii="Times New Roman" w:hAnsi="Times New Roman"/>
          <w:sz w:val="24"/>
        </w:rPr>
        <w:t>Для специального контроля за пространственным положением здания ГАЭС в период строительства установлена следующая КИА: автоматизированные тахеометры, отражатели, ГНСС-приёмники, ГНСС-антенны, метеостанции.</w:t>
      </w:r>
    </w:p>
    <w:p>
      <w:pPr>
        <w:pStyle w:val="Normal"/>
        <w:rPr>
          <w:rFonts w:ascii="Times New Roman" w:hAnsi="Times New Roman"/>
          <w:sz w:val="24"/>
        </w:rPr>
      </w:pPr>
      <w:r>
        <w:rPr>
          <w:rFonts w:ascii="Times New Roman" w:hAnsi="Times New Roman"/>
          <w:sz w:val="24"/>
        </w:rPr>
        <w:t>Состав и количество контрольно-измерительной аппаратуры для проведения специальных наблюдений за пространственным положением здания ГАЭС, на период строительства, представлено в приложении А.</w:t>
      </w:r>
    </w:p>
    <w:p>
      <w:pPr>
        <w:pStyle w:val="Heading2"/>
        <w:numPr>
          <w:ilvl w:val="0"/>
        </w:numPr>
        <w:ind w:left="0" w:right="0" w:hanging="0"/>
        <w:rPr>
          <w:rFonts w:ascii="Times New Roman" w:hAnsi="Times New Roman"/>
        </w:rPr>
      </w:pPr>
      <w:bookmarkStart w:id="235" w:name="__RefHeading___Toc40004_2889022187"/>
      <w:bookmarkEnd w:id="235"/>
      <w:r>
        <w:rPr>
          <w:rFonts w:ascii="Times New Roman" w:hAnsi="Times New Roman"/>
        </w:rPr>
        <w:t xml:space="preserve">4.9.2. </w:t>
      </w:r>
      <w:bookmarkStart w:id="236" w:name="_Toc215650239"/>
      <w:r>
        <w:rPr>
          <w:rFonts w:ascii="Times New Roman" w:hAnsi="Times New Roman"/>
        </w:rPr>
        <w:t>Проведение специального контроля за пространственным положением здания ГАЭС</w:t>
      </w:r>
      <w:bookmarkEnd w:id="236"/>
    </w:p>
    <w:p>
      <w:pPr>
        <w:pStyle w:val="Normal"/>
        <w:rPr>
          <w:rFonts w:ascii="Times New Roman" w:hAnsi="Times New Roman"/>
          <w:sz w:val="24"/>
        </w:rPr>
      </w:pPr>
      <w:r>
        <w:rPr>
          <w:rFonts w:ascii="Times New Roman" w:hAnsi="Times New Roman"/>
          <w:sz w:val="24"/>
        </w:rPr>
        <w:t>В систему инструментальных измерений специального контроля пространственного положения здания ГАЭС входят следующие виды измерений:</w:t>
      </w:r>
    </w:p>
    <w:p>
      <w:pPr>
        <w:pStyle w:val="Normal"/>
        <w:rPr>
          <w:rFonts w:ascii="Times New Roman" w:hAnsi="Times New Roman"/>
          <w:sz w:val="24"/>
        </w:rPr>
      </w:pPr>
      <w:r>
        <w:rPr>
          <w:rFonts w:ascii="Times New Roman" w:hAnsi="Times New Roman"/>
          <w:sz w:val="24"/>
        </w:rPr>
        <w:t>- линейно-угловые измерения (с помощью автоматизированных тахеометров);</w:t>
      </w:r>
    </w:p>
    <w:p>
      <w:pPr>
        <w:pStyle w:val="Normal"/>
        <w:rPr>
          <w:rFonts w:ascii="Times New Roman" w:hAnsi="Times New Roman"/>
          <w:sz w:val="24"/>
        </w:rPr>
      </w:pPr>
      <w:r>
        <w:rPr>
          <w:rFonts w:ascii="Times New Roman" w:hAnsi="Times New Roman"/>
          <w:sz w:val="24"/>
        </w:rPr>
        <w:t>- спутниковые измерения (с помощью ГНСС-приёмников).</w:t>
      </w:r>
    </w:p>
    <w:p>
      <w:pPr>
        <w:pStyle w:val="Normal"/>
        <w:rPr>
          <w:rFonts w:ascii="Times New Roman" w:hAnsi="Times New Roman"/>
          <w:sz w:val="24"/>
        </w:rPr>
      </w:pPr>
      <w:r>
        <w:rPr>
          <w:rFonts w:ascii="Times New Roman" w:hAnsi="Times New Roman"/>
          <w:sz w:val="24"/>
        </w:rPr>
        <w:t xml:space="preserve">Линейно-угловые измерения производятся с помощью автоматизированных тахеометров и марок с отражателями на участках сооружений здания ГАЭС для геодезических наблюдений их планово-высотного положения в строительный период для своевременного выявления смещений, предотвращения аварийных ситуаций, а также для оценки правильности результатов прогноза, принятых методов расчёта и проектных решений. </w:t>
      </w:r>
    </w:p>
    <w:p>
      <w:pPr>
        <w:pStyle w:val="Normal"/>
        <w:rPr>
          <w:rFonts w:ascii="Times New Roman" w:hAnsi="Times New Roman"/>
          <w:sz w:val="24"/>
        </w:rPr>
      </w:pPr>
      <w:r>
        <w:rPr>
          <w:rFonts w:ascii="Times New Roman" w:hAnsi="Times New Roman"/>
          <w:sz w:val="24"/>
        </w:rPr>
        <w:t>В качестве инструмента линейно-угловых измерений используется роботизированный тахеометр типа Leica Nova TM50 I 0,5".</w:t>
      </w:r>
    </w:p>
    <w:p>
      <w:pPr>
        <w:pStyle w:val="Normal"/>
        <w:rPr>
          <w:rFonts w:ascii="Times New Roman" w:hAnsi="Times New Roman"/>
          <w:sz w:val="24"/>
        </w:rPr>
      </w:pPr>
      <w:r>
        <w:rPr>
          <w:rFonts w:ascii="Times New Roman" w:hAnsi="Times New Roman"/>
          <w:sz w:val="24"/>
        </w:rPr>
        <w:t xml:space="preserve">В качестве отражательных марок используются специальные призмы для задач мониторинга для станций мониторинга и для базовых станций, отражатели модели Leica GRZ122, которые отвечают необходимым условиям точности при геодезическом мониторинге. Эти отражатели имеют специальное крепление для установки </w:t>
        <w:br/>
        <w:t xml:space="preserve">ГНСС-антенны. </w:t>
      </w:r>
    </w:p>
    <w:p>
      <w:pPr>
        <w:pStyle w:val="Normal"/>
        <w:rPr>
          <w:rFonts w:ascii="Times New Roman" w:hAnsi="Times New Roman"/>
          <w:sz w:val="24"/>
        </w:rPr>
      </w:pPr>
      <w:r>
        <w:rPr>
          <w:rFonts w:ascii="Times New Roman" w:hAnsi="Times New Roman"/>
          <w:sz w:val="24"/>
        </w:rPr>
        <w:t>В каждой точке мониторинга на конструкции устанавливается призма для обеспечения наблюдения каждой точки минимум с двух автоматизированных тахеометров.</w:t>
      </w:r>
    </w:p>
    <w:p>
      <w:pPr>
        <w:pStyle w:val="Normal"/>
        <w:rPr>
          <w:rFonts w:ascii="Times New Roman" w:hAnsi="Times New Roman"/>
          <w:sz w:val="24"/>
        </w:rPr>
      </w:pPr>
      <w:r>
        <w:rPr>
          <w:rFonts w:ascii="Times New Roman" w:hAnsi="Times New Roman"/>
          <w:sz w:val="24"/>
        </w:rPr>
        <w:t>Регистрация наблюдений с периодичностью не реже 1 раза в час выполняется в памяти инструмента (автоматизированного тахеометра) и на сервере, где установлено программное обеспечение автоматизированной системы мониторинга Leica GeoMoS.</w:t>
      </w:r>
    </w:p>
    <w:p>
      <w:pPr>
        <w:pStyle w:val="Normal"/>
        <w:rPr>
          <w:rFonts w:ascii="Times New Roman" w:hAnsi="Times New Roman"/>
          <w:sz w:val="24"/>
        </w:rPr>
      </w:pPr>
      <w:r>
        <w:rPr>
          <w:rFonts w:ascii="Times New Roman" w:hAnsi="Times New Roman"/>
          <w:sz w:val="24"/>
        </w:rPr>
        <w:t>В качестве средств спутникового позиционирования базовых станций используются ГНСС-приёмники типа Leica GR30 с антеннами типа Leica AR25 (Choke Ring) для базовых станций с тахеометрами и с антеннами типа Leica AR10 для базовых спутниковых станций, совмещенных с опорным отражателем.</w:t>
      </w:r>
    </w:p>
    <w:p>
      <w:pPr>
        <w:pStyle w:val="Heading2"/>
        <w:numPr>
          <w:ilvl w:val="0"/>
        </w:numPr>
        <w:ind w:left="0" w:right="0" w:hanging="0"/>
        <w:rPr>
          <w:rFonts w:ascii="Times New Roman" w:hAnsi="Times New Roman"/>
        </w:rPr>
      </w:pPr>
      <w:bookmarkStart w:id="237" w:name="__RefHeading___Toc40006_2889022187"/>
      <w:bookmarkEnd w:id="237"/>
      <w:r>
        <w:rPr>
          <w:rFonts w:ascii="Times New Roman" w:hAnsi="Times New Roman"/>
        </w:rPr>
        <w:t xml:space="preserve">4.9.3 </w:t>
      </w:r>
      <w:bookmarkStart w:id="238" w:name="_Toc215650240"/>
      <w:r>
        <w:rPr>
          <w:rFonts w:ascii="Times New Roman" w:hAnsi="Times New Roman"/>
        </w:rPr>
        <w:t>Методика проведения специального контроля за пространственным положением здания ГАЭС</w:t>
      </w:r>
      <w:bookmarkEnd w:id="238"/>
    </w:p>
    <w:p>
      <w:pPr>
        <w:pStyle w:val="Normal"/>
        <w:rPr>
          <w:rFonts w:ascii="Times New Roman" w:hAnsi="Times New Roman"/>
          <w:sz w:val="24"/>
        </w:rPr>
      </w:pPr>
      <w:r>
        <w:rPr>
          <w:rFonts w:ascii="Times New Roman" w:hAnsi="Times New Roman"/>
          <w:sz w:val="24"/>
        </w:rPr>
        <w:t>АСГМ ГТС осуществляет измерение пространственного положения отражателей на здании ГАЭС и около него, ПС-8, ПС-4, перемычке реверсивного канала, мостовом переходе, водоводах и склонах, спутниковых антенн станций автоматизированных тахеометров, а также положения базовых спутниковых станций и опорных отражателей. Автоматический опрос измерительной аппаратуры осуществляется с периодичностью 1 раз в час, с возможностью принудительного ручного запуска опроса с АРМ администратора.</w:t>
      </w:r>
    </w:p>
    <w:p>
      <w:pPr>
        <w:pStyle w:val="Normal"/>
        <w:rPr>
          <w:rFonts w:ascii="Times New Roman" w:hAnsi="Times New Roman"/>
          <w:sz w:val="24"/>
        </w:rPr>
      </w:pPr>
      <w:r>
        <w:rPr>
          <w:rFonts w:ascii="Times New Roman" w:hAnsi="Times New Roman"/>
          <w:sz w:val="24"/>
        </w:rPr>
        <w:t>На всех пунктах углы измеряются способом круговых приёмов. Расстояния могут измеряться одновременно с угловыми измерениями при каждом наведении на визирную марку, либо раздельно. Измерения между смежными опорными пунктами и между марками проводятся либо одновременно, либо с кратчайшим разрывом по времени.</w:t>
      </w:r>
    </w:p>
    <w:p>
      <w:pPr>
        <w:pStyle w:val="Normal"/>
        <w:rPr>
          <w:rFonts w:ascii="Times New Roman" w:hAnsi="Times New Roman"/>
          <w:sz w:val="24"/>
        </w:rPr>
      </w:pPr>
      <w:r>
        <w:rPr>
          <w:rFonts w:ascii="Times New Roman" w:hAnsi="Times New Roman"/>
          <w:sz w:val="24"/>
        </w:rPr>
        <w:t>Перед началом работ необходимо проводить поверки, предусмотренные инструкцией к тахеометру, а также определение постоянного слагаемого призмы.</w:t>
      </w:r>
    </w:p>
    <w:p>
      <w:pPr>
        <w:pStyle w:val="Normal"/>
        <w:rPr>
          <w:rFonts w:ascii="Times New Roman" w:hAnsi="Times New Roman"/>
          <w:sz w:val="24"/>
        </w:rPr>
      </w:pPr>
      <w:r>
        <w:rPr>
          <w:rFonts w:ascii="Times New Roman" w:hAnsi="Times New Roman"/>
          <w:sz w:val="24"/>
        </w:rPr>
        <w:t>Метеопараметры измеряются на двух концах линий, в инструмент вводится среднее значение.</w:t>
      </w:r>
    </w:p>
    <w:p>
      <w:pPr>
        <w:pStyle w:val="Normal"/>
        <w:rPr>
          <w:rFonts w:ascii="Times New Roman" w:hAnsi="Times New Roman"/>
          <w:sz w:val="24"/>
        </w:rPr>
      </w:pPr>
      <w:r>
        <w:rPr>
          <w:rFonts w:ascii="Times New Roman" w:hAnsi="Times New Roman"/>
          <w:sz w:val="24"/>
        </w:rPr>
        <w:t>Координаты опорных пунктов определяются в режиме статика с использованием ГНСС-приёмников и вычисляются в режиме реального времени, и используются для корректировки места положения станций тахеометров. Метеопараметры измеряются на каждом пункте.</w:t>
      </w:r>
    </w:p>
    <w:p>
      <w:pPr>
        <w:pStyle w:val="Normal"/>
        <w:rPr>
          <w:rFonts w:ascii="Times New Roman" w:hAnsi="Times New Roman"/>
          <w:sz w:val="24"/>
        </w:rPr>
      </w:pPr>
      <w:r>
        <w:rPr>
          <w:rFonts w:ascii="Times New Roman" w:hAnsi="Times New Roman"/>
          <w:sz w:val="24"/>
        </w:rPr>
        <w:t>Регистрация наблюдений с периодичностью не реже 1 раза в час выполняется в памяти инструментов (автоматизированного тахеометра) и на сервере, где установлено программное обеспечение автоматизированной системы мониторинг.</w:t>
      </w:r>
    </w:p>
    <w:p>
      <w:pPr>
        <w:pStyle w:val="Normal"/>
        <w:rPr>
          <w:rFonts w:ascii="Times New Roman" w:hAnsi="Times New Roman"/>
          <w:sz w:val="24"/>
        </w:rPr>
      </w:pPr>
      <w:r>
        <w:rPr>
          <w:rFonts w:ascii="Times New Roman" w:hAnsi="Times New Roman"/>
          <w:sz w:val="24"/>
        </w:rPr>
        <w:t xml:space="preserve">Результаты выполненных наблюдений за планово-высотными перемещениями заносятся в соответствующие журналы наблюдений. Результаты выдаются в системе координат Загорской ГАЭС-2. </w:t>
      </w:r>
    </w:p>
    <w:p>
      <w:pPr>
        <w:pStyle w:val="Normal"/>
        <w:rPr>
          <w:rFonts w:ascii="Times New Roman" w:hAnsi="Times New Roman"/>
          <w:sz w:val="24"/>
        </w:rPr>
      </w:pPr>
      <w:r>
        <w:rPr>
          <w:rFonts w:ascii="Times New Roman" w:hAnsi="Times New Roman"/>
          <w:sz w:val="24"/>
        </w:rPr>
        <w:t>В качестве полевого журнала допустимо использование отчётных файлов программного обеспечения АСГМ.</w:t>
      </w:r>
    </w:p>
    <w:p>
      <w:pPr>
        <w:pStyle w:val="Heading2"/>
        <w:numPr>
          <w:ilvl w:val="0"/>
        </w:numPr>
        <w:ind w:left="0" w:right="0" w:hanging="0"/>
        <w:rPr>
          <w:rFonts w:ascii="Times New Roman" w:hAnsi="Times New Roman"/>
        </w:rPr>
      </w:pPr>
      <w:bookmarkStart w:id="239" w:name="__RefHeading___Toc40008_2889022187"/>
      <w:bookmarkEnd w:id="239"/>
      <w:r>
        <w:rPr>
          <w:rFonts w:ascii="Times New Roman" w:hAnsi="Times New Roman"/>
        </w:rPr>
        <w:t xml:space="preserve">4.9.4 </w:t>
      </w:r>
      <w:bookmarkStart w:id="240" w:name="_Toc215650241"/>
      <w:r>
        <w:rPr>
          <w:rFonts w:ascii="Times New Roman" w:hAnsi="Times New Roman"/>
        </w:rPr>
        <w:t>Периодичность проведения специального контроля за пространственным положением здания ГАЭС</w:t>
      </w:r>
      <w:bookmarkEnd w:id="240"/>
    </w:p>
    <w:p>
      <w:pPr>
        <w:pStyle w:val="Normal"/>
        <w:rPr>
          <w:rFonts w:ascii="Times New Roman" w:hAnsi="Times New Roman"/>
          <w:sz w:val="24"/>
        </w:rPr>
      </w:pPr>
      <w:r>
        <w:rPr>
          <w:rFonts w:ascii="Times New Roman" w:hAnsi="Times New Roman"/>
          <w:sz w:val="24"/>
        </w:rPr>
        <w:t>Периодичность проведения наблюдений специального контроля за пространственным положением здания ГАЭС в строительный период представлена в приложении Б.</w:t>
      </w:r>
    </w:p>
    <w:p>
      <w:pPr>
        <w:pStyle w:val="Heading2"/>
        <w:numPr>
          <w:ilvl w:val="0"/>
        </w:numPr>
        <w:ind w:left="0" w:right="0" w:hanging="0"/>
        <w:rPr>
          <w:rFonts w:ascii="Times New Roman" w:hAnsi="Times New Roman"/>
        </w:rPr>
      </w:pPr>
      <w:bookmarkStart w:id="241" w:name="__RefHeading___Toc40010_2889022187"/>
      <w:bookmarkEnd w:id="241"/>
      <w:r>
        <w:rPr>
          <w:rFonts w:ascii="Times New Roman" w:hAnsi="Times New Roman"/>
        </w:rPr>
        <w:t xml:space="preserve">4.9.5 </w:t>
      </w:r>
      <w:bookmarkStart w:id="242" w:name="_Toc215650242"/>
      <w:r>
        <w:rPr>
          <w:rFonts w:ascii="Times New Roman" w:hAnsi="Times New Roman"/>
        </w:rPr>
        <w:t>Объёмы работ при проведении специального контроля за пространственным положением здания ГАЭС</w:t>
      </w:r>
      <w:bookmarkEnd w:id="242"/>
    </w:p>
    <w:p>
      <w:pPr>
        <w:pStyle w:val="Normal"/>
        <w:rPr>
          <w:rFonts w:ascii="Times New Roman" w:hAnsi="Times New Roman"/>
          <w:sz w:val="24"/>
        </w:rPr>
      </w:pPr>
      <w:r>
        <w:rPr>
          <w:rFonts w:ascii="Times New Roman" w:hAnsi="Times New Roman"/>
          <w:sz w:val="24"/>
        </w:rPr>
        <w:t>Объём наблюдений при проведении специального контроля за пространственным положением здания ГАЭС на один год представлен в приложении В.</w:t>
      </w:r>
    </w:p>
    <w:p>
      <w:pPr>
        <w:pStyle w:val="Normal"/>
        <w:rPr>
          <w:rFonts w:ascii="Times New Roman" w:hAnsi="Times New Roman"/>
          <w:sz w:val="24"/>
        </w:rPr>
      </w:pPr>
      <w:r>
        <w:rPr>
          <w:rFonts w:ascii="Times New Roman" w:hAnsi="Times New Roman"/>
          <w:sz w:val="24"/>
        </w:rPr>
        <w:t>Специальные наблюдения за пространственным положением здания ГАЭС и остальных сооружений в автоматическом режиме производятся в течение всего срока строительства. Объёмы проведения инструментальных наблюдений специального контроля за пространственным положением Загорской ГАЭС-2 сроком на один год приведены в приложении В.</w:t>
      </w:r>
    </w:p>
    <w:p>
      <w:pPr>
        <w:pStyle w:val="Normal"/>
        <w:rPr>
          <w:rFonts w:ascii="Times New Roman" w:hAnsi="Times New Roman"/>
          <w:sz w:val="24"/>
        </w:rPr>
      </w:pPr>
      <w:r>
        <w:rPr>
          <w:rFonts w:ascii="Times New Roman" w:hAnsi="Times New Roman"/>
          <w:sz w:val="24"/>
        </w:rPr>
        <w:t>Для проведения специальных наблюдений в автоматическом режиме необходимо проводить постоянное техническое обслуживание и обеспечение АСГМ. Состав и объём работ по обеспечению работоспособности системы специального контроля пространственного положения Загорской ГАЭС-2 приведены в приложении В.</w:t>
      </w:r>
    </w:p>
    <w:p>
      <w:pPr>
        <w:pStyle w:val="Normal"/>
        <w:rPr>
          <w:rFonts w:ascii="Times New Roman" w:hAnsi="Times New Roman"/>
          <w:sz w:val="24"/>
        </w:rPr>
      </w:pPr>
      <w:r>
        <w:rPr>
          <w:rFonts w:ascii="Times New Roman" w:hAnsi="Times New Roman"/>
          <w:sz w:val="24"/>
        </w:rPr>
        <w:t>Работы по техническому обслуживанию включают в себя проверку работоспособности измерительных инструментов, источников питания, оборудования передачи данных и программного обеспечения. Контроль над датчиками, сбором данных, управление вычислениями и событиями осуществляется с помощью программного обеспечения на сервере. В случае возникновения уведомлений об отсутствующих измерениях или проблемах со связью с измерительным оборудованием возникает необходимость как ситуационной, так и периодической их проверки.</w:t>
      </w:r>
    </w:p>
    <w:p>
      <w:pPr>
        <w:pStyle w:val="Normal"/>
        <w:rPr>
          <w:rFonts w:ascii="Times New Roman" w:hAnsi="Times New Roman"/>
          <w:sz w:val="24"/>
        </w:rPr>
      </w:pPr>
      <w:r>
        <w:rPr>
          <w:rFonts w:ascii="Times New Roman" w:hAnsi="Times New Roman"/>
          <w:sz w:val="24"/>
        </w:rPr>
        <w:t>Для обеспечения измерений выполняются проверка отражателей опорных знаков и марок мониторинга, проверка целостности отражающей призмы, очистка от грязи, наледи и снежного покрова, проверки устойчивости крепежа и установки на нём. При необходимости возможна замена отражателей. Также проверяется прямая видимость со станций тахеометра на опорные знаки и марки мониторинга в случае высокого снежного покрова, травяной или кустарниковой растительности. Необходимо поддерживать возможность измерений на отражатели путём расчистки снега или вырубки растительности. Также проверяется наличие и уборка препятствующих измерениям искусственных объектов, транспорта, складированных материалов. Трудозатраты на выполнение 22 ч/дней в год.</w:t>
      </w:r>
    </w:p>
    <w:p>
      <w:pPr>
        <w:pStyle w:val="Normal"/>
        <w:rPr>
          <w:rFonts w:ascii="Times New Roman" w:hAnsi="Times New Roman"/>
          <w:sz w:val="24"/>
        </w:rPr>
      </w:pPr>
      <w:r>
        <w:rPr>
          <w:rFonts w:ascii="Times New Roman" w:hAnsi="Times New Roman"/>
          <w:sz w:val="24"/>
        </w:rPr>
        <w:t>Контроль оборудования станции роботизированного тахеометра включает в себя расчистку пути для обеспечения доступа к станции тахеометра и к термозащитному шкафу, внешний осмотр оборудования, очистку от пыли, наледи и снега, проверку горизонтирования инструмента, работоспособности сервоприводов и светодальномера, функции измерений, метеосенсора. Вместе с этим проверяются соединения оборудования термозащитного шкафа и тахеометра проводами, подключение к сети электропитания, работоспособность блока питания коммутатора и конвертера по показаниям индикаторов. Выполняется периодический или при необходимости перезапуск оборудования. Трудозатраты на выполнение 33 ч/дней в год.</w:t>
      </w:r>
    </w:p>
    <w:p>
      <w:pPr>
        <w:pStyle w:val="Normal"/>
        <w:rPr>
          <w:rFonts w:ascii="Times New Roman" w:hAnsi="Times New Roman"/>
          <w:sz w:val="24"/>
        </w:rPr>
      </w:pPr>
      <w:r>
        <w:rPr>
          <w:rFonts w:ascii="Times New Roman" w:hAnsi="Times New Roman"/>
          <w:sz w:val="24"/>
        </w:rPr>
        <w:t>По аналогии выполняется контроль оборудования ГНСС-приёмников. Обеспечивается свободный доступ к станции с ГНСС-оборудованием. Выполняется внешний осмотр антенны и остального оборудования, очистка от грязи, наледи и снега, проверка горизонтирования и устойчивости. Проверяются соединения оборудования термозащитного шкафа и тахеометра, метеосенсора проводами, подключение к сети электропитания, работоспособность блока питания приёмника и антенны, коммутатора и конвертера по показаниям индикаторов. Выполняется периодический или в случае необходимости перезапуск оборудования. Трудозатраты на выполнение 22 ч/дней в год.</w:t>
      </w:r>
    </w:p>
    <w:p>
      <w:pPr>
        <w:pStyle w:val="Normal"/>
        <w:rPr>
          <w:rFonts w:ascii="Times New Roman" w:hAnsi="Times New Roman"/>
          <w:sz w:val="24"/>
        </w:rPr>
      </w:pPr>
      <w:r>
        <w:rPr>
          <w:rFonts w:ascii="Times New Roman" w:hAnsi="Times New Roman"/>
          <w:sz w:val="24"/>
        </w:rPr>
        <w:t>Обеспечение бесперебойной работы системы передачи данных включает в себя внешний осмотр оборудования, проверки подключения к сети электропитания, конвертеров-преобразователей портов, целостность кабелей передачи данных, состояние серверов сбора данных. Выполняется периодический или при необходимости перезапуск оборудования, администрирование серверов сбора данных. Трудозатраты на выполнение 44 ч/дней в год.</w:t>
      </w:r>
    </w:p>
    <w:p>
      <w:pPr>
        <w:pStyle w:val="Normal"/>
        <w:rPr>
          <w:rFonts w:ascii="Times New Roman" w:hAnsi="Times New Roman"/>
          <w:sz w:val="24"/>
        </w:rPr>
      </w:pPr>
      <w:r>
        <w:rPr>
          <w:rFonts w:ascii="Times New Roman" w:hAnsi="Times New Roman"/>
          <w:sz w:val="24"/>
        </w:rPr>
        <w:t>Также выполняется резервная архивация измерительных данных и отчётной документации. Периодически производится запись данных с карт памяти инструментов, их чистка для новых данных. Трудозатраты на выполнение 22 ч/дней в год.</w:t>
      </w:r>
    </w:p>
    <w:p>
      <w:pPr>
        <w:pStyle w:val="Normal"/>
        <w:rPr>
          <w:rFonts w:ascii="Times New Roman" w:hAnsi="Times New Roman"/>
          <w:sz w:val="24"/>
        </w:rPr>
      </w:pPr>
      <w:r>
        <w:rPr>
          <w:rFonts w:ascii="Times New Roman" w:hAnsi="Times New Roman"/>
          <w:sz w:val="24"/>
        </w:rPr>
        <w:t>Для контроля и проверки работоспособности программного обеспечения выполняется проверка операционной системы сервера, проверка на ошибки и вирусы. Проводится периодический перезапуск программных модулей сбора и обработки, вычислений и анализа, проводится обновление отображения текстовых и графических данных, проверка связи с устройствами, проверка передачи данных с измерительного оборудования на сервер АСГМ и БИНГ, перезапуск системы мониторинга вручную. В период опытной эксплуатации возможно изменение настроек программного обеспечения сбора и обработки данных с целью улучшения качества измерений и вычислений значений смещений. Трудозатраты на выполнение 44 ч/дней в год.</w:t>
      </w:r>
    </w:p>
    <w:p>
      <w:pPr>
        <w:pStyle w:val="Normal"/>
        <w:rPr>
          <w:rFonts w:ascii="Times New Roman" w:hAnsi="Times New Roman"/>
          <w:sz w:val="24"/>
        </w:rPr>
      </w:pPr>
      <w:r>
        <w:rPr>
          <w:rFonts w:ascii="Times New Roman" w:hAnsi="Times New Roman"/>
          <w:sz w:val="24"/>
        </w:rPr>
        <w:t>Также формируются отчёт о выполняющихся измерениях, значениях смещений в графическом и текстовом виде. Трудозатраты на выполнение 44 ч/дней в год.</w:t>
      </w:r>
    </w:p>
    <w:p>
      <w:pPr>
        <w:pStyle w:val="Normal"/>
        <w:rPr>
          <w:rFonts w:ascii="Times New Roman" w:hAnsi="Times New Roman"/>
          <w:sz w:val="24"/>
        </w:rPr>
      </w:pPr>
      <w:r>
        <w:rPr>
          <w:rFonts w:ascii="Times New Roman" w:hAnsi="Times New Roman"/>
          <w:sz w:val="24"/>
        </w:rPr>
        <w:t>Выполняется анализ получаемых данных о пространственном положении гидротехнических сооружений. Трудозатраты на выполнение 44 ч/дней в год.</w:t>
      </w:r>
    </w:p>
    <w:p>
      <w:pPr>
        <w:pStyle w:val="Normal"/>
        <w:rPr>
          <w:rFonts w:ascii="Times New Roman" w:hAnsi="Times New Roman"/>
          <w:sz w:val="24"/>
        </w:rPr>
      </w:pPr>
      <w:r>
        <w:rPr>
          <w:rFonts w:ascii="Times New Roman" w:hAnsi="Times New Roman"/>
          <w:sz w:val="24"/>
        </w:rPr>
        <w:t>Контроль полученных результатов другими методами. Трудозатраты на выполнение 44 ч/дней в год.</w:t>
      </w:r>
    </w:p>
    <w:p>
      <w:pPr>
        <w:pStyle w:val="Heading2"/>
        <w:numPr>
          <w:ilvl w:val="0"/>
        </w:numPr>
        <w:ind w:left="0" w:right="0" w:hanging="0"/>
        <w:rPr>
          <w:rFonts w:ascii="Times New Roman" w:hAnsi="Times New Roman"/>
        </w:rPr>
      </w:pPr>
      <w:bookmarkStart w:id="243" w:name="__RefHeading___Toc40012_2889022187"/>
      <w:bookmarkEnd w:id="243"/>
      <w:r>
        <w:rPr>
          <w:rFonts w:ascii="Times New Roman" w:hAnsi="Times New Roman"/>
        </w:rPr>
        <w:t xml:space="preserve">4.9.6 </w:t>
      </w:r>
      <w:bookmarkStart w:id="244" w:name="_Toc215650243"/>
      <w:r>
        <w:rPr>
          <w:rFonts w:ascii="Times New Roman" w:hAnsi="Times New Roman"/>
        </w:rPr>
        <w:t>Обработка и оформление результатов специального контроля за пространственным положением здания ГАЭС</w:t>
      </w:r>
      <w:bookmarkEnd w:id="244"/>
    </w:p>
    <w:p>
      <w:pPr>
        <w:pStyle w:val="Normal"/>
        <w:rPr>
          <w:rFonts w:ascii="Times New Roman" w:hAnsi="Times New Roman"/>
          <w:sz w:val="24"/>
        </w:rPr>
      </w:pPr>
      <w:r>
        <w:rPr>
          <w:rFonts w:ascii="Times New Roman" w:hAnsi="Times New Roman"/>
          <w:sz w:val="24"/>
        </w:rPr>
        <w:t>В качестве ПО обработки результатов измерений спутникового позиционирования используется ПО типа Leica GNSS Spider. Leica GNSS Spider – программный пакет для централизованного управления одиночной базовой станцией или сетью ГНСС станций. Leica GNSS Spider имеет несколько модулей и может быть расширен различными функциями. Программный модуль Leica GNSS Spider Positioning позволяет применять технологию спутникового позиционирования в реальном времени или с постобработкой данных для отслеживания движения антенн базовых станций для геодезического мониторинга различных объектов и сооружений. В качестве программного обеспечения комплексной обработки результатов измерений автоматизированной системы геодезического мониторинга ГТС используется ПО Leica GeoMoS.</w:t>
      </w:r>
    </w:p>
    <w:p>
      <w:pPr>
        <w:pStyle w:val="Normal"/>
        <w:rPr>
          <w:rFonts w:ascii="Times New Roman" w:hAnsi="Times New Roman"/>
          <w:sz w:val="24"/>
        </w:rPr>
      </w:pPr>
      <w:r>
        <w:rPr>
          <w:rFonts w:ascii="Times New Roman" w:hAnsi="Times New Roman"/>
          <w:sz w:val="24"/>
        </w:rPr>
        <w:t>В качестве ПО для контроля положения базовых ГНСС-станций используется ПО, основанное на использовании метода точного точечного позиционирования. Функциональным назначением программы является определение высокоточных координат станций ГНСС, ошибок часов приёмников сигналов ГНСС, рядов зенитной тропосферной задержки и градиентных тропосферных параметров. В качестве входных данных программа использует файлы двухчастотных фазовых и кодовых измерений систем GPS, ГЛОНАСС, Galileo, сделанные только на одной станции, а также файлы точных орбит и часов спутников ГНСС. В качестве дополнительной информации используются: файл параметров калибровок антенн, файл координат и тектонических скоростей станции, файл океанических нагрузок и файл параметров ориентации оси вращения Земли. Применяемый в программе алгоритм, называемый в англоязычной литературе PPP (Precise Point Positioning), основан на сравнении длин геометрического и фазового пути радиоволн от спутников ГНСС до наземного приёмника. Уравнивание измерений производится с помощью фильтра Калмана. Точность оценки всех выходных параметров зависит от длины сессии измерений, а также от числа использованных в обработке навигационных систем. Для суточной сессии точность определения координат составляет 1 – 3 мм. Дискретность выходных рядов зенитной тропосферной задержки и градиентных тропосферных параметров может достигать 30 с.</w:t>
      </w:r>
    </w:p>
    <w:p>
      <w:pPr>
        <w:pStyle w:val="Normal"/>
        <w:rPr>
          <w:rFonts w:ascii="Times New Roman" w:hAnsi="Times New Roman"/>
          <w:sz w:val="24"/>
        </w:rPr>
      </w:pPr>
      <w:r>
        <w:rPr>
          <w:rFonts w:ascii="Times New Roman" w:hAnsi="Times New Roman"/>
          <w:sz w:val="24"/>
        </w:rPr>
        <w:t>Leica GeoMoS – многофункциональное программное обеспечение для автоматизированных систем мониторинга, применяемое при выполнении задач деформационного мониторинга (например, дамбы, туннели, мосты, высотные здания, строительство), выявления оползней и просадок грунта (например, горные работы, камнепад, склоны вулканов, проседание почвы), автоматизированных съёмках (например, продолжительные, автоматизированные измерения). ПО Leica GeoMoS состоит из двух основных приложений (модулей): Monitor (см. рисунок 4.9.1) и Analyzer (см. рисунок 4.9.2).</w:t>
      </w:r>
    </w:p>
    <w:p>
      <w:pPr>
        <w:pStyle w:val="Normal"/>
        <w:rPr>
          <w:rFonts w:ascii="Times New Roman" w:hAnsi="Times New Roman"/>
          <w:sz w:val="24"/>
        </w:rPr>
      </w:pPr>
      <w:r>
        <w:rPr>
          <w:rFonts w:ascii="Times New Roman" w:hAnsi="Times New Roman"/>
          <w:sz w:val="24"/>
        </w:rPr>
      </w:r>
    </w:p>
    <w:p>
      <w:pPr>
        <w:pStyle w:val="Normal"/>
        <w:jc w:val="center"/>
        <w:rPr>
          <w:rFonts w:ascii="Times New Roman" w:hAnsi="Times New Roman"/>
          <w:sz w:val="24"/>
        </w:rPr>
      </w:pPr>
      <w:r>
        <w:rPr/>
        <w:drawing>
          <wp:inline distT="0" distB="0" distL="0" distR="0">
            <wp:extent cx="4587875" cy="3481705"/>
            <wp:effectExtent l="0" t="0" r="0" b="0"/>
            <wp:docPr id="55" name="Рисунок 10" descr="C:\Users\v.ilin\Desktop\Prod_GeoMoS_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10" descr="C:\Users\v.ilin\Desktop\Prod_GeoMoS_Monitor.jpg"/>
                    <pic:cNvPicPr>
                      <a:picLocks noChangeAspect="1" noChangeArrowheads="1"/>
                    </pic:cNvPicPr>
                  </pic:nvPicPr>
                  <pic:blipFill>
                    <a:blip r:embed="rId75"/>
                    <a:stretch>
                      <a:fillRect/>
                    </a:stretch>
                  </pic:blipFill>
                  <pic:spPr bwMode="auto">
                    <a:xfrm>
                      <a:off x="0" y="0"/>
                      <a:ext cx="4587875" cy="3481705"/>
                    </a:xfrm>
                    <a:prstGeom prst="rect">
                      <a:avLst/>
                    </a:prstGeom>
                  </pic:spPr>
                </pic:pic>
              </a:graphicData>
            </a:graphic>
          </wp:inline>
        </w:drawing>
      </w:r>
    </w:p>
    <w:p>
      <w:pPr>
        <w:pStyle w:val="Style176"/>
        <w:spacing w:lineRule="auto" w:line="240"/>
        <w:ind w:left="0" w:right="0" w:hanging="0"/>
        <w:jc w:val="center"/>
        <w:rPr/>
      </w:pPr>
      <w:r>
        <w:rPr/>
        <w:t>Рисунок 4.9.1 – Программное обеспечение Leica GeoMoS Monitor</w:t>
      </w:r>
    </w:p>
    <w:p>
      <w:pPr>
        <w:pStyle w:val="Normal"/>
        <w:rPr>
          <w:rFonts w:ascii="Times New Roman" w:hAnsi="Times New Roman"/>
          <w:sz w:val="24"/>
        </w:rPr>
      </w:pPr>
      <w:r>
        <w:rPr>
          <w:rFonts w:ascii="Times New Roman" w:hAnsi="Times New Roman"/>
          <w:sz w:val="24"/>
        </w:rPr>
      </w:r>
    </w:p>
    <w:p>
      <w:pPr>
        <w:pStyle w:val="Normal"/>
        <w:rPr>
          <w:rFonts w:ascii="Times New Roman" w:hAnsi="Times New Roman"/>
          <w:sz w:val="24"/>
        </w:rPr>
      </w:pPr>
      <w:r>
        <w:rPr>
          <w:rFonts w:ascii="Times New Roman" w:hAnsi="Times New Roman"/>
          <w:sz w:val="24"/>
        </w:rPr>
        <w:t>Monitor – онлайн приложение, отвечающее за контроль над датчиками, сбор данных, управление вычислениями и событиями.</w:t>
      </w:r>
    </w:p>
    <w:p>
      <w:pPr>
        <w:pStyle w:val="Normal"/>
        <w:rPr>
          <w:rFonts w:ascii="Times New Roman" w:hAnsi="Times New Roman"/>
          <w:sz w:val="24"/>
        </w:rPr>
      </w:pPr>
      <w:r>
        <w:rPr>
          <w:rFonts w:ascii="Times New Roman" w:hAnsi="Times New Roman"/>
          <w:sz w:val="24"/>
        </w:rPr>
        <w:t>Для полного понимания причин любой выявленной деформации и улучшения прогнозирования ошибок, Leica GeoMoS предоставляет возможность совместной обработки измерений наземного и спутникового геодезического позиционирования, данных полученных с геотехнических и метеорологических датчиков.</w:t>
      </w:r>
    </w:p>
    <w:p>
      <w:pPr>
        <w:pStyle w:val="Normal"/>
        <w:jc w:val="center"/>
        <w:rPr>
          <w:rFonts w:ascii="Times New Roman" w:hAnsi="Times New Roman"/>
          <w:sz w:val="24"/>
        </w:rPr>
      </w:pPr>
      <w:r>
        <w:rPr/>
        <w:drawing>
          <wp:inline distT="0" distB="0" distL="0" distR="0">
            <wp:extent cx="4739640" cy="3296920"/>
            <wp:effectExtent l="0" t="0" r="0" b="0"/>
            <wp:docPr id="56" name="Рисунок 5600" descr="C:\Users\v.ilin\Desktop\Prod_GeoMoS_Analy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00" descr="C:\Users\v.ilin\Desktop\Prod_GeoMoS_Analyzer.jpg"/>
                    <pic:cNvPicPr>
                      <a:picLocks noChangeAspect="1" noChangeArrowheads="1"/>
                    </pic:cNvPicPr>
                  </pic:nvPicPr>
                  <pic:blipFill>
                    <a:blip r:embed="rId76"/>
                    <a:stretch>
                      <a:fillRect/>
                    </a:stretch>
                  </pic:blipFill>
                  <pic:spPr bwMode="auto">
                    <a:xfrm>
                      <a:off x="0" y="0"/>
                      <a:ext cx="4739640" cy="3296920"/>
                    </a:xfrm>
                    <a:prstGeom prst="rect">
                      <a:avLst/>
                    </a:prstGeom>
                  </pic:spPr>
                </pic:pic>
              </a:graphicData>
            </a:graphic>
          </wp:inline>
        </w:drawing>
      </w:r>
    </w:p>
    <w:p>
      <w:pPr>
        <w:pStyle w:val="Style176"/>
        <w:spacing w:lineRule="auto" w:line="240"/>
        <w:jc w:val="center"/>
        <w:rPr/>
      </w:pPr>
      <w:r>
        <w:rPr/>
        <w:t>Рисунок 4.9.2 – Программное обеспечение Leica GeoMoS Analyzer</w:t>
      </w:r>
    </w:p>
    <w:p>
      <w:pPr>
        <w:pStyle w:val="Normal"/>
        <w:rPr>
          <w:rFonts w:ascii="Times New Roman" w:hAnsi="Times New Roman"/>
          <w:sz w:val="24"/>
        </w:rPr>
      </w:pPr>
      <w:r>
        <w:rPr>
          <w:rFonts w:ascii="Times New Roman" w:hAnsi="Times New Roman"/>
          <w:sz w:val="24"/>
        </w:rPr>
      </w:r>
    </w:p>
    <w:p>
      <w:pPr>
        <w:pStyle w:val="Normal"/>
        <w:rPr>
          <w:rFonts w:ascii="Times New Roman" w:hAnsi="Times New Roman"/>
          <w:sz w:val="24"/>
        </w:rPr>
      </w:pPr>
      <w:r>
        <w:rPr>
          <w:rFonts w:ascii="Times New Roman" w:hAnsi="Times New Roman"/>
          <w:sz w:val="24"/>
        </w:rPr>
        <w:t>Регистрация наблюдений с периодичностью один раз в час выполняется в памяти инструмента (роботизированного тахеометра) и на сервере, где установлено программное обеспечение автоматизированной системы мониторинга Leica GeoMoS.</w:t>
      </w:r>
    </w:p>
    <w:p>
      <w:pPr>
        <w:pStyle w:val="Normal"/>
        <w:rPr>
          <w:rFonts w:ascii="Times New Roman" w:hAnsi="Times New Roman"/>
          <w:sz w:val="24"/>
        </w:rPr>
      </w:pPr>
      <w:r>
        <w:rPr>
          <w:rFonts w:ascii="Times New Roman" w:hAnsi="Times New Roman"/>
          <w:sz w:val="24"/>
        </w:rPr>
        <w:t>По результатам наблюдений за пространственным положением с помощью выбранного ПО возможно составлять отчёты о показателях состояния гидротехнических сооружений, включающие текстовую и графическую информацию о сопоставлении диагностических показателей с критериальными значениями, за требуемый период наблюдений.</w:t>
      </w:r>
    </w:p>
    <w:p>
      <w:pPr>
        <w:pStyle w:val="Normal"/>
        <w:rPr>
          <w:rFonts w:ascii="Times New Roman" w:hAnsi="Times New Roman"/>
          <w:sz w:val="24"/>
        </w:rPr>
      </w:pPr>
      <w:r>
        <w:rPr>
          <w:rFonts w:ascii="Times New Roman" w:hAnsi="Times New Roman"/>
          <w:sz w:val="24"/>
        </w:rPr>
        <w:t>Для эффективной интеграции с ИДС «БИНГ-3» на программном уровне используется ПО Sodis Building M (SBM) (см. рисунок 4.9.3). SBM осуществляет интеграцию различных измерительных систем в единый комплекс мониторинга напряженно-деформированного состояния строительных конструкций. Обеспечивает управление автоматизированной системой мониторинга технического состояния зданий и сооружений. ПО Sodis Bulding M предназначено для сбора и хранения информации, получаемой от датчиков и оборудования, обеспечивающих измерение контролируемых параметров, так и для обработки и анализа данных для определения технического состояния объекта. ПО хорошо интегрируется с другими системами для лёгкого представления пространственной информации в рабочих процессах.</w:t>
      </w:r>
    </w:p>
    <w:p>
      <w:pPr>
        <w:pStyle w:val="Normal"/>
        <w:rPr>
          <w:rFonts w:ascii="Times New Roman" w:hAnsi="Times New Roman"/>
          <w:sz w:val="24"/>
        </w:rPr>
      </w:pPr>
      <w:r>
        <w:rPr>
          <w:rFonts w:ascii="Times New Roman" w:hAnsi="Times New Roman"/>
          <w:sz w:val="24"/>
        </w:rPr>
      </w:r>
    </w:p>
    <w:p>
      <w:pPr>
        <w:pStyle w:val="Normal"/>
        <w:ind w:left="0" w:right="0" w:hanging="0"/>
        <w:jc w:val="center"/>
        <w:rPr>
          <w:rFonts w:ascii="Times New Roman" w:hAnsi="Times New Roman"/>
          <w:sz w:val="24"/>
        </w:rPr>
      </w:pPr>
      <w:r>
        <w:rPr/>
        <w:drawing>
          <wp:inline distT="0" distB="0" distL="0" distR="0">
            <wp:extent cx="5760085" cy="3119120"/>
            <wp:effectExtent l="0" t="0" r="0" b="0"/>
            <wp:docPr id="57" name="Рисунок 56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614" descr=""/>
                    <pic:cNvPicPr>
                      <a:picLocks noChangeAspect="1" noChangeArrowheads="1"/>
                    </pic:cNvPicPr>
                  </pic:nvPicPr>
                  <pic:blipFill>
                    <a:blip r:embed="rId77"/>
                    <a:stretch>
                      <a:fillRect/>
                    </a:stretch>
                  </pic:blipFill>
                  <pic:spPr bwMode="auto">
                    <a:xfrm>
                      <a:off x="0" y="0"/>
                      <a:ext cx="5760085" cy="3119120"/>
                    </a:xfrm>
                    <a:prstGeom prst="rect">
                      <a:avLst/>
                    </a:prstGeom>
                  </pic:spPr>
                </pic:pic>
              </a:graphicData>
            </a:graphic>
          </wp:inline>
        </w:drawing>
      </w:r>
    </w:p>
    <w:p>
      <w:pPr>
        <w:pStyle w:val="Style176"/>
        <w:spacing w:lineRule="auto" w:line="240"/>
        <w:ind w:left="0" w:right="0" w:hanging="0"/>
        <w:jc w:val="center"/>
        <w:rPr/>
      </w:pPr>
      <w:r>
        <w:rPr/>
        <w:t>Рисунок 4.9.3 – Информационная панель датчиков деформаций в ПО Sodis Building M</w:t>
      </w:r>
    </w:p>
    <w:p>
      <w:pPr>
        <w:pStyle w:val="Normal"/>
        <w:rPr>
          <w:rFonts w:ascii="Times New Roman" w:hAnsi="Times New Roman"/>
          <w:sz w:val="24"/>
        </w:rPr>
      </w:pPr>
      <w:r>
        <w:rPr>
          <w:rFonts w:ascii="Times New Roman" w:hAnsi="Times New Roman"/>
          <w:sz w:val="24"/>
        </w:rPr>
      </w:r>
    </w:p>
    <w:p>
      <w:pPr>
        <w:pStyle w:val="Normal"/>
        <w:rPr>
          <w:rFonts w:ascii="Times New Roman" w:hAnsi="Times New Roman"/>
          <w:sz w:val="24"/>
        </w:rPr>
      </w:pPr>
      <w:r>
        <w:rPr>
          <w:rFonts w:ascii="Times New Roman" w:hAnsi="Times New Roman"/>
          <w:sz w:val="24"/>
        </w:rPr>
        <w:t>Analyzer – приложение, отвечающее за анализ, визуализацию и пост-обработку данных.</w:t>
      </w:r>
    </w:p>
    <w:p>
      <w:pPr>
        <w:pStyle w:val="Normal"/>
        <w:rPr>
          <w:rFonts w:ascii="Times New Roman" w:hAnsi="Times New Roman"/>
          <w:sz w:val="24"/>
        </w:rPr>
      </w:pPr>
      <w:r>
        <w:rPr>
          <w:rFonts w:ascii="Times New Roman" w:hAnsi="Times New Roman"/>
          <w:sz w:val="24"/>
        </w:rPr>
        <w:t>На сервере АСГМ программное обеспечение Leica GNSS Spider автоматически обрабатывает данные с ГНСС-приёмников и передаёт результаты обработки в виде приращений координат по измеряемым линиям в программный комплекс GeoMoS и Sodis Bulding M. ПО GeoMoS обрабатывает совместно данные с ГНСС-приёмников, полученные от Spider, и данные, полученные напрямую от роботизированных тахеометров. Затем с помощью Sodis Building M осуществляется визуализация результатов с настройкой графического отображения, преобразование в удобный для интеграции с ИДС «БИНГ-3» формат, а также необходимый для диспетчера на АРМ формат и вид (числовой и графический см. рисунки 4.9.4).</w:t>
      </w:r>
    </w:p>
    <w:p>
      <w:pPr>
        <w:pStyle w:val="Normal"/>
        <w:ind w:left="0" w:right="0" w:hanging="0"/>
        <w:rPr>
          <w:rFonts w:ascii="Times New Roman" w:hAnsi="Times New Roman"/>
          <w:sz w:val="24"/>
        </w:rPr>
      </w:pPr>
      <w:r>
        <w:rPr/>
        <w:drawing>
          <wp:inline distT="0" distB="0" distL="0" distR="0">
            <wp:extent cx="5760085" cy="3706495"/>
            <wp:effectExtent l="0" t="0" r="0" b="0"/>
            <wp:docPr id="58" name="Рисунок 56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606" descr=""/>
                    <pic:cNvPicPr>
                      <a:picLocks noChangeAspect="1" noChangeArrowheads="1"/>
                    </pic:cNvPicPr>
                  </pic:nvPicPr>
                  <pic:blipFill>
                    <a:blip r:embed="rId78"/>
                    <a:stretch>
                      <a:fillRect/>
                    </a:stretch>
                  </pic:blipFill>
                  <pic:spPr bwMode="auto">
                    <a:xfrm>
                      <a:off x="0" y="0"/>
                      <a:ext cx="5760085" cy="3706495"/>
                    </a:xfrm>
                    <a:prstGeom prst="rect">
                      <a:avLst/>
                    </a:prstGeom>
                  </pic:spPr>
                </pic:pic>
              </a:graphicData>
            </a:graphic>
          </wp:inline>
        </w:drawing>
      </w:r>
    </w:p>
    <w:p>
      <w:pPr>
        <w:pStyle w:val="Style176"/>
        <w:spacing w:lineRule="auto" w:line="240"/>
        <w:jc w:val="center"/>
        <w:rPr/>
      </w:pPr>
      <w:r>
        <w:rPr/>
        <w:t>Рисунок 4.9.4 – Пример графического отображения результатов высотных перемещений</w:t>
      </w:r>
    </w:p>
    <w:p>
      <w:pPr>
        <w:pStyle w:val="Normal"/>
        <w:rPr>
          <w:rFonts w:ascii="Times New Roman" w:hAnsi="Times New Roman"/>
          <w:sz w:val="24"/>
        </w:rPr>
      </w:pPr>
      <w:r>
        <w:rPr>
          <w:rFonts w:ascii="Times New Roman" w:hAnsi="Times New Roman"/>
          <w:sz w:val="24"/>
        </w:rPr>
      </w:r>
    </w:p>
    <w:p>
      <w:pPr>
        <w:pStyle w:val="Normal"/>
        <w:rPr>
          <w:rFonts w:ascii="Times New Roman" w:hAnsi="Times New Roman"/>
          <w:sz w:val="24"/>
        </w:rPr>
      </w:pPr>
      <w:r>
        <w:rPr>
          <w:rFonts w:ascii="Times New Roman" w:hAnsi="Times New Roman"/>
          <w:sz w:val="24"/>
        </w:rPr>
        <w:t>В процессе непрерывного круглосуточного мониторинга обеспечивается своевременность информирования заинтересованных сторон о выявленных отклонениях контролируемых параметров (в том числе тенденции их изменений) от проектных значений и результатов геотехнического прогноза.</w:t>
      </w:r>
    </w:p>
    <w:p>
      <w:pPr>
        <w:pStyle w:val="Normal"/>
        <w:rPr>
          <w:rFonts w:ascii="Times New Roman" w:hAnsi="Times New Roman"/>
          <w:sz w:val="24"/>
        </w:rPr>
      </w:pPr>
      <w:r>
        <w:rPr>
          <w:rFonts w:ascii="Times New Roman" w:hAnsi="Times New Roman"/>
          <w:sz w:val="24"/>
        </w:rPr>
        <w:t>Отчётная документация о результатах геодезического мониторинга состоит из:</w:t>
      </w:r>
    </w:p>
    <w:p>
      <w:pPr>
        <w:pStyle w:val="Normal"/>
        <w:rPr>
          <w:rFonts w:ascii="Times New Roman" w:hAnsi="Times New Roman"/>
          <w:sz w:val="24"/>
        </w:rPr>
      </w:pPr>
      <w:r>
        <w:rPr>
          <w:rFonts w:ascii="Times New Roman" w:hAnsi="Times New Roman"/>
          <w:sz w:val="24"/>
        </w:rPr>
        <w:t>а) начальный отчёт, включающий методы наблюдения за изменениями контролируемых параметров, характеристики применяемого оборудования, результаты оценки точности измерений, схемы фактического расположений участков измерений контролируемых параметров, результаты фиксации их первоначального положения, состояния и др.;</w:t>
      </w:r>
    </w:p>
    <w:p>
      <w:pPr>
        <w:pStyle w:val="Normal"/>
        <w:rPr>
          <w:rFonts w:ascii="Times New Roman" w:hAnsi="Times New Roman"/>
          <w:sz w:val="24"/>
        </w:rPr>
      </w:pPr>
      <w:r>
        <w:rPr>
          <w:rFonts w:ascii="Times New Roman" w:hAnsi="Times New Roman"/>
          <w:sz w:val="24"/>
        </w:rPr>
        <w:t>б) промежуточные отчёты, включающие оперативную информацию по изменениям контролируемых параметров, анализ результатов измерений и их сопоставление с прогнозируемыми и предельными величинами, и рекомендации о необходимых дополнительных защитных, компенсационных или противоаварийных мероприятиях (при выявлении отклонений контролируемых параметров от ожидаемых величин) и др.;</w:t>
      </w:r>
    </w:p>
    <w:p>
      <w:pPr>
        <w:pStyle w:val="Normal"/>
        <w:rPr>
          <w:rFonts w:ascii="Times New Roman" w:hAnsi="Times New Roman"/>
          <w:sz w:val="24"/>
        </w:rPr>
      </w:pPr>
      <w:r>
        <w:rPr>
          <w:rFonts w:ascii="Times New Roman" w:hAnsi="Times New Roman"/>
          <w:sz w:val="24"/>
        </w:rPr>
        <w:t>в) итоговый (заключительный) отчёт, включающий окончательные результаты фиксации изменений контролируемых параметров, подтверждающие их стабилизацию, анализ результатов измерений и их сопоставление с прогнозируемыми и предельными величинами, последствия влияния на окружающую застройку, рекомендации по необходимым ремонтно-восстановительным мероприятиям и др.</w:t>
      </w:r>
    </w:p>
    <w:p>
      <w:pPr>
        <w:pStyle w:val="Normal"/>
        <w:rPr>
          <w:rFonts w:ascii="Times New Roman" w:hAnsi="Times New Roman"/>
          <w:sz w:val="24"/>
        </w:rPr>
      </w:pPr>
      <w:r>
        <w:rPr>
          <w:rFonts w:ascii="Times New Roman" w:hAnsi="Times New Roman"/>
          <w:sz w:val="24"/>
        </w:rPr>
      </w:r>
      <w:r>
        <w:br w:type="page"/>
      </w:r>
    </w:p>
    <w:p>
      <w:pPr>
        <w:pStyle w:val="Heading1"/>
        <w:numPr>
          <w:ilvl w:val="0"/>
        </w:numPr>
        <w:ind w:left="0" w:right="0" w:hanging="0"/>
        <w:rPr>
          <w:rFonts w:ascii="Times New Roman" w:hAnsi="Times New Roman"/>
        </w:rPr>
      </w:pPr>
      <w:bookmarkStart w:id="245" w:name="__RefHeading___Toc40014_2889022187"/>
      <w:bookmarkEnd w:id="245"/>
      <w:r>
        <w:rPr>
          <w:rFonts w:ascii="Times New Roman" w:hAnsi="Times New Roman"/>
        </w:rPr>
        <w:t xml:space="preserve">5 </w:t>
      </w:r>
      <w:bookmarkStart w:id="246" w:name="_Toc215650244"/>
      <w:bookmarkStart w:id="247" w:name="_Toc6561732"/>
      <w:r>
        <w:rPr>
          <w:rFonts w:ascii="Times New Roman" w:hAnsi="Times New Roman"/>
        </w:rPr>
        <w:t>Ведение электронной базы данных натурных наблюдений ИДС «БИНГ-3»</w:t>
      </w:r>
      <w:bookmarkEnd w:id="246"/>
      <w:bookmarkEnd w:id="247"/>
    </w:p>
    <w:p>
      <w:pPr>
        <w:pStyle w:val="Normal"/>
        <w:rPr>
          <w:rFonts w:ascii="Times New Roman" w:hAnsi="Times New Roman"/>
          <w:sz w:val="24"/>
        </w:rPr>
      </w:pPr>
      <w:r>
        <w:rPr>
          <w:rFonts w:ascii="Times New Roman" w:hAnsi="Times New Roman"/>
          <w:sz w:val="24"/>
        </w:rPr>
        <w:t>Данные выполненных визуальных наблюдений (записи об обнаруженных дефектах с их привязкой и параметрами, фотографии дефектов, обновлённые карты-развёртки), а также инструментальные наблюдения (ручной съём показаний с закладной КИА, с фильтрационной КИА, с КИА за осадками и деформациями), должны в минимально возможные сроки заноситься Исполнителем в электронную базу данных натурных наблюдений ИДС.</w:t>
      </w:r>
    </w:p>
    <w:p>
      <w:pPr>
        <w:pStyle w:val="Normal"/>
        <w:rPr>
          <w:highlight w:val="none"/>
          <w:shd w:fill="auto" w:val="clear"/>
        </w:rPr>
      </w:pPr>
      <w:r>
        <w:rPr>
          <w:rFonts w:ascii="Times New Roman" w:hAnsi="Times New Roman"/>
          <w:sz w:val="24"/>
          <w:shd w:fill="auto" w:val="clear"/>
        </w:rPr>
        <w:t>В состав информации вводимой в базу данных входит:</w:t>
      </w:r>
    </w:p>
    <w:p>
      <w:pPr>
        <w:pStyle w:val="Normal"/>
        <w:rPr>
          <w:highlight w:val="none"/>
          <w:shd w:fill="auto" w:val="clear"/>
        </w:rPr>
      </w:pPr>
      <w:r>
        <w:rPr>
          <w:rFonts w:ascii="Times New Roman" w:hAnsi="Times New Roman"/>
          <w:sz w:val="24"/>
          <w:shd w:fill="auto" w:val="clear"/>
        </w:rPr>
        <w:t xml:space="preserve">- формирование паспорта </w:t>
      </w:r>
      <w:r>
        <w:rPr>
          <w:rFonts w:ascii="Times New Roman" w:hAnsi="Times New Roman"/>
          <w:sz w:val="24"/>
          <w:shd w:fill="auto" w:val="clear"/>
        </w:rPr>
        <w:t xml:space="preserve">при установке новой </w:t>
      </w:r>
      <w:r>
        <w:rPr>
          <w:rFonts w:ascii="Times New Roman" w:hAnsi="Times New Roman"/>
          <w:sz w:val="24"/>
          <w:shd w:fill="auto" w:val="clear"/>
        </w:rPr>
        <w:t>контрольно-измерительной аппаратуры;</w:t>
      </w:r>
    </w:p>
    <w:p>
      <w:pPr>
        <w:pStyle w:val="Normal"/>
        <w:rPr>
          <w:highlight w:val="none"/>
          <w:shd w:fill="auto" w:val="clear"/>
        </w:rPr>
      </w:pPr>
      <w:r>
        <w:rPr>
          <w:rFonts w:ascii="Times New Roman" w:hAnsi="Times New Roman"/>
          <w:sz w:val="24"/>
          <w:shd w:fill="auto" w:val="clear"/>
        </w:rPr>
        <w:t xml:space="preserve">- </w:t>
      </w:r>
      <w:r>
        <w:rPr>
          <w:rFonts w:ascii="Times New Roman" w:hAnsi="Times New Roman"/>
          <w:sz w:val="24"/>
          <w:shd w:fill="auto" w:val="clear"/>
        </w:rPr>
        <w:t>внесение дополнительных данных в паспорт контрольно измерительной;</w:t>
      </w:r>
    </w:p>
    <w:p>
      <w:pPr>
        <w:pStyle w:val="Normal"/>
        <w:rPr>
          <w:highlight w:val="none"/>
          <w:shd w:fill="auto" w:val="clear"/>
        </w:rPr>
      </w:pPr>
      <w:r>
        <w:rPr>
          <w:rFonts w:ascii="Times New Roman" w:hAnsi="Times New Roman"/>
          <w:sz w:val="24"/>
          <w:shd w:fill="auto" w:val="clear"/>
        </w:rPr>
        <w:t xml:space="preserve">- схемы размещения контрольно-измерительной аппаратуры </w:t>
      </w:r>
      <w:r>
        <w:rPr>
          <w:rFonts w:ascii="Times New Roman" w:hAnsi="Times New Roman"/>
          <w:sz w:val="24"/>
          <w:shd w:fill="auto" w:val="clear"/>
        </w:rPr>
        <w:t>при установке новой контрольно-измерительной аппаратуры</w:t>
      </w:r>
      <w:r>
        <w:rPr>
          <w:rFonts w:ascii="Times New Roman" w:hAnsi="Times New Roman"/>
          <w:sz w:val="24"/>
          <w:shd w:fill="auto" w:val="clear"/>
        </w:rPr>
        <w:t>;</w:t>
      </w:r>
    </w:p>
    <w:p>
      <w:pPr>
        <w:pStyle w:val="Normal"/>
        <w:rPr>
          <w:rFonts w:ascii="Times New Roman" w:hAnsi="Times New Roman"/>
          <w:sz w:val="24"/>
        </w:rPr>
      </w:pPr>
      <w:r>
        <w:rPr>
          <w:rFonts w:ascii="Times New Roman" w:hAnsi="Times New Roman"/>
          <w:sz w:val="24"/>
        </w:rPr>
        <w:t>- данные наблюдений по установленной контрольно-измерительной аппаратуре;</w:t>
      </w:r>
    </w:p>
    <w:p>
      <w:pPr>
        <w:pStyle w:val="Normal"/>
        <w:rPr>
          <w:rFonts w:ascii="Times New Roman" w:hAnsi="Times New Roman"/>
          <w:sz w:val="24"/>
        </w:rPr>
      </w:pPr>
      <w:r>
        <w:rPr>
          <w:rFonts w:ascii="Times New Roman" w:hAnsi="Times New Roman"/>
          <w:sz w:val="24"/>
        </w:rPr>
        <w:t>- данные визуальных наблюдений;</w:t>
      </w:r>
    </w:p>
    <w:p>
      <w:pPr>
        <w:pStyle w:val="Normal"/>
        <w:rPr>
          <w:rFonts w:ascii="Times New Roman" w:hAnsi="Times New Roman"/>
          <w:sz w:val="24"/>
        </w:rPr>
      </w:pPr>
      <w:r>
        <w:rPr>
          <w:rFonts w:ascii="Times New Roman" w:hAnsi="Times New Roman"/>
          <w:sz w:val="24"/>
        </w:rPr>
        <w:t>- критерии безопасности гидротехнических сооружений (при наличии);</w:t>
      </w:r>
    </w:p>
    <w:p>
      <w:pPr>
        <w:pStyle w:val="Normal"/>
        <w:rPr>
          <w:rFonts w:ascii="Times New Roman" w:hAnsi="Times New Roman"/>
          <w:sz w:val="24"/>
        </w:rPr>
      </w:pPr>
      <w:r>
        <w:rPr>
          <w:rFonts w:ascii="Times New Roman" w:hAnsi="Times New Roman"/>
          <w:sz w:val="24"/>
        </w:rPr>
        <w:t>- другая информация.</w:t>
      </w:r>
    </w:p>
    <w:p>
      <w:pPr>
        <w:pStyle w:val="Normal"/>
        <w:rPr>
          <w:rFonts w:ascii="Times New Roman" w:hAnsi="Times New Roman"/>
          <w:sz w:val="24"/>
        </w:rPr>
      </w:pPr>
      <w:r>
        <w:rPr>
          <w:rFonts w:ascii="Times New Roman" w:hAnsi="Times New Roman"/>
          <w:sz w:val="24"/>
        </w:rPr>
        <w:t>Ввод показаний наблюдений осуществляется не позднее двух дней после выполнения наблюдений и/или камеральной обработки.</w:t>
      </w:r>
    </w:p>
    <w:p>
      <w:pPr>
        <w:pStyle w:val="Normal"/>
        <w:rPr>
          <w:rFonts w:ascii="Times New Roman" w:hAnsi="Times New Roman"/>
          <w:sz w:val="24"/>
        </w:rPr>
      </w:pPr>
      <w:r>
        <w:rPr>
          <w:rFonts w:ascii="Times New Roman" w:hAnsi="Times New Roman"/>
          <w:sz w:val="24"/>
        </w:rPr>
      </w:r>
    </w:p>
    <w:p>
      <w:pPr>
        <w:pStyle w:val="Normal"/>
        <w:spacing w:lineRule="auto" w:line="276" w:before="0" w:after="20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r>
      <w:r>
        <w:br w:type="page"/>
      </w:r>
    </w:p>
    <w:p>
      <w:pPr>
        <w:pStyle w:val="Heading1"/>
        <w:numPr>
          <w:ilvl w:val="0"/>
        </w:numPr>
        <w:ind w:left="0" w:right="0" w:hanging="0"/>
        <w:rPr>
          <w:rFonts w:ascii="Times New Roman" w:hAnsi="Times New Roman"/>
        </w:rPr>
      </w:pPr>
      <w:bookmarkStart w:id="248" w:name="__RefHeading___Toc40016_2889022187"/>
      <w:bookmarkEnd w:id="248"/>
      <w:r>
        <w:rPr>
          <w:rFonts w:ascii="Times New Roman" w:hAnsi="Times New Roman"/>
        </w:rPr>
        <w:t xml:space="preserve">6 </w:t>
      </w:r>
      <w:bookmarkStart w:id="249" w:name="_Toc215650245"/>
      <w:r>
        <w:rPr>
          <w:rFonts w:ascii="Times New Roman" w:hAnsi="Times New Roman"/>
        </w:rPr>
        <w:t xml:space="preserve">Осуществление технической поддержки, обеспечение технического обслуживания АСДК </w:t>
      </w:r>
      <w:bookmarkEnd w:id="249"/>
    </w:p>
    <w:p>
      <w:pPr>
        <w:pStyle w:val="Normal"/>
        <w:rPr>
          <w:rFonts w:ascii="Times New Roman" w:hAnsi="Times New Roman"/>
          <w:sz w:val="24"/>
        </w:rPr>
      </w:pPr>
      <w:r>
        <w:rPr>
          <w:rFonts w:ascii="Times New Roman" w:hAnsi="Times New Roman"/>
          <w:sz w:val="24"/>
        </w:rPr>
        <w:t>В целях выполнения оперативной оценки состояния ГТС станционного узла в период строительства, лицам ответственным за анализ и контроль состояния ГТС должен предоставляться онлайн доступ к базе данных натурных наблюдений ИДС «БИНГ-3» Загорской ГАЭС-2.</w:t>
      </w:r>
    </w:p>
    <w:p>
      <w:pPr>
        <w:pStyle w:val="Normal"/>
        <w:rPr>
          <w:rFonts w:ascii="Times New Roman" w:hAnsi="Times New Roman" w:eastAsia="Calibri" w:cs="Arial"/>
          <w:color w:val="auto"/>
          <w:kern w:val="0"/>
          <w:sz w:val="24"/>
          <w:szCs w:val="22"/>
          <w:lang w:val="ru-RU" w:eastAsia="en-US" w:bidi="ar-SA"/>
        </w:rPr>
      </w:pPr>
      <w:r>
        <w:rPr>
          <w:rFonts w:eastAsia="Calibri" w:cs="Arial" w:ascii="Times New Roman" w:hAnsi="Times New Roman"/>
          <w:color w:val="auto"/>
          <w:kern w:val="0"/>
          <w:sz w:val="24"/>
          <w:szCs w:val="22"/>
          <w:lang w:val="ru-RU" w:eastAsia="en-US" w:bidi="ar-SA"/>
        </w:rPr>
        <w:t>Онлайн доступ к базе данных ИДС «БИНГ-3» обеспечивается путём предоставления удаленного доступа к web-ресурсам ИДС «БИНГ-3».</w:t>
      </w:r>
    </w:p>
    <w:p>
      <w:pPr>
        <w:pStyle w:val="Normal"/>
        <w:rPr>
          <w:rFonts w:ascii="Times New Roman" w:hAnsi="Times New Roman" w:eastAsia="Calibri" w:cs="Arial"/>
          <w:color w:val="auto"/>
          <w:kern w:val="0"/>
          <w:sz w:val="24"/>
          <w:szCs w:val="22"/>
          <w:lang w:val="ru-RU" w:eastAsia="en-US" w:bidi="ar-SA"/>
        </w:rPr>
      </w:pPr>
      <w:r>
        <w:rPr>
          <w:rFonts w:eastAsia="Calibri" w:cs="Arial" w:ascii="Times New Roman" w:hAnsi="Times New Roman"/>
          <w:color w:val="auto"/>
          <w:kern w:val="0"/>
          <w:sz w:val="24"/>
          <w:szCs w:val="22"/>
          <w:lang w:val="ru-RU" w:eastAsia="en-US" w:bidi="ar-SA"/>
        </w:rPr>
        <w:t>Обеспечение технической поддержки и предоставление удаленного доступа к информационно-диагностической системе должны обеспечивать возможность круглосуточного доступа к ИДС «БИНГ-3» не менее десяти пользователям одновременно. При отсутствии доступа к информационно-диагностической системе «БИНГ-3», Исполнитель направляет один раз в неделю оперативную информацию о контролируемых показателях состояния, за период не менее двух последних месяцев, на электронную почту в соответствии с адресами рассылки, указанными Заказчиком.</w:t>
      </w:r>
    </w:p>
    <w:p>
      <w:pPr>
        <w:pStyle w:val="Normal"/>
        <w:rPr>
          <w:rFonts w:ascii="Times New Roman" w:hAnsi="Times New Roman" w:eastAsia="Calibri" w:cs="Arial"/>
          <w:color w:val="auto"/>
          <w:kern w:val="0"/>
          <w:sz w:val="24"/>
          <w:szCs w:val="22"/>
          <w:lang w:val="ru-RU" w:eastAsia="en-US" w:bidi="ar-SA"/>
        </w:rPr>
      </w:pPr>
      <w:r>
        <w:rPr>
          <w:rFonts w:eastAsia="Calibri" w:cs="Arial" w:ascii="Times New Roman" w:hAnsi="Times New Roman"/>
          <w:color w:val="auto"/>
          <w:kern w:val="0"/>
          <w:sz w:val="24"/>
          <w:szCs w:val="22"/>
          <w:lang w:val="ru-RU" w:eastAsia="en-US" w:bidi="ar-SA"/>
        </w:rPr>
        <w:t>Не реже чем в конце каждого отчётного года должно выполняться резервное копирование электронной базы данных ИДС «БИНГ-3» Загорской ГАЭС-2 и предоставляться в адрес Генпроектировщика и Заказчика.</w:t>
      </w:r>
    </w:p>
    <w:p>
      <w:pPr>
        <w:pStyle w:val="Normal"/>
        <w:rPr>
          <w:rFonts w:ascii="Times New Roman" w:hAnsi="Times New Roman"/>
          <w:sz w:val="24"/>
        </w:rPr>
      </w:pPr>
      <w:r>
        <w:rPr>
          <w:rFonts w:eastAsia="Calibri" w:cs="Arial" w:ascii="Times New Roman" w:hAnsi="Times New Roman"/>
          <w:color w:val="auto"/>
          <w:kern w:val="0"/>
          <w:sz w:val="24"/>
          <w:szCs w:val="22"/>
          <w:lang w:val="ru-RU" w:eastAsia="en-US" w:bidi="ar-SA"/>
        </w:rPr>
        <w:t>Состав и объём работ по обеспечению работосп</w:t>
      </w:r>
      <w:r>
        <w:rPr>
          <w:rFonts w:ascii="Times New Roman" w:hAnsi="Times New Roman"/>
          <w:sz w:val="24"/>
        </w:rPr>
        <w:t>особности автоматизированной системы диагностического контроля в строительный период приведены в Техническом задании.</w:t>
      </w:r>
    </w:p>
    <w:p>
      <w:pPr>
        <w:sectPr>
          <w:headerReference w:type="default" r:id="rId79"/>
          <w:headerReference w:type="first" r:id="rId80"/>
          <w:footerReference w:type="default" r:id="rId81"/>
          <w:footerReference w:type="first" r:id="rId82"/>
          <w:type w:val="nextPage"/>
          <w:pgSz w:w="11906" w:h="16838"/>
          <w:pgMar w:left="1701" w:right="1134" w:gutter="0" w:header="397" w:top="1250" w:footer="173" w:bottom="959"/>
          <w:pgNumType w:fmt="decimal"/>
          <w:formProt w:val="false"/>
          <w:textDirection w:val="lrTb"/>
          <w:docGrid w:type="default" w:linePitch="360" w:charSpace="4096"/>
        </w:sectPr>
        <w:pStyle w:val="Normal"/>
        <w:rPr>
          <w:rFonts w:ascii="Times New Roman" w:hAnsi="Times New Roman"/>
          <w:sz w:val="24"/>
        </w:rPr>
      </w:pPr>
      <w:r>
        <w:rPr>
          <w:rFonts w:ascii="Times New Roman" w:hAnsi="Times New Roman"/>
          <w:sz w:val="24"/>
        </w:rPr>
        <w:t>В состав оборудования системы геодезического мониторинга, для которого необходимо периодическое техническое и сервисное обслуживание, входят все геодезические средства измерений, а также метеостанции и метеодатчики. Поверочные, диагностические и ремонтные работы производятся с демонтажем и отправкой оборудования в специализированные сервисные центры. Состав оборудования и мероприятий по техническому обслуживанию приведён в таблице 6.1.</w:t>
      </w:r>
    </w:p>
    <w:p>
      <w:pPr>
        <w:pStyle w:val="Normal"/>
        <w:spacing w:lineRule="auto" w:line="240" w:before="0" w:after="120"/>
        <w:ind w:left="0" w:right="0" w:hanging="0"/>
        <w:rPr>
          <w:rFonts w:ascii="Times New Roman" w:hAnsi="Times New Roman"/>
          <w:sz w:val="24"/>
        </w:rPr>
      </w:pPr>
      <w:r>
        <w:rPr>
          <w:rFonts w:ascii="Times New Roman" w:hAnsi="Times New Roman"/>
          <w:sz w:val="24"/>
        </w:rPr>
        <w:t>Таблица 6.1 – Состав оборудования и работ по техническому обслуживанию</w:t>
      </w:r>
    </w:p>
    <w:tbl>
      <w:tblPr>
        <w:tblW w:w="5000" w:type="pct"/>
        <w:jc w:val="left"/>
        <w:tblInd w:w="0" w:type="dxa"/>
        <w:tblLayout w:type="fixed"/>
        <w:tblCellMar>
          <w:top w:w="0" w:type="dxa"/>
          <w:left w:w="108" w:type="dxa"/>
          <w:bottom w:w="0" w:type="dxa"/>
          <w:right w:w="108" w:type="dxa"/>
        </w:tblCellMar>
      </w:tblPr>
      <w:tblGrid>
        <w:gridCol w:w="2451"/>
        <w:gridCol w:w="1288"/>
        <w:gridCol w:w="1419"/>
        <w:gridCol w:w="1130"/>
        <w:gridCol w:w="1636"/>
        <w:gridCol w:w="2274"/>
        <w:gridCol w:w="1925"/>
        <w:gridCol w:w="2329"/>
      </w:tblGrid>
      <w:tr>
        <w:trPr>
          <w:trHeight w:val="700" w:hRule="atLeast"/>
        </w:trPr>
        <w:tc>
          <w:tcPr>
            <w:tcW w:w="245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Наименование КИА</w:t>
            </w:r>
          </w:p>
        </w:tc>
        <w:tc>
          <w:tcPr>
            <w:tcW w:w="128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Тип, марка</w:t>
            </w:r>
          </w:p>
        </w:tc>
        <w:tc>
          <w:tcPr>
            <w:tcW w:w="141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Количество КИА</w:t>
            </w:r>
          </w:p>
        </w:tc>
        <w:tc>
          <w:tcPr>
            <w:tcW w:w="9294" w:type="dxa"/>
            <w:gridSpan w:val="5"/>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Вид и количество работ, в год</w:t>
            </w:r>
          </w:p>
        </w:tc>
      </w:tr>
      <w:tr>
        <w:trPr>
          <w:trHeight w:val="517" w:hRule="atLeast"/>
        </w:trPr>
        <w:tc>
          <w:tcPr>
            <w:tcW w:w="245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2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4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294" w:type="dxa"/>
            <w:gridSpan w:val="5"/>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60" w:hRule="atLeast"/>
        </w:trPr>
        <w:tc>
          <w:tcPr>
            <w:tcW w:w="245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2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4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130"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Поверка</w:t>
            </w:r>
          </w:p>
        </w:tc>
        <w:tc>
          <w:tcPr>
            <w:tcW w:w="1636"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Расширенное ТО</w:t>
            </w:r>
          </w:p>
        </w:tc>
        <w:tc>
          <w:tcPr>
            <w:tcW w:w="2274"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Обновление внутреннего программного обеспечения</w:t>
            </w:r>
          </w:p>
        </w:tc>
        <w:tc>
          <w:tcPr>
            <w:tcW w:w="1925"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Ремонт</w:t>
            </w:r>
          </w:p>
        </w:tc>
        <w:tc>
          <w:tcPr>
            <w:tcW w:w="2329"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Замена оборудования на время технического обслуживания и ремонта</w:t>
            </w:r>
          </w:p>
        </w:tc>
      </w:tr>
      <w:tr>
        <w:trPr>
          <w:trHeight w:val="1040" w:hRule="atLeast"/>
        </w:trPr>
        <w:tc>
          <w:tcPr>
            <w:tcW w:w="2451" w:type="dxa"/>
            <w:tcBorders>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Автоматизированный тахеометр</w:t>
            </w:r>
          </w:p>
        </w:tc>
        <w:tc>
          <w:tcPr>
            <w:tcW w:w="1288"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Leica TM 50 I 0,5’’</w:t>
            </w:r>
          </w:p>
        </w:tc>
        <w:tc>
          <w:tcPr>
            <w:tcW w:w="1419"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4</w:t>
            </w:r>
          </w:p>
        </w:tc>
        <w:tc>
          <w:tcPr>
            <w:tcW w:w="1130"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1</w:t>
            </w:r>
          </w:p>
        </w:tc>
        <w:tc>
          <w:tcPr>
            <w:tcW w:w="1636"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1</w:t>
            </w:r>
          </w:p>
        </w:tc>
        <w:tc>
          <w:tcPr>
            <w:tcW w:w="2274"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по мере появления обновлений</w:t>
            </w:r>
          </w:p>
        </w:tc>
        <w:tc>
          <w:tcPr>
            <w:tcW w:w="1925"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по необходимости</w:t>
            </w:r>
          </w:p>
        </w:tc>
        <w:tc>
          <w:tcPr>
            <w:tcW w:w="2329"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по необходимости</w:t>
            </w:r>
          </w:p>
        </w:tc>
      </w:tr>
      <w:tr>
        <w:trPr>
          <w:trHeight w:val="700" w:hRule="atLeast"/>
        </w:trPr>
        <w:tc>
          <w:tcPr>
            <w:tcW w:w="2451" w:type="dxa"/>
            <w:tcBorders>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ГНСС-приемник</w:t>
            </w:r>
          </w:p>
        </w:tc>
        <w:tc>
          <w:tcPr>
            <w:tcW w:w="1288"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Leica GR30</w:t>
            </w:r>
          </w:p>
        </w:tc>
        <w:tc>
          <w:tcPr>
            <w:tcW w:w="1419"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9</w:t>
            </w:r>
          </w:p>
        </w:tc>
        <w:tc>
          <w:tcPr>
            <w:tcW w:w="1130"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1</w:t>
            </w:r>
          </w:p>
        </w:tc>
        <w:tc>
          <w:tcPr>
            <w:tcW w:w="1636"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 </w:t>
            </w:r>
          </w:p>
        </w:tc>
        <w:tc>
          <w:tcPr>
            <w:tcW w:w="2274"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по мере появления обновлений</w:t>
            </w:r>
          </w:p>
        </w:tc>
        <w:tc>
          <w:tcPr>
            <w:tcW w:w="1925"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по необходимости</w:t>
            </w:r>
          </w:p>
        </w:tc>
        <w:tc>
          <w:tcPr>
            <w:tcW w:w="2329"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по необходимости</w:t>
            </w:r>
          </w:p>
        </w:tc>
      </w:tr>
      <w:tr>
        <w:trPr>
          <w:trHeight w:val="700" w:hRule="atLeast"/>
        </w:trPr>
        <w:tc>
          <w:tcPr>
            <w:tcW w:w="2451" w:type="dxa"/>
            <w:tcBorders>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Метеостанция</w:t>
            </w:r>
          </w:p>
        </w:tc>
        <w:tc>
          <w:tcPr>
            <w:tcW w:w="1288"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Vaisala 534 WXT</w:t>
            </w:r>
          </w:p>
        </w:tc>
        <w:tc>
          <w:tcPr>
            <w:tcW w:w="1419"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5</w:t>
            </w:r>
          </w:p>
        </w:tc>
        <w:tc>
          <w:tcPr>
            <w:tcW w:w="1130"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1</w:t>
            </w:r>
          </w:p>
        </w:tc>
        <w:tc>
          <w:tcPr>
            <w:tcW w:w="1636"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 </w:t>
            </w:r>
          </w:p>
        </w:tc>
        <w:tc>
          <w:tcPr>
            <w:tcW w:w="2274"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 </w:t>
            </w:r>
          </w:p>
        </w:tc>
        <w:tc>
          <w:tcPr>
            <w:tcW w:w="1925"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2329"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r>
          </w:p>
        </w:tc>
      </w:tr>
      <w:tr>
        <w:trPr>
          <w:trHeight w:val="1020" w:hRule="atLeast"/>
        </w:trPr>
        <w:tc>
          <w:tcPr>
            <w:tcW w:w="2451" w:type="dxa"/>
            <w:tcBorders>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Датчик атмосферного давления и температуры</w:t>
            </w:r>
          </w:p>
        </w:tc>
        <w:tc>
          <w:tcPr>
            <w:tcW w:w="1288"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Leica PAA-33X</w:t>
            </w:r>
          </w:p>
        </w:tc>
        <w:tc>
          <w:tcPr>
            <w:tcW w:w="1419"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5</w:t>
            </w:r>
          </w:p>
        </w:tc>
        <w:tc>
          <w:tcPr>
            <w:tcW w:w="1130"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1</w:t>
            </w:r>
          </w:p>
        </w:tc>
        <w:tc>
          <w:tcPr>
            <w:tcW w:w="1636"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 </w:t>
            </w:r>
          </w:p>
        </w:tc>
        <w:tc>
          <w:tcPr>
            <w:tcW w:w="2274"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 </w:t>
            </w:r>
          </w:p>
        </w:tc>
        <w:tc>
          <w:tcPr>
            <w:tcW w:w="1925"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по необходимости</w:t>
            </w:r>
          </w:p>
        </w:tc>
        <w:tc>
          <w:tcPr>
            <w:tcW w:w="2329"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по необходимости</w:t>
            </w:r>
          </w:p>
        </w:tc>
      </w:tr>
    </w:tbl>
    <w:p>
      <w:pPr>
        <w:sectPr>
          <w:headerReference w:type="default" r:id="rId83"/>
          <w:headerReference w:type="first" r:id="rId84"/>
          <w:footerReference w:type="default" r:id="rId85"/>
          <w:footerReference w:type="first" r:id="rId86"/>
          <w:type w:val="nextPage"/>
          <w:pgSz w:orient="landscape" w:w="16838" w:h="11906"/>
          <w:pgMar w:left="1134" w:right="1250" w:gutter="0" w:header="142" w:top="1701" w:footer="1" w:bottom="851"/>
          <w:pgNumType w:fmt="decimal"/>
          <w:formProt w:val="false"/>
          <w:textDirection w:val="lrTb"/>
          <w:docGrid w:type="default" w:linePitch="360" w:charSpace="4096"/>
        </w:sectPr>
      </w:pPr>
    </w:p>
    <w:p>
      <w:pPr>
        <w:pStyle w:val="Normal"/>
        <w:rPr>
          <w:rFonts w:ascii="Times New Roman" w:hAnsi="Times New Roman"/>
          <w:sz w:val="24"/>
        </w:rPr>
      </w:pPr>
      <w:r>
        <w:rPr>
          <w:rFonts w:ascii="Times New Roman" w:hAnsi="Times New Roman"/>
          <w:sz w:val="24"/>
        </w:rPr>
        <w:t>Стоимость технического обслуживания оборудования определяется по ТКП поставщика.</w:t>
      </w:r>
    </w:p>
    <w:p>
      <w:pPr>
        <w:pStyle w:val="Normal"/>
        <w:rPr>
          <w:rFonts w:ascii="Times New Roman" w:hAnsi="Times New Roman"/>
          <w:sz w:val="24"/>
        </w:rPr>
      </w:pPr>
      <w:r>
        <w:rPr>
          <w:rFonts w:ascii="Times New Roman" w:hAnsi="Times New Roman"/>
          <w:sz w:val="24"/>
        </w:rPr>
        <w:t>В состав программного обеспечения системы геодезического мониторинга, для которого необходимо периодическое техническое и сервисное обслуживание входит программное обеспечения опроса, обработки, анализа и визуализации. Состав оборудования и мероприятий по техническому обслуживанию приведен в таблице 7.2.</w:t>
      </w:r>
    </w:p>
    <w:p>
      <w:pPr>
        <w:pStyle w:val="Normal"/>
        <w:rPr>
          <w:rFonts w:ascii="Times New Roman" w:hAnsi="Times New Roman"/>
          <w:sz w:val="24"/>
        </w:rPr>
      </w:pPr>
      <w:r>
        <w:rPr>
          <w:rFonts w:ascii="Times New Roman" w:hAnsi="Times New Roman"/>
          <w:sz w:val="24"/>
        </w:rPr>
      </w:r>
    </w:p>
    <w:p>
      <w:pPr>
        <w:pStyle w:val="Normal"/>
        <w:spacing w:lineRule="auto" w:line="240" w:before="0" w:after="120"/>
        <w:ind w:left="0" w:right="0" w:hanging="0"/>
        <w:rPr>
          <w:rFonts w:ascii="Times New Roman" w:hAnsi="Times New Roman"/>
          <w:sz w:val="24"/>
        </w:rPr>
      </w:pPr>
      <w:r>
        <w:rPr>
          <w:rFonts w:ascii="Times New Roman" w:hAnsi="Times New Roman"/>
          <w:sz w:val="24"/>
        </w:rPr>
        <w:t>Таблица 6.2 – Состав программного обеспечения и периодичность обновления</w:t>
      </w:r>
    </w:p>
    <w:tbl>
      <w:tblPr>
        <w:tblW w:w="5000" w:type="pct"/>
        <w:jc w:val="center"/>
        <w:tblInd w:w="0" w:type="dxa"/>
        <w:tblLayout w:type="fixed"/>
        <w:tblCellMar>
          <w:top w:w="0" w:type="dxa"/>
          <w:left w:w="108" w:type="dxa"/>
          <w:bottom w:w="0" w:type="dxa"/>
          <w:right w:w="108" w:type="dxa"/>
        </w:tblCellMar>
      </w:tblPr>
      <w:tblGrid>
        <w:gridCol w:w="3201"/>
        <w:gridCol w:w="2312"/>
        <w:gridCol w:w="3558"/>
      </w:tblGrid>
      <w:tr>
        <w:trPr>
          <w:trHeight w:val="779" w:hRule="atLeast"/>
        </w:trPr>
        <w:tc>
          <w:tcPr>
            <w:tcW w:w="32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Наименование ПО</w:t>
            </w:r>
          </w:p>
        </w:tc>
        <w:tc>
          <w:tcPr>
            <w:tcW w:w="23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Количество ПО</w:t>
            </w:r>
          </w:p>
        </w:tc>
        <w:tc>
          <w:tcPr>
            <w:tcW w:w="3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Обновление ПО, в год</w:t>
            </w:r>
          </w:p>
        </w:tc>
      </w:tr>
      <w:tr>
        <w:trPr>
          <w:trHeight w:val="526" w:hRule="atLeast"/>
        </w:trPr>
        <w:tc>
          <w:tcPr>
            <w:tcW w:w="32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Leica GeoMoS Monitor</w:t>
            </w:r>
          </w:p>
        </w:tc>
        <w:tc>
          <w:tcPr>
            <w:tcW w:w="23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1</w:t>
            </w:r>
          </w:p>
        </w:tc>
        <w:tc>
          <w:tcPr>
            <w:tcW w:w="3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по мере появления обновлений</w:t>
            </w:r>
          </w:p>
        </w:tc>
      </w:tr>
      <w:tr>
        <w:trPr>
          <w:trHeight w:val="525" w:hRule="atLeast"/>
        </w:trPr>
        <w:tc>
          <w:tcPr>
            <w:tcW w:w="32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Leica GeoMoS Monitor Option 1</w:t>
            </w:r>
          </w:p>
        </w:tc>
        <w:tc>
          <w:tcPr>
            <w:tcW w:w="23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1</w:t>
            </w:r>
          </w:p>
        </w:tc>
        <w:tc>
          <w:tcPr>
            <w:tcW w:w="3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по мере появления обновлений</w:t>
            </w:r>
          </w:p>
        </w:tc>
      </w:tr>
      <w:tr>
        <w:trPr>
          <w:trHeight w:val="525" w:hRule="atLeast"/>
        </w:trPr>
        <w:tc>
          <w:tcPr>
            <w:tcW w:w="32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Leica GeoMoS Monitor Option 2</w:t>
            </w:r>
          </w:p>
        </w:tc>
        <w:tc>
          <w:tcPr>
            <w:tcW w:w="23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1</w:t>
            </w:r>
          </w:p>
        </w:tc>
        <w:tc>
          <w:tcPr>
            <w:tcW w:w="3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по мере появления обновлений</w:t>
            </w:r>
          </w:p>
        </w:tc>
      </w:tr>
      <w:tr>
        <w:trPr>
          <w:trHeight w:val="525" w:hRule="atLeast"/>
        </w:trPr>
        <w:tc>
          <w:tcPr>
            <w:tcW w:w="32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Leica GeoMoS Monitor Option 5</w:t>
            </w:r>
          </w:p>
        </w:tc>
        <w:tc>
          <w:tcPr>
            <w:tcW w:w="23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1</w:t>
            </w:r>
          </w:p>
        </w:tc>
        <w:tc>
          <w:tcPr>
            <w:tcW w:w="3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по мере появления обновлений</w:t>
            </w:r>
          </w:p>
        </w:tc>
      </w:tr>
      <w:tr>
        <w:trPr>
          <w:trHeight w:val="525" w:hRule="atLeast"/>
        </w:trPr>
        <w:tc>
          <w:tcPr>
            <w:tcW w:w="32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Leica GeoMoS Analyzer</w:t>
            </w:r>
          </w:p>
        </w:tc>
        <w:tc>
          <w:tcPr>
            <w:tcW w:w="23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1</w:t>
            </w:r>
          </w:p>
        </w:tc>
        <w:tc>
          <w:tcPr>
            <w:tcW w:w="3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по мере появления обновлений</w:t>
            </w:r>
          </w:p>
        </w:tc>
      </w:tr>
      <w:tr>
        <w:trPr>
          <w:trHeight w:val="525" w:hRule="atLeast"/>
        </w:trPr>
        <w:tc>
          <w:tcPr>
            <w:tcW w:w="32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Leica GeoMoS Analyzer Option 1</w:t>
            </w:r>
          </w:p>
        </w:tc>
        <w:tc>
          <w:tcPr>
            <w:tcW w:w="23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1</w:t>
            </w:r>
          </w:p>
        </w:tc>
        <w:tc>
          <w:tcPr>
            <w:tcW w:w="3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по мере появления обновлений</w:t>
            </w:r>
          </w:p>
        </w:tc>
      </w:tr>
      <w:tr>
        <w:trPr>
          <w:trHeight w:val="560" w:hRule="atLeast"/>
        </w:trPr>
        <w:tc>
          <w:tcPr>
            <w:tcW w:w="32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lang w:val="en-US"/>
              </w:rPr>
            </w:pPr>
            <w:r>
              <w:rPr>
                <w:rFonts w:eastAsia="Calibri" w:cs="Times New Roman" w:ascii="Times New Roman" w:hAnsi="Times New Roman"/>
                <w:sz w:val="24"/>
                <w:szCs w:val="24"/>
                <w:lang w:val="en-US"/>
              </w:rPr>
              <w:t>LEICA GNSS Spider Basic License</w:t>
            </w:r>
          </w:p>
        </w:tc>
        <w:tc>
          <w:tcPr>
            <w:tcW w:w="23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1</w:t>
            </w:r>
          </w:p>
        </w:tc>
        <w:tc>
          <w:tcPr>
            <w:tcW w:w="3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по мере появления обновлений</w:t>
            </w:r>
          </w:p>
        </w:tc>
      </w:tr>
      <w:tr>
        <w:trPr>
          <w:trHeight w:val="560" w:hRule="atLeast"/>
        </w:trPr>
        <w:tc>
          <w:tcPr>
            <w:tcW w:w="32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lang w:val="en-US"/>
              </w:rPr>
            </w:pPr>
            <w:r>
              <w:rPr>
                <w:rFonts w:eastAsia="Calibri" w:cs="Times New Roman" w:ascii="Times New Roman" w:hAnsi="Times New Roman"/>
                <w:sz w:val="24"/>
                <w:szCs w:val="24"/>
                <w:lang w:val="en-US"/>
              </w:rPr>
              <w:t>Leica GNSS Spider Basic Site Server</w:t>
            </w:r>
          </w:p>
        </w:tc>
        <w:tc>
          <w:tcPr>
            <w:tcW w:w="23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1</w:t>
            </w:r>
          </w:p>
        </w:tc>
        <w:tc>
          <w:tcPr>
            <w:tcW w:w="3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по мере появления обновлений</w:t>
            </w:r>
          </w:p>
        </w:tc>
      </w:tr>
    </w:tbl>
    <w:p>
      <w:pPr>
        <w:pStyle w:val="Normal"/>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rPr>
          <w:rFonts w:ascii="Times New Roman" w:hAnsi="Times New Roman" w:eastAsia="Calibri" w:cs="Times New Roman"/>
          <w:sz w:val="24"/>
          <w:szCs w:val="24"/>
        </w:rPr>
      </w:pPr>
      <w:r>
        <w:rPr>
          <w:rFonts w:eastAsia="Calibri" w:cs="Times New Roman" w:ascii="Times New Roman" w:hAnsi="Times New Roman"/>
          <w:sz w:val="24"/>
          <w:szCs w:val="24"/>
        </w:rPr>
        <w:t>Стоимость обновления программного обеспечения определяется по ТКП поставщика.</w:t>
      </w:r>
    </w:p>
    <w:p>
      <w:pPr>
        <w:pStyle w:val="Normal"/>
        <w:rPr>
          <w:rFonts w:ascii="Times New Roman" w:hAnsi="Times New Roman" w:eastAsia="Calibri" w:cs="Times New Roman"/>
          <w:sz w:val="24"/>
          <w:szCs w:val="24"/>
        </w:rPr>
      </w:pPr>
      <w:r>
        <w:rPr>
          <w:rFonts w:eastAsia="Calibri" w:cs="Times New Roman" w:ascii="Times New Roman" w:hAnsi="Times New Roman"/>
          <w:sz w:val="24"/>
          <w:szCs w:val="24"/>
        </w:rPr>
        <w:t>Ежеквартально отдельно от отчёта о геодезических наблюдениях будет производится выпуск отчётной документации о работе системы за квартал, в который будет входить информация о стабильности работы системы геодезического мониторинга, состоянии оборудования, сбоях, проведенном техническом и сервисном обслуживании, ремонтах. Трудозатраты на выпуск данного отчёта за один год будут составлять 36 ч/день.</w:t>
      </w:r>
    </w:p>
    <w:p>
      <w:pPr>
        <w:pStyle w:val="Normal"/>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rPr>
          <w:rFonts w:ascii="Times New Roman" w:hAnsi="Times New Roman" w:eastAsia="Calibri" w:cs="Times New Roman"/>
          <w:sz w:val="24"/>
          <w:szCs w:val="24"/>
        </w:rPr>
      </w:pPr>
      <w:r>
        <w:rPr>
          <w:rFonts w:eastAsia="Calibri" w:cs="Times New Roman" w:ascii="Times New Roman" w:hAnsi="Times New Roman"/>
          <w:sz w:val="24"/>
          <w:szCs w:val="24"/>
        </w:rPr>
      </w:r>
      <w:r>
        <w:br w:type="page"/>
      </w:r>
    </w:p>
    <w:p>
      <w:pPr>
        <w:pStyle w:val="Heading1"/>
        <w:numPr>
          <w:ilvl w:val="0"/>
        </w:numPr>
        <w:ind w:left="0" w:right="0" w:hanging="0"/>
        <w:rPr>
          <w:rFonts w:ascii="Times New Roman" w:hAnsi="Times New Roman"/>
        </w:rPr>
      </w:pPr>
      <w:bookmarkStart w:id="250" w:name="__RefHeading___Toc40018_2889022187"/>
      <w:bookmarkEnd w:id="250"/>
      <w:r>
        <w:rPr>
          <w:rFonts w:ascii="Times New Roman" w:hAnsi="Times New Roman"/>
        </w:rPr>
        <w:t xml:space="preserve">7 </w:t>
      </w:r>
      <w:bookmarkStart w:id="251" w:name="_Toc215650246"/>
      <w:r>
        <w:rPr>
          <w:rFonts w:ascii="Times New Roman" w:hAnsi="Times New Roman"/>
        </w:rPr>
        <w:t>Оценка состояния ГТС</w:t>
      </w:r>
      <w:bookmarkEnd w:id="251"/>
    </w:p>
    <w:p>
      <w:pPr>
        <w:pStyle w:val="Normal"/>
        <w:rPr>
          <w:rFonts w:ascii="Times New Roman" w:hAnsi="Times New Roman"/>
          <w:sz w:val="24"/>
        </w:rPr>
      </w:pPr>
      <w:r>
        <w:rPr>
          <w:rFonts w:ascii="Times New Roman" w:hAnsi="Times New Roman"/>
          <w:sz w:val="24"/>
        </w:rPr>
        <w:t>Оценка состояния контролируемых ГТС включает оперативное решение вопросов, связанных с выявленными в процессе проведения наблюдений негативными явлениями, дефектами, отклонениями от проектных значений, превышений критериальных значений, включая подготовку и предоставление Заказчику заключения с анализом сложившейся ситуации, предложениями и рекомендациями.</w:t>
      </w:r>
    </w:p>
    <w:p>
      <w:pPr>
        <w:pStyle w:val="Normal"/>
        <w:rPr>
          <w:rFonts w:ascii="Times New Roman" w:hAnsi="Times New Roman"/>
          <w:sz w:val="24"/>
        </w:rPr>
      </w:pPr>
      <w:r>
        <w:rPr>
          <w:rFonts w:ascii="Times New Roman" w:hAnsi="Times New Roman"/>
          <w:sz w:val="24"/>
        </w:rPr>
        <w:t>Проведение оперативной оценки (экспресс-анализ) показателей состояния ГТС выполняется путём сопоставления значений наблюдаемых диагностических показателей с их критериальными значениями (или проектными расчётными значениями).</w:t>
      </w:r>
    </w:p>
    <w:p>
      <w:pPr>
        <w:pStyle w:val="Normal"/>
        <w:rPr>
          <w:rFonts w:ascii="Times New Roman" w:hAnsi="Times New Roman"/>
          <w:sz w:val="24"/>
        </w:rPr>
      </w:pPr>
      <w:r>
        <w:rPr>
          <w:rFonts w:ascii="Times New Roman" w:hAnsi="Times New Roman"/>
          <w:sz w:val="24"/>
        </w:rPr>
        <w:t>В случае выявления превышения качественных критериальных значений Исполнитель оповещает Заказчика в соответствии с «Порядком оповещения о превышении критериальных значений на сооружениях Загорской ГАЭС-2» (см. приложение Г).</w:t>
      </w:r>
    </w:p>
    <w:p>
      <w:pPr>
        <w:pStyle w:val="Normal"/>
        <w:rPr>
          <w:rFonts w:ascii="Times New Roman" w:hAnsi="Times New Roman"/>
          <w:sz w:val="24"/>
        </w:rPr>
      </w:pPr>
      <w:r>
        <w:rPr>
          <w:rFonts w:ascii="Times New Roman" w:hAnsi="Times New Roman"/>
          <w:sz w:val="24"/>
        </w:rPr>
        <w:t>Проведение комплексной оценки состояния контролируемых гидротехнических сооружений, предусматривающей комплексный анализ состояния контролируемых гидротехнических сооружений по результатам выполненных в прошедшем квартале циклах наблюдений, производится путём оценки соответствия диагностических показателей критериям безопасности, характера (тенденции) их изменения во времени, адекватности реакции сооружения на изменение нагрузок и воздействий.</w:t>
      </w:r>
    </w:p>
    <w:p>
      <w:pPr>
        <w:pStyle w:val="Normal"/>
        <w:rPr>
          <w:rFonts w:ascii="Times New Roman" w:hAnsi="Times New Roman"/>
          <w:sz w:val="24"/>
        </w:rPr>
      </w:pPr>
      <w:r>
        <w:rPr>
          <w:rFonts w:ascii="Times New Roman" w:hAnsi="Times New Roman"/>
          <w:sz w:val="24"/>
        </w:rPr>
        <w:t>По результатам оценки состояния контролируемых гидротехнических сооружений составляется ежеквартальный технический отчёт, включающий:</w:t>
      </w:r>
    </w:p>
    <w:p>
      <w:pPr>
        <w:pStyle w:val="Normal"/>
        <w:rPr>
          <w:rFonts w:ascii="Times New Roman" w:hAnsi="Times New Roman"/>
          <w:sz w:val="24"/>
        </w:rPr>
      </w:pPr>
      <w:r>
        <w:rPr>
          <w:rFonts w:ascii="Times New Roman" w:hAnsi="Times New Roman"/>
          <w:sz w:val="24"/>
        </w:rPr>
        <w:t>- информацию о выполняемых работах на Загорской ГАЭС-2;</w:t>
      </w:r>
    </w:p>
    <w:p>
      <w:pPr>
        <w:pStyle w:val="Normal"/>
        <w:rPr>
          <w:rFonts w:ascii="Times New Roman" w:hAnsi="Times New Roman"/>
          <w:sz w:val="24"/>
        </w:rPr>
      </w:pPr>
      <w:r>
        <w:rPr>
          <w:rFonts w:ascii="Times New Roman" w:hAnsi="Times New Roman"/>
          <w:sz w:val="24"/>
        </w:rPr>
        <w:t>- анализ и оценку состояния контрольно-измерительной аппаратуры;</w:t>
      </w:r>
    </w:p>
    <w:p>
      <w:pPr>
        <w:pStyle w:val="Normal"/>
        <w:rPr>
          <w:rFonts w:ascii="Times New Roman" w:hAnsi="Times New Roman"/>
          <w:sz w:val="24"/>
        </w:rPr>
      </w:pPr>
      <w:r>
        <w:rPr>
          <w:rFonts w:ascii="Times New Roman" w:hAnsi="Times New Roman"/>
          <w:sz w:val="24"/>
        </w:rPr>
        <w:t>- анализ и оценку показателей состояния контролируемых гидротехнических сооружений, выявленных неблагоприятных процессов, явлений и тенденций в работе;</w:t>
      </w:r>
    </w:p>
    <w:p>
      <w:pPr>
        <w:pStyle w:val="Normal"/>
        <w:rPr>
          <w:rFonts w:ascii="Times New Roman" w:hAnsi="Times New Roman"/>
          <w:sz w:val="24"/>
        </w:rPr>
      </w:pPr>
      <w:r>
        <w:rPr>
          <w:rFonts w:ascii="Times New Roman" w:hAnsi="Times New Roman"/>
          <w:sz w:val="24"/>
        </w:rPr>
        <w:t>- оценка технического состояния гидротехнических сооружений и их соответствия требованиям норм, проектным положениям и критериям безопасности;</w:t>
      </w:r>
    </w:p>
    <w:p>
      <w:pPr>
        <w:sectPr>
          <w:headerReference w:type="default" r:id="rId87"/>
          <w:headerReference w:type="first" r:id="rId88"/>
          <w:footerReference w:type="default" r:id="rId89"/>
          <w:footerReference w:type="first" r:id="rId90"/>
          <w:type w:val="nextPage"/>
          <w:pgSz w:w="11906" w:h="16838"/>
          <w:pgMar w:left="1701" w:right="1134" w:gutter="0" w:header="397" w:top="1250" w:footer="171" w:bottom="1021"/>
          <w:pgNumType w:fmt="decimal"/>
          <w:formProt w:val="false"/>
          <w:textDirection w:val="lrTb"/>
          <w:docGrid w:type="default" w:linePitch="360" w:charSpace="4096"/>
        </w:sectPr>
        <w:pStyle w:val="Normal"/>
        <w:rPr>
          <w:rFonts w:ascii="Times New Roman" w:hAnsi="Times New Roman"/>
          <w:sz w:val="24"/>
        </w:rPr>
      </w:pPr>
      <w:r>
        <w:rPr>
          <w:rFonts w:ascii="Times New Roman" w:hAnsi="Times New Roman"/>
          <w:sz w:val="24"/>
        </w:rPr>
        <w:t>- рекомендации по обеспечению надёжности и безопасности контролируемых гидротехнических сооружений.</w:t>
      </w:r>
    </w:p>
    <w:p>
      <w:pPr>
        <w:pStyle w:val="Heading1"/>
        <w:numPr>
          <w:ilvl w:val="0"/>
        </w:numPr>
        <w:ind w:left="0" w:right="0" w:hanging="0"/>
        <w:rPr>
          <w:rFonts w:ascii="Times New Roman" w:hAnsi="Times New Roman" w:cs="Times New Roman"/>
          <w:color w:val="auto"/>
          <w:sz w:val="28"/>
          <w:szCs w:val="24"/>
        </w:rPr>
      </w:pPr>
      <w:bookmarkStart w:id="252" w:name="__RefHeading___Toc40022_2889022187"/>
      <w:bookmarkStart w:id="253" w:name="_Toc209776134"/>
      <w:bookmarkStart w:id="254" w:name="_Toc215650248"/>
      <w:bookmarkEnd w:id="252"/>
      <w:r>
        <w:rPr>
          <w:rFonts w:cs="Times New Roman" w:ascii="Times New Roman" w:hAnsi="Times New Roman"/>
          <w:color w:val="auto"/>
          <w:szCs w:val="32"/>
        </w:rPr>
        <w:t>Приложение А.</w:t>
      </w:r>
      <w:r>
        <w:rPr>
          <w:rFonts w:cs="Times New Roman" w:ascii="Times New Roman" w:hAnsi="Times New Roman"/>
          <w:color w:val="auto"/>
          <w:sz w:val="28"/>
          <w:szCs w:val="24"/>
        </w:rPr>
        <w:br/>
      </w:r>
      <w:r>
        <w:rPr>
          <w:rFonts w:eastAsia="Calibri" w:cs="Arial" w:ascii="Times New Roman" w:hAnsi="Times New Roman"/>
          <w:b w:val="false"/>
          <w:bCs w:val="false"/>
          <w:color w:val="auto"/>
          <w:sz w:val="24"/>
          <w:szCs w:val="22"/>
        </w:rPr>
        <w:t>Таблица А.1</w:t>
      </w:r>
      <w:r>
        <w:rPr>
          <w:rFonts w:eastAsia="Calibri" w:cs="Arial" w:ascii="Times New Roman" w:hAnsi="Times New Roman"/>
          <w:sz w:val="24"/>
          <w:szCs w:val="22"/>
        </w:rPr>
        <w:t xml:space="preserve"> – </w:t>
      </w:r>
      <w:r>
        <w:rPr>
          <w:rFonts w:eastAsia="Calibri" w:cs="Arial" w:ascii="Times New Roman" w:hAnsi="Times New Roman"/>
          <w:b w:val="false"/>
          <w:bCs w:val="false"/>
          <w:color w:val="auto"/>
          <w:sz w:val="24"/>
          <w:szCs w:val="22"/>
        </w:rPr>
        <w:t>Контрольно-измерительная аппаратура для наблюдений за показателями состояния контролируемых гидротехнических сооружений</w:t>
      </w:r>
      <w:bookmarkEnd w:id="253"/>
      <w:bookmarkEnd w:id="254"/>
    </w:p>
    <w:tbl>
      <w:tblPr>
        <w:tblW w:w="5000" w:type="pct"/>
        <w:jc w:val="right"/>
        <w:tblInd w:w="0" w:type="dxa"/>
        <w:tblLayout w:type="fixed"/>
        <w:tblCellMar>
          <w:top w:w="0" w:type="dxa"/>
          <w:left w:w="28" w:type="dxa"/>
          <w:bottom w:w="0" w:type="dxa"/>
          <w:right w:w="28" w:type="dxa"/>
        </w:tblCellMar>
      </w:tblPr>
      <w:tblGrid>
        <w:gridCol w:w="2542"/>
        <w:gridCol w:w="3897"/>
        <w:gridCol w:w="1592"/>
        <w:gridCol w:w="1150"/>
        <w:gridCol w:w="1409"/>
        <w:gridCol w:w="1698"/>
        <w:gridCol w:w="1486"/>
        <w:gridCol w:w="1803"/>
        <w:gridCol w:w="1316"/>
        <w:gridCol w:w="1698"/>
        <w:gridCol w:w="1310"/>
        <w:gridCol w:w="1641"/>
      </w:tblGrid>
      <w:tr>
        <w:trPr>
          <w:trHeight w:val="646" w:hRule="atLeast"/>
        </w:trPr>
        <w:tc>
          <w:tcPr>
            <w:tcW w:w="254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Наименование работ</w:t>
            </w:r>
          </w:p>
        </w:tc>
        <w:tc>
          <w:tcPr>
            <w:tcW w:w="548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Наименование КИА</w:t>
            </w:r>
          </w:p>
        </w:tc>
        <w:tc>
          <w:tcPr>
            <w:tcW w:w="115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Здание ГАЭС</w:t>
              <w:noBreakHyphen/>
              <w:t>2</w:t>
            </w:r>
          </w:p>
        </w:tc>
        <w:tc>
          <w:tcPr>
            <w:tcW w:w="1409"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Монтажная площадка</w:t>
            </w:r>
          </w:p>
        </w:tc>
        <w:tc>
          <w:tcPr>
            <w:tcW w:w="1698"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Служебно</w:t>
              <w:noBreakHyphen/>
              <w:br/>
              <w:t>производ-ственный комплекс</w:t>
            </w:r>
          </w:p>
        </w:tc>
        <w:tc>
          <w:tcPr>
            <w:tcW w:w="1486"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Подпорные стены ПС</w:t>
            </w:r>
          </w:p>
        </w:tc>
        <w:tc>
          <w:tcPr>
            <w:tcW w:w="1803"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Верховые подпорные стены ПВ и ЛВ</w:t>
            </w:r>
          </w:p>
        </w:tc>
        <w:tc>
          <w:tcPr>
            <w:tcW w:w="1316"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Мостовой переход КС</w:t>
              <w:noBreakHyphen/>
              <w:t>19</w:t>
            </w:r>
          </w:p>
        </w:tc>
        <w:tc>
          <w:tcPr>
            <w:tcW w:w="1698"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Прилегающая территория станционного узла</w:t>
            </w:r>
          </w:p>
        </w:tc>
        <w:tc>
          <w:tcPr>
            <w:tcW w:w="1310"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Площадка КРУЭ</w:t>
            </w:r>
          </w:p>
        </w:tc>
        <w:tc>
          <w:tcPr>
            <w:tcW w:w="1641"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Перемычка реверсивного канала</w:t>
            </w:r>
          </w:p>
        </w:tc>
      </w:tr>
      <w:tr>
        <w:trPr>
          <w:trHeight w:val="823" w:hRule="atLeast"/>
        </w:trPr>
        <w:tc>
          <w:tcPr>
            <w:tcW w:w="2542" w:type="dxa"/>
            <w:vMerge w:val="continue"/>
            <w:tcBorders>
              <w:left w:val="single" w:sz="4" w:space="0" w:color="000000"/>
              <w:bottom w:val="single" w:sz="4" w:space="0" w:color="000000"/>
              <w:right w:val="single" w:sz="4" w:space="0" w:color="000000"/>
            </w:tcBorders>
            <w:vAlign w:val="center"/>
          </w:tcPr>
          <w:p>
            <w:pPr>
              <w:pStyle w:val="Normal"/>
              <w:widowControl w:val="false"/>
              <w:rPr/>
            </w:pPr>
            <w:r>
              <w:rPr/>
            </w:r>
          </w:p>
        </w:tc>
        <w:tc>
          <w:tcPr>
            <w:tcW w:w="3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Полное</w:t>
            </w:r>
          </w:p>
        </w:tc>
        <w:tc>
          <w:tcPr>
            <w:tcW w:w="15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Сокращённое</w:t>
            </w:r>
          </w:p>
        </w:tc>
        <w:tc>
          <w:tcPr>
            <w:tcW w:w="1150" w:type="dxa"/>
            <w:vMerge w:val="continue"/>
            <w:tcBorders>
              <w:left w:val="single" w:sz="4" w:space="0" w:color="000000"/>
              <w:bottom w:val="single" w:sz="4" w:space="0" w:color="000000"/>
              <w:right w:val="single" w:sz="4" w:space="0" w:color="000000"/>
            </w:tcBorders>
          </w:tcPr>
          <w:p>
            <w:pPr>
              <w:pStyle w:val="Normal"/>
              <w:widowControl w:val="false"/>
              <w:rPr/>
            </w:pPr>
            <w:r>
              <w:rPr/>
            </w:r>
          </w:p>
        </w:tc>
        <w:tc>
          <w:tcPr>
            <w:tcW w:w="1409" w:type="dxa"/>
            <w:vMerge w:val="continue"/>
            <w:tcBorders>
              <w:left w:val="single" w:sz="4" w:space="0" w:color="000000"/>
              <w:bottom w:val="single" w:sz="4" w:space="0" w:color="000000"/>
              <w:right w:val="single" w:sz="4" w:space="0" w:color="000000"/>
            </w:tcBorders>
            <w:tcMar>
              <w:left w:w="108" w:type="dxa"/>
              <w:right w:w="108" w:type="dxa"/>
            </w:tcMar>
          </w:tcPr>
          <w:p>
            <w:pPr>
              <w:pStyle w:val="Normal"/>
              <w:widowControl w:val="false"/>
              <w:rPr/>
            </w:pPr>
            <w:r>
              <w:rPr/>
            </w:r>
          </w:p>
        </w:tc>
        <w:tc>
          <w:tcPr>
            <w:tcW w:w="1698" w:type="dxa"/>
            <w:vMerge w:val="continue"/>
            <w:tcBorders>
              <w:left w:val="single" w:sz="4" w:space="0" w:color="000000"/>
              <w:bottom w:val="single" w:sz="4" w:space="0" w:color="000000"/>
              <w:right w:val="single" w:sz="4" w:space="0" w:color="000000"/>
            </w:tcBorders>
            <w:tcMar>
              <w:left w:w="108" w:type="dxa"/>
              <w:right w:w="108" w:type="dxa"/>
            </w:tcMar>
          </w:tcPr>
          <w:p>
            <w:pPr>
              <w:pStyle w:val="Normal"/>
              <w:widowControl w:val="false"/>
              <w:rPr/>
            </w:pPr>
            <w:r>
              <w:rPr/>
            </w:r>
          </w:p>
        </w:tc>
        <w:tc>
          <w:tcPr>
            <w:tcW w:w="1486" w:type="dxa"/>
            <w:vMerge w:val="continue"/>
            <w:tcBorders>
              <w:left w:val="single" w:sz="4" w:space="0" w:color="000000"/>
              <w:bottom w:val="single" w:sz="4" w:space="0" w:color="000000"/>
              <w:right w:val="single" w:sz="4" w:space="0" w:color="000000"/>
            </w:tcBorders>
            <w:tcMar>
              <w:left w:w="108" w:type="dxa"/>
              <w:right w:w="108" w:type="dxa"/>
            </w:tcMar>
          </w:tcPr>
          <w:p>
            <w:pPr>
              <w:pStyle w:val="Normal"/>
              <w:widowControl w:val="false"/>
              <w:rPr/>
            </w:pPr>
            <w:r>
              <w:rPr/>
            </w:r>
          </w:p>
        </w:tc>
        <w:tc>
          <w:tcPr>
            <w:tcW w:w="1803" w:type="dxa"/>
            <w:vMerge w:val="continue"/>
            <w:tcBorders>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1316" w:type="dxa"/>
            <w:vMerge w:val="continue"/>
            <w:tcBorders>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1698" w:type="dxa"/>
            <w:vMerge w:val="continue"/>
            <w:tcBorders>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1310" w:type="dxa"/>
            <w:vMerge w:val="continue"/>
            <w:tcBorders>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c>
          <w:tcPr>
            <w:tcW w:w="1641" w:type="dxa"/>
            <w:vMerge w:val="continue"/>
            <w:tcBorders>
              <w:left w:val="single" w:sz="4" w:space="0" w:color="000000"/>
              <w:bottom w:val="single" w:sz="4" w:space="0" w:color="000000"/>
              <w:right w:val="single" w:sz="4" w:space="0" w:color="000000"/>
            </w:tcBorders>
            <w:tcMar>
              <w:left w:w="108" w:type="dxa"/>
              <w:right w:w="108" w:type="dxa"/>
            </w:tcMar>
            <w:vAlign w:val="center"/>
          </w:tcPr>
          <w:p>
            <w:pPr>
              <w:pStyle w:val="Normal"/>
              <w:widowControl w:val="false"/>
              <w:rPr/>
            </w:pPr>
            <w:r>
              <w:rPr/>
            </w:r>
          </w:p>
        </w:tc>
      </w:tr>
      <w:tr>
        <w:trPr>
          <w:trHeight w:val="112" w:hRule="atLeast"/>
        </w:trPr>
        <w:tc>
          <w:tcPr>
            <w:tcW w:w="2542" w:type="dxa"/>
            <w:vMerge w:val="restart"/>
            <w:tcBorders>
              <w:top w:val="single" w:sz="4" w:space="0" w:color="000000"/>
              <w:left w:val="single" w:sz="4" w:space="0" w:color="000000"/>
              <w:right w:val="single" w:sz="4" w:space="0" w:color="000000"/>
            </w:tcBorders>
            <w:vAlign w:val="center"/>
          </w:tcPr>
          <w:p>
            <w:pPr>
              <w:pStyle w:val="Normal"/>
              <w:widowControl w:val="false"/>
              <w:numPr>
                <w:ilvl w:val="0"/>
                <w:numId w:val="9"/>
              </w:numPr>
              <w:spacing w:lineRule="auto" w:line="240"/>
              <w:ind w:left="0" w:right="-17" w:hanging="0"/>
              <w:jc w:val="left"/>
              <w:rPr>
                <w:rFonts w:ascii="Times New Roman" w:hAnsi="Times New Roman" w:cs="Times New Roman"/>
                <w:sz w:val="24"/>
                <w:szCs w:val="24"/>
              </w:rPr>
            </w:pPr>
            <w:r>
              <w:rPr>
                <w:rFonts w:cs="Times New Roman" w:ascii="Times New Roman" w:hAnsi="Times New Roman"/>
                <w:sz w:val="24"/>
                <w:szCs w:val="24"/>
              </w:rPr>
              <w:t>Проведение наблюдений по дистанционной КИА</w:t>
            </w:r>
          </w:p>
        </w:tc>
        <w:tc>
          <w:tcPr>
            <w:tcW w:w="3897" w:type="dxa"/>
            <w:tcBorders>
              <w:top w:val="single" w:sz="4" w:space="0" w:color="000000"/>
              <w:left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Преобразователь давления струнный</w:t>
            </w:r>
          </w:p>
        </w:tc>
        <w:tc>
          <w:tcPr>
            <w:tcW w:w="1592" w:type="dxa"/>
            <w:tcBorders>
              <w:top w:val="single" w:sz="4" w:space="0" w:color="000000"/>
              <w:left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ПДС</w:t>
            </w:r>
          </w:p>
        </w:tc>
        <w:tc>
          <w:tcPr>
            <w:tcW w:w="1150" w:type="dxa"/>
            <w:tcBorders>
              <w:top w:val="single" w:sz="4" w:space="0" w:color="000000"/>
              <w:left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13</w:t>
            </w:r>
          </w:p>
        </w:tc>
        <w:tc>
          <w:tcPr>
            <w:tcW w:w="1409" w:type="dxa"/>
            <w:tcBorders>
              <w:top w:val="single" w:sz="4" w:space="0" w:color="000000"/>
              <w:left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98" w:type="dxa"/>
            <w:tcBorders>
              <w:top w:val="single" w:sz="4" w:space="0" w:color="000000"/>
              <w:left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8</w:t>
            </w:r>
          </w:p>
        </w:tc>
        <w:tc>
          <w:tcPr>
            <w:tcW w:w="1486" w:type="dxa"/>
            <w:tcBorders>
              <w:top w:val="single" w:sz="4" w:space="0" w:color="000000"/>
              <w:left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803" w:type="dxa"/>
            <w:tcBorders>
              <w:top w:val="single" w:sz="4" w:space="0" w:color="000000"/>
              <w:left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12</w:t>
            </w:r>
          </w:p>
        </w:tc>
        <w:tc>
          <w:tcPr>
            <w:tcW w:w="1316" w:type="dxa"/>
            <w:tcBorders>
              <w:top w:val="single" w:sz="4" w:space="0" w:color="000000"/>
              <w:left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98" w:type="dxa"/>
            <w:tcBorders>
              <w:top w:val="single" w:sz="4" w:space="0" w:color="000000"/>
              <w:left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310" w:type="dxa"/>
            <w:tcBorders>
              <w:top w:val="single" w:sz="4" w:space="0" w:color="000000"/>
              <w:left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41" w:type="dxa"/>
            <w:tcBorders>
              <w:top w:val="single" w:sz="4" w:space="0" w:color="000000"/>
              <w:left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8</w:t>
            </w:r>
          </w:p>
        </w:tc>
      </w:tr>
      <w:tr>
        <w:trPr>
          <w:trHeight w:val="300" w:hRule="atLeast"/>
        </w:trPr>
        <w:tc>
          <w:tcPr>
            <w:tcW w:w="2542" w:type="dxa"/>
            <w:vMerge w:val="continue"/>
            <w:tcBorders>
              <w:top w:val="single" w:sz="4" w:space="0" w:color="000000"/>
              <w:left w:val="single" w:sz="4" w:space="0" w:color="000000"/>
              <w:right w:val="single" w:sz="4" w:space="0" w:color="000000"/>
            </w:tcBorders>
          </w:tcPr>
          <w:p>
            <w:pPr>
              <w:pStyle w:val="Normal"/>
              <w:widowControl w:val="false"/>
              <w:rPr/>
            </w:pPr>
            <w:r>
              <w:rPr/>
            </w:r>
          </w:p>
        </w:tc>
        <w:tc>
          <w:tcPr>
            <w:tcW w:w="3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Преобразователь температуры струнный</w:t>
            </w:r>
          </w:p>
        </w:tc>
        <w:tc>
          <w:tcPr>
            <w:tcW w:w="15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ПТС</w:t>
            </w:r>
          </w:p>
        </w:tc>
        <w:tc>
          <w:tcPr>
            <w:tcW w:w="11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70</w:t>
            </w:r>
          </w:p>
        </w:tc>
        <w:tc>
          <w:tcPr>
            <w:tcW w:w="14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6</w:t>
            </w:r>
          </w:p>
        </w:tc>
        <w:tc>
          <w:tcPr>
            <w:tcW w:w="169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11</w:t>
            </w:r>
          </w:p>
        </w:tc>
        <w:tc>
          <w:tcPr>
            <w:tcW w:w="148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3</w:t>
            </w:r>
          </w:p>
        </w:tc>
        <w:tc>
          <w:tcPr>
            <w:tcW w:w="180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15</w:t>
            </w:r>
          </w:p>
        </w:tc>
        <w:tc>
          <w:tcPr>
            <w:tcW w:w="131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9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31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41"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r>
      <w:tr>
        <w:trPr>
          <w:trHeight w:val="234" w:hRule="atLeast"/>
        </w:trPr>
        <w:tc>
          <w:tcPr>
            <w:tcW w:w="2542" w:type="dxa"/>
            <w:vMerge w:val="continue"/>
            <w:tcBorders>
              <w:top w:val="single" w:sz="4" w:space="0" w:color="000000"/>
              <w:left w:val="single" w:sz="4" w:space="0" w:color="000000"/>
              <w:right w:val="single" w:sz="4" w:space="0" w:color="000000"/>
            </w:tcBorders>
          </w:tcPr>
          <w:p>
            <w:pPr>
              <w:pStyle w:val="Normal"/>
              <w:widowControl w:val="false"/>
              <w:rPr/>
            </w:pPr>
            <w:r>
              <w:rPr/>
            </w:r>
          </w:p>
        </w:tc>
        <w:tc>
          <w:tcPr>
            <w:tcW w:w="3897" w:type="dxa"/>
            <w:tcBorders>
              <w:top w:val="single" w:sz="4" w:space="0" w:color="000000"/>
              <w:left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Преобразователь линейных перемещений струнный</w:t>
            </w:r>
          </w:p>
        </w:tc>
        <w:tc>
          <w:tcPr>
            <w:tcW w:w="1592" w:type="dxa"/>
            <w:tcBorders>
              <w:top w:val="single" w:sz="4" w:space="0" w:color="000000"/>
              <w:left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ПЛПС</w:t>
            </w:r>
          </w:p>
        </w:tc>
        <w:tc>
          <w:tcPr>
            <w:tcW w:w="1150" w:type="dxa"/>
            <w:tcBorders>
              <w:top w:val="single" w:sz="4" w:space="0" w:color="000000"/>
              <w:left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58</w:t>
            </w:r>
          </w:p>
        </w:tc>
        <w:tc>
          <w:tcPr>
            <w:tcW w:w="1409" w:type="dxa"/>
            <w:tcBorders>
              <w:top w:val="single" w:sz="4" w:space="0" w:color="000000"/>
              <w:left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98" w:type="dxa"/>
            <w:tcBorders>
              <w:top w:val="single" w:sz="4" w:space="0" w:color="000000"/>
              <w:left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2</w:t>
            </w:r>
          </w:p>
        </w:tc>
        <w:tc>
          <w:tcPr>
            <w:tcW w:w="1486" w:type="dxa"/>
            <w:tcBorders>
              <w:top w:val="single" w:sz="4" w:space="0" w:color="000000"/>
              <w:left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803" w:type="dxa"/>
            <w:tcBorders>
              <w:top w:val="single" w:sz="4" w:space="0" w:color="000000"/>
              <w:left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6</w:t>
            </w:r>
          </w:p>
        </w:tc>
        <w:tc>
          <w:tcPr>
            <w:tcW w:w="1316" w:type="dxa"/>
            <w:tcBorders>
              <w:top w:val="single" w:sz="4" w:space="0" w:color="000000"/>
              <w:left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98" w:type="dxa"/>
            <w:tcBorders>
              <w:top w:val="single" w:sz="4" w:space="0" w:color="000000"/>
              <w:left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310" w:type="dxa"/>
            <w:tcBorders>
              <w:top w:val="single" w:sz="4" w:space="0" w:color="000000"/>
              <w:left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41" w:type="dxa"/>
            <w:tcBorders>
              <w:top w:val="single" w:sz="4" w:space="0" w:color="000000"/>
              <w:left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r>
      <w:tr>
        <w:trPr>
          <w:trHeight w:val="124" w:hRule="atLeast"/>
        </w:trPr>
        <w:tc>
          <w:tcPr>
            <w:tcW w:w="2542" w:type="dxa"/>
            <w:vMerge w:val="continue"/>
            <w:tcBorders>
              <w:top w:val="single" w:sz="4" w:space="0" w:color="000000"/>
              <w:left w:val="single" w:sz="4" w:space="0" w:color="000000"/>
              <w:right w:val="single" w:sz="4" w:space="0" w:color="000000"/>
            </w:tcBorders>
          </w:tcPr>
          <w:p>
            <w:pPr>
              <w:pStyle w:val="Normal"/>
              <w:widowControl w:val="false"/>
              <w:rPr/>
            </w:pPr>
            <w:r>
              <w:rPr/>
            </w:r>
          </w:p>
        </w:tc>
        <w:tc>
          <w:tcPr>
            <w:tcW w:w="3897" w:type="dxa"/>
            <w:tcBorders>
              <w:top w:val="single" w:sz="4" w:space="0" w:color="000000"/>
              <w:left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Преобразователь силы арматурный струнный</w:t>
            </w:r>
          </w:p>
        </w:tc>
        <w:tc>
          <w:tcPr>
            <w:tcW w:w="1592" w:type="dxa"/>
            <w:tcBorders>
              <w:top w:val="single" w:sz="4" w:space="0" w:color="000000"/>
              <w:left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ПСАС</w:t>
            </w:r>
          </w:p>
        </w:tc>
        <w:tc>
          <w:tcPr>
            <w:tcW w:w="1150" w:type="dxa"/>
            <w:tcBorders>
              <w:top w:val="single" w:sz="4" w:space="0" w:color="000000"/>
              <w:left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287</w:t>
            </w:r>
          </w:p>
        </w:tc>
        <w:tc>
          <w:tcPr>
            <w:tcW w:w="1409" w:type="dxa"/>
            <w:tcBorders>
              <w:top w:val="single" w:sz="4" w:space="0" w:color="000000"/>
              <w:left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12</w:t>
            </w:r>
          </w:p>
        </w:tc>
        <w:tc>
          <w:tcPr>
            <w:tcW w:w="1698" w:type="dxa"/>
            <w:tcBorders>
              <w:top w:val="single" w:sz="4" w:space="0" w:color="000000"/>
              <w:left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14</w:t>
            </w:r>
          </w:p>
        </w:tc>
        <w:tc>
          <w:tcPr>
            <w:tcW w:w="1486" w:type="dxa"/>
            <w:tcBorders>
              <w:top w:val="single" w:sz="4" w:space="0" w:color="000000"/>
              <w:left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6</w:t>
            </w:r>
          </w:p>
        </w:tc>
        <w:tc>
          <w:tcPr>
            <w:tcW w:w="1803" w:type="dxa"/>
            <w:tcBorders>
              <w:top w:val="single" w:sz="4" w:space="0" w:color="000000"/>
              <w:left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24</w:t>
            </w:r>
          </w:p>
        </w:tc>
        <w:tc>
          <w:tcPr>
            <w:tcW w:w="1316" w:type="dxa"/>
            <w:tcBorders>
              <w:top w:val="single" w:sz="4" w:space="0" w:color="000000"/>
              <w:left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98" w:type="dxa"/>
            <w:tcBorders>
              <w:top w:val="single" w:sz="4" w:space="0" w:color="000000"/>
              <w:left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310" w:type="dxa"/>
            <w:tcBorders>
              <w:top w:val="single" w:sz="4" w:space="0" w:color="000000"/>
              <w:left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41" w:type="dxa"/>
            <w:tcBorders>
              <w:top w:val="single" w:sz="4" w:space="0" w:color="000000"/>
              <w:left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r>
      <w:tr>
        <w:trPr>
          <w:trHeight w:val="70" w:hRule="atLeast"/>
        </w:trPr>
        <w:tc>
          <w:tcPr>
            <w:tcW w:w="2542" w:type="dxa"/>
            <w:vMerge w:val="continue"/>
            <w:tcBorders>
              <w:top w:val="single" w:sz="4" w:space="0" w:color="000000"/>
              <w:left w:val="single" w:sz="4" w:space="0" w:color="000000"/>
              <w:right w:val="single" w:sz="4" w:space="0" w:color="000000"/>
            </w:tcBorders>
          </w:tcPr>
          <w:p>
            <w:pPr>
              <w:pStyle w:val="Normal"/>
              <w:widowControl w:val="false"/>
              <w:rPr/>
            </w:pPr>
            <w:r>
              <w:rPr/>
            </w:r>
          </w:p>
        </w:tc>
        <w:tc>
          <w:tcPr>
            <w:tcW w:w="3897" w:type="dxa"/>
            <w:tcBorders>
              <w:top w:val="single" w:sz="4" w:space="0" w:color="000000"/>
              <w:left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Преобразователь линейных деформаций струнный</w:t>
            </w:r>
          </w:p>
        </w:tc>
        <w:tc>
          <w:tcPr>
            <w:tcW w:w="1592" w:type="dxa"/>
            <w:tcBorders>
              <w:top w:val="single" w:sz="4" w:space="0" w:color="000000"/>
              <w:left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ПЛДС</w:t>
            </w:r>
          </w:p>
        </w:tc>
        <w:tc>
          <w:tcPr>
            <w:tcW w:w="1150" w:type="dxa"/>
            <w:tcBorders>
              <w:top w:val="single" w:sz="4" w:space="0" w:color="000000"/>
              <w:left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114</w:t>
            </w:r>
          </w:p>
        </w:tc>
        <w:tc>
          <w:tcPr>
            <w:tcW w:w="1409" w:type="dxa"/>
            <w:tcBorders>
              <w:top w:val="single" w:sz="4" w:space="0" w:color="000000"/>
              <w:left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98" w:type="dxa"/>
            <w:tcBorders>
              <w:top w:val="single" w:sz="4" w:space="0" w:color="000000"/>
              <w:left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486" w:type="dxa"/>
            <w:tcBorders>
              <w:top w:val="single" w:sz="4" w:space="0" w:color="000000"/>
              <w:left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803" w:type="dxa"/>
            <w:tcBorders>
              <w:top w:val="single" w:sz="4" w:space="0" w:color="000000"/>
              <w:left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316" w:type="dxa"/>
            <w:tcBorders>
              <w:top w:val="single" w:sz="4" w:space="0" w:color="000000"/>
              <w:left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98" w:type="dxa"/>
            <w:tcBorders>
              <w:top w:val="single" w:sz="4" w:space="0" w:color="000000"/>
              <w:left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310" w:type="dxa"/>
            <w:tcBorders>
              <w:top w:val="single" w:sz="4" w:space="0" w:color="000000"/>
              <w:left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41" w:type="dxa"/>
            <w:tcBorders>
              <w:top w:val="single" w:sz="4" w:space="0" w:color="000000"/>
              <w:left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r>
      <w:tr>
        <w:trPr>
          <w:trHeight w:val="300" w:hRule="atLeast"/>
        </w:trPr>
        <w:tc>
          <w:tcPr>
            <w:tcW w:w="2542" w:type="dxa"/>
            <w:vMerge w:val="restart"/>
            <w:tcBorders>
              <w:top w:val="single" w:sz="4" w:space="0" w:color="000000"/>
              <w:left w:val="single" w:sz="4" w:space="0" w:color="000000"/>
              <w:right w:val="single" w:sz="4" w:space="0" w:color="000000"/>
            </w:tcBorders>
            <w:vAlign w:val="center"/>
          </w:tcPr>
          <w:p>
            <w:pPr>
              <w:pStyle w:val="Normal"/>
              <w:widowControl w:val="false"/>
              <w:numPr>
                <w:ilvl w:val="0"/>
                <w:numId w:val="9"/>
              </w:numPr>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Проведение наблюдений за фильтрационным режимом</w:t>
            </w:r>
          </w:p>
        </w:tc>
        <w:tc>
          <w:tcPr>
            <w:tcW w:w="3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Пьезометр опускной</w:t>
            </w:r>
          </w:p>
        </w:tc>
        <w:tc>
          <w:tcPr>
            <w:tcW w:w="15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ПО</w:t>
            </w:r>
          </w:p>
        </w:tc>
        <w:tc>
          <w:tcPr>
            <w:tcW w:w="11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4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9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48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80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31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9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9</w:t>
            </w:r>
          </w:p>
        </w:tc>
        <w:tc>
          <w:tcPr>
            <w:tcW w:w="131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4</w:t>
            </w:r>
          </w:p>
        </w:tc>
        <w:tc>
          <w:tcPr>
            <w:tcW w:w="1641"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20</w:t>
            </w:r>
          </w:p>
        </w:tc>
      </w:tr>
      <w:tr>
        <w:trPr>
          <w:trHeight w:val="277" w:hRule="atLeast"/>
        </w:trPr>
        <w:tc>
          <w:tcPr>
            <w:tcW w:w="2542" w:type="dxa"/>
            <w:vMerge w:val="continue"/>
            <w:tcBorders>
              <w:left w:val="single" w:sz="4" w:space="0" w:color="000000"/>
              <w:right w:val="single" w:sz="4" w:space="0" w:color="000000"/>
            </w:tcBorders>
          </w:tcPr>
          <w:p>
            <w:pPr>
              <w:pStyle w:val="Normal"/>
              <w:widowControl w:val="false"/>
              <w:rPr/>
            </w:pPr>
            <w:r>
              <w:rPr/>
            </w:r>
          </w:p>
        </w:tc>
        <w:tc>
          <w:tcPr>
            <w:tcW w:w="3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Пьезометр закладной напорный</w:t>
            </w:r>
          </w:p>
        </w:tc>
        <w:tc>
          <w:tcPr>
            <w:tcW w:w="15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ПЗН</w:t>
            </w:r>
          </w:p>
        </w:tc>
        <w:tc>
          <w:tcPr>
            <w:tcW w:w="11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12</w:t>
            </w:r>
          </w:p>
        </w:tc>
        <w:tc>
          <w:tcPr>
            <w:tcW w:w="14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9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6</w:t>
            </w:r>
          </w:p>
        </w:tc>
        <w:tc>
          <w:tcPr>
            <w:tcW w:w="148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80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31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9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31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41"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r>
      <w:tr>
        <w:trPr>
          <w:trHeight w:val="277" w:hRule="atLeast"/>
        </w:trPr>
        <w:tc>
          <w:tcPr>
            <w:tcW w:w="2542" w:type="dxa"/>
            <w:vMerge w:val="continue"/>
            <w:tcBorders>
              <w:left w:val="single" w:sz="4" w:space="0" w:color="000000"/>
              <w:right w:val="single" w:sz="4" w:space="0" w:color="000000"/>
            </w:tcBorders>
          </w:tcPr>
          <w:p>
            <w:pPr>
              <w:pStyle w:val="Normal"/>
              <w:widowControl w:val="false"/>
              <w:rPr/>
            </w:pPr>
            <w:r>
              <w:rPr/>
            </w:r>
          </w:p>
        </w:tc>
        <w:tc>
          <w:tcPr>
            <w:tcW w:w="3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Пьезометр закладной боковой напорный</w:t>
            </w:r>
          </w:p>
        </w:tc>
        <w:tc>
          <w:tcPr>
            <w:tcW w:w="15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ПЗБН</w:t>
            </w:r>
          </w:p>
        </w:tc>
        <w:tc>
          <w:tcPr>
            <w:tcW w:w="11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4</w:t>
            </w:r>
          </w:p>
        </w:tc>
        <w:tc>
          <w:tcPr>
            <w:tcW w:w="14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9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48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80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31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9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31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41"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r>
      <w:tr>
        <w:trPr>
          <w:trHeight w:val="70" w:hRule="atLeast"/>
        </w:trPr>
        <w:tc>
          <w:tcPr>
            <w:tcW w:w="2542" w:type="dxa"/>
            <w:vMerge w:val="restart"/>
            <w:tcBorders>
              <w:top w:val="single" w:sz="4" w:space="0" w:color="000000"/>
              <w:left w:val="single" w:sz="4" w:space="0" w:color="000000"/>
              <w:right w:val="single" w:sz="4" w:space="0" w:color="000000"/>
            </w:tcBorders>
            <w:vAlign w:val="center"/>
          </w:tcPr>
          <w:p>
            <w:pPr>
              <w:pStyle w:val="Normal"/>
              <w:widowControl w:val="false"/>
              <w:numPr>
                <w:ilvl w:val="0"/>
                <w:numId w:val="9"/>
              </w:numPr>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Проведение нивелирования (короткие ходы)</w:t>
            </w:r>
          </w:p>
        </w:tc>
        <w:tc>
          <w:tcPr>
            <w:tcW w:w="3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Марка бетонная стеновая</w:t>
            </w:r>
          </w:p>
        </w:tc>
        <w:tc>
          <w:tcPr>
            <w:tcW w:w="15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МБС</w:t>
            </w:r>
          </w:p>
        </w:tc>
        <w:tc>
          <w:tcPr>
            <w:tcW w:w="11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4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9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7</w:t>
            </w:r>
          </w:p>
        </w:tc>
        <w:tc>
          <w:tcPr>
            <w:tcW w:w="148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80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31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9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31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41"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r>
      <w:tr>
        <w:trPr>
          <w:trHeight w:val="300" w:hRule="atLeast"/>
        </w:trPr>
        <w:tc>
          <w:tcPr>
            <w:tcW w:w="2542" w:type="dxa"/>
            <w:vMerge w:val="continue"/>
            <w:tcBorders>
              <w:left w:val="single" w:sz="4" w:space="0" w:color="000000"/>
              <w:right w:val="single" w:sz="4" w:space="0" w:color="000000"/>
            </w:tcBorders>
          </w:tcPr>
          <w:p>
            <w:pPr>
              <w:pStyle w:val="Normal"/>
              <w:widowControl w:val="false"/>
              <w:rPr/>
            </w:pPr>
            <w:r>
              <w:rPr/>
            </w:r>
          </w:p>
        </w:tc>
        <w:tc>
          <w:tcPr>
            <w:tcW w:w="3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Марка поверхностная бетонная</w:t>
            </w:r>
          </w:p>
        </w:tc>
        <w:tc>
          <w:tcPr>
            <w:tcW w:w="15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МПБ</w:t>
            </w:r>
          </w:p>
        </w:tc>
        <w:tc>
          <w:tcPr>
            <w:tcW w:w="11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30</w:t>
            </w:r>
          </w:p>
        </w:tc>
        <w:tc>
          <w:tcPr>
            <w:tcW w:w="14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4</w:t>
            </w:r>
          </w:p>
        </w:tc>
        <w:tc>
          <w:tcPr>
            <w:tcW w:w="169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48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16</w:t>
            </w:r>
          </w:p>
        </w:tc>
        <w:tc>
          <w:tcPr>
            <w:tcW w:w="180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22</w:t>
            </w:r>
          </w:p>
        </w:tc>
        <w:tc>
          <w:tcPr>
            <w:tcW w:w="131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9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31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41"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r>
      <w:tr>
        <w:trPr>
          <w:trHeight w:val="300" w:hRule="atLeast"/>
        </w:trPr>
        <w:tc>
          <w:tcPr>
            <w:tcW w:w="2542" w:type="dxa"/>
            <w:vMerge w:val="continue"/>
            <w:tcBorders>
              <w:left w:val="single" w:sz="4" w:space="0" w:color="000000"/>
              <w:right w:val="single" w:sz="4" w:space="0" w:color="000000"/>
            </w:tcBorders>
          </w:tcPr>
          <w:p>
            <w:pPr>
              <w:pStyle w:val="Normal"/>
              <w:widowControl w:val="false"/>
              <w:rPr/>
            </w:pPr>
            <w:r>
              <w:rPr/>
            </w:r>
          </w:p>
        </w:tc>
        <w:tc>
          <w:tcPr>
            <w:tcW w:w="3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Труба-марка</w:t>
            </w:r>
          </w:p>
        </w:tc>
        <w:tc>
          <w:tcPr>
            <w:tcW w:w="15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ТМ</w:t>
            </w:r>
          </w:p>
        </w:tc>
        <w:tc>
          <w:tcPr>
            <w:tcW w:w="11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9</w:t>
            </w:r>
          </w:p>
        </w:tc>
        <w:tc>
          <w:tcPr>
            <w:tcW w:w="14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9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6</w:t>
            </w:r>
          </w:p>
        </w:tc>
        <w:tc>
          <w:tcPr>
            <w:tcW w:w="148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80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31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9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31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41"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r>
      <w:tr>
        <w:trPr>
          <w:trHeight w:val="300" w:hRule="atLeast"/>
        </w:trPr>
        <w:tc>
          <w:tcPr>
            <w:tcW w:w="2542" w:type="dxa"/>
            <w:vMerge w:val="continue"/>
            <w:tcBorders>
              <w:left w:val="single" w:sz="4" w:space="0" w:color="000000"/>
              <w:right w:val="single" w:sz="4" w:space="0" w:color="000000"/>
            </w:tcBorders>
          </w:tcPr>
          <w:p>
            <w:pPr>
              <w:pStyle w:val="Normal"/>
              <w:widowControl w:val="false"/>
              <w:rPr/>
            </w:pPr>
            <w:r>
              <w:rPr/>
            </w:r>
          </w:p>
        </w:tc>
        <w:tc>
          <w:tcPr>
            <w:tcW w:w="3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Марка поверхностная грунтовая</w:t>
            </w:r>
          </w:p>
        </w:tc>
        <w:tc>
          <w:tcPr>
            <w:tcW w:w="15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МПГ</w:t>
            </w:r>
          </w:p>
        </w:tc>
        <w:tc>
          <w:tcPr>
            <w:tcW w:w="11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4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9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48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80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31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9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31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41"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7</w:t>
            </w:r>
          </w:p>
        </w:tc>
      </w:tr>
      <w:tr>
        <w:trPr>
          <w:trHeight w:val="300" w:hRule="atLeast"/>
        </w:trPr>
        <w:tc>
          <w:tcPr>
            <w:tcW w:w="2542" w:type="dxa"/>
            <w:vMerge w:val="continue"/>
            <w:tcBorders>
              <w:left w:val="single" w:sz="4" w:space="0" w:color="000000"/>
              <w:right w:val="single" w:sz="4" w:space="0" w:color="000000"/>
            </w:tcBorders>
          </w:tcPr>
          <w:p>
            <w:pPr>
              <w:pStyle w:val="Normal"/>
              <w:widowControl w:val="false"/>
              <w:rPr/>
            </w:pPr>
            <w:r>
              <w:rPr/>
            </w:r>
          </w:p>
        </w:tc>
        <w:tc>
          <w:tcPr>
            <w:tcW w:w="3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Марка поверхностная грунтовая временная</w:t>
            </w:r>
          </w:p>
        </w:tc>
        <w:tc>
          <w:tcPr>
            <w:tcW w:w="15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МПГв</w:t>
            </w:r>
          </w:p>
        </w:tc>
        <w:tc>
          <w:tcPr>
            <w:tcW w:w="11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4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9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48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80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31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9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12</w:t>
            </w:r>
          </w:p>
        </w:tc>
        <w:tc>
          <w:tcPr>
            <w:tcW w:w="131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41"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r>
      <w:tr>
        <w:trPr>
          <w:trHeight w:val="300" w:hRule="atLeast"/>
        </w:trPr>
        <w:tc>
          <w:tcPr>
            <w:tcW w:w="2542" w:type="dxa"/>
            <w:vMerge w:val="continue"/>
            <w:tcBorders>
              <w:left w:val="single" w:sz="4" w:space="0" w:color="000000"/>
              <w:right w:val="single" w:sz="4" w:space="0" w:color="000000"/>
            </w:tcBorders>
          </w:tcPr>
          <w:p>
            <w:pPr>
              <w:pStyle w:val="Normal"/>
              <w:widowControl w:val="false"/>
              <w:rPr/>
            </w:pPr>
            <w:r>
              <w:rPr/>
            </w:r>
          </w:p>
        </w:tc>
        <w:tc>
          <w:tcPr>
            <w:tcW w:w="3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Марка плановая (анкер)</w:t>
            </w:r>
          </w:p>
        </w:tc>
        <w:tc>
          <w:tcPr>
            <w:tcW w:w="15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lang w:val="en-US"/>
              </w:rPr>
              <w:t>AN</w:t>
            </w:r>
          </w:p>
        </w:tc>
        <w:tc>
          <w:tcPr>
            <w:tcW w:w="11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3</w:t>
            </w:r>
          </w:p>
        </w:tc>
        <w:tc>
          <w:tcPr>
            <w:tcW w:w="14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4</w:t>
            </w:r>
          </w:p>
        </w:tc>
        <w:tc>
          <w:tcPr>
            <w:tcW w:w="169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48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7</w:t>
            </w:r>
          </w:p>
        </w:tc>
        <w:tc>
          <w:tcPr>
            <w:tcW w:w="180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31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9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31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41"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r>
      <w:tr>
        <w:trPr>
          <w:trHeight w:val="300" w:hRule="atLeast"/>
        </w:trPr>
        <w:tc>
          <w:tcPr>
            <w:tcW w:w="2542" w:type="dxa"/>
            <w:vMerge w:val="continue"/>
            <w:tcBorders>
              <w:left w:val="single" w:sz="4" w:space="0" w:color="000000"/>
              <w:right w:val="single" w:sz="4" w:space="0" w:color="000000"/>
            </w:tcBorders>
          </w:tcPr>
          <w:p>
            <w:pPr>
              <w:pStyle w:val="Normal"/>
              <w:widowControl w:val="false"/>
              <w:rPr/>
            </w:pPr>
            <w:r>
              <w:rPr/>
            </w:r>
          </w:p>
        </w:tc>
        <w:tc>
          <w:tcPr>
            <w:tcW w:w="3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Марка автоматизированного тахеометра</w:t>
            </w:r>
          </w:p>
        </w:tc>
        <w:tc>
          <w:tcPr>
            <w:tcW w:w="15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lang w:val="en-US"/>
              </w:rPr>
            </w:pPr>
            <w:r>
              <w:rPr>
                <w:rFonts w:cs="Times New Roman" w:ascii="Times New Roman" w:hAnsi="Times New Roman"/>
                <w:sz w:val="24"/>
                <w:szCs w:val="24"/>
                <w:lang w:val="en-US"/>
              </w:rPr>
              <w:t>MT</w:t>
            </w:r>
          </w:p>
        </w:tc>
        <w:tc>
          <w:tcPr>
            <w:tcW w:w="11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42</w:t>
            </w:r>
          </w:p>
        </w:tc>
        <w:tc>
          <w:tcPr>
            <w:tcW w:w="14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15</w:t>
            </w:r>
          </w:p>
        </w:tc>
        <w:tc>
          <w:tcPr>
            <w:tcW w:w="169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48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16</w:t>
            </w:r>
          </w:p>
        </w:tc>
        <w:tc>
          <w:tcPr>
            <w:tcW w:w="180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31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9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31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41"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r>
      <w:tr>
        <w:trPr>
          <w:trHeight w:val="300" w:hRule="atLeast"/>
        </w:trPr>
        <w:tc>
          <w:tcPr>
            <w:tcW w:w="2542" w:type="dxa"/>
            <w:vMerge w:val="continue"/>
            <w:tcBorders>
              <w:left w:val="single" w:sz="4" w:space="0" w:color="000000"/>
              <w:right w:val="single" w:sz="4" w:space="0" w:color="000000"/>
            </w:tcBorders>
          </w:tcPr>
          <w:p>
            <w:pPr>
              <w:pStyle w:val="Normal"/>
              <w:widowControl w:val="false"/>
              <w:rPr/>
            </w:pPr>
            <w:r>
              <w:rPr/>
            </w:r>
          </w:p>
        </w:tc>
        <w:tc>
          <w:tcPr>
            <w:tcW w:w="3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Марка автоматизированного тахеометра</w:t>
            </w:r>
          </w:p>
        </w:tc>
        <w:tc>
          <w:tcPr>
            <w:tcW w:w="15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lang w:val="en-US"/>
              </w:rPr>
            </w:pPr>
            <w:r>
              <w:rPr>
                <w:rFonts w:cs="Times New Roman" w:ascii="Times New Roman" w:hAnsi="Times New Roman"/>
                <w:sz w:val="24"/>
                <w:szCs w:val="24"/>
                <w:lang w:val="en-US"/>
              </w:rPr>
              <w:t>MP</w:t>
            </w:r>
          </w:p>
        </w:tc>
        <w:tc>
          <w:tcPr>
            <w:tcW w:w="11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4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9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48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80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31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lang w:val="en-US"/>
              </w:rPr>
            </w:pPr>
            <w:r>
              <w:rPr>
                <w:rFonts w:cs="Times New Roman" w:ascii="Times New Roman" w:hAnsi="Times New Roman"/>
                <w:sz w:val="24"/>
                <w:szCs w:val="24"/>
                <w:lang w:val="en-US"/>
              </w:rPr>
              <w:t>4</w:t>
            </w:r>
          </w:p>
        </w:tc>
        <w:tc>
          <w:tcPr>
            <w:tcW w:w="169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31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41"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r>
      <w:tr>
        <w:trPr>
          <w:trHeight w:val="300" w:hRule="atLeast"/>
        </w:trPr>
        <w:tc>
          <w:tcPr>
            <w:tcW w:w="2542" w:type="dxa"/>
            <w:vMerge w:val="continue"/>
            <w:tcBorders>
              <w:left w:val="single" w:sz="4" w:space="0" w:color="000000"/>
              <w:right w:val="single" w:sz="4" w:space="0" w:color="000000"/>
            </w:tcBorders>
          </w:tcPr>
          <w:p>
            <w:pPr>
              <w:pStyle w:val="Normal"/>
              <w:widowControl w:val="false"/>
              <w:rPr/>
            </w:pPr>
            <w:r>
              <w:rPr/>
            </w:r>
          </w:p>
        </w:tc>
        <w:tc>
          <w:tcPr>
            <w:tcW w:w="3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Марка автоматизированного тахеометра</w:t>
            </w:r>
          </w:p>
        </w:tc>
        <w:tc>
          <w:tcPr>
            <w:tcW w:w="15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ПРК</w:t>
            </w:r>
          </w:p>
        </w:tc>
        <w:tc>
          <w:tcPr>
            <w:tcW w:w="11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4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9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48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80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31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9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31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41"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5</w:t>
            </w:r>
          </w:p>
        </w:tc>
      </w:tr>
      <w:tr>
        <w:trPr>
          <w:trHeight w:val="70" w:hRule="atLeast"/>
        </w:trPr>
        <w:tc>
          <w:tcPr>
            <w:tcW w:w="2542" w:type="dxa"/>
            <w:tcBorders>
              <w:top w:val="single" w:sz="4" w:space="0" w:color="000000"/>
              <w:left w:val="single" w:sz="4" w:space="0" w:color="000000"/>
              <w:right w:val="single" w:sz="4" w:space="0" w:color="000000"/>
            </w:tcBorders>
            <w:vAlign w:val="center"/>
          </w:tcPr>
          <w:p>
            <w:pPr>
              <w:pStyle w:val="Normal"/>
              <w:widowControl w:val="false"/>
              <w:numPr>
                <w:ilvl w:val="0"/>
                <w:numId w:val="9"/>
              </w:numPr>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Наблюдения щелемеров</w:t>
            </w:r>
          </w:p>
        </w:tc>
        <w:tc>
          <w:tcPr>
            <w:tcW w:w="3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Трёхмарочный щелемер модернизированный</w:t>
            </w:r>
          </w:p>
        </w:tc>
        <w:tc>
          <w:tcPr>
            <w:tcW w:w="15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ЩМ</w:t>
            </w:r>
          </w:p>
        </w:tc>
        <w:tc>
          <w:tcPr>
            <w:tcW w:w="11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4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9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48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80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11</w:t>
            </w:r>
          </w:p>
        </w:tc>
        <w:tc>
          <w:tcPr>
            <w:tcW w:w="131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9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31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41"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r>
      <w:tr>
        <w:trPr>
          <w:trHeight w:val="600" w:hRule="atLeast"/>
        </w:trPr>
        <w:tc>
          <w:tcPr>
            <w:tcW w:w="2542" w:type="dxa"/>
            <w:tcBorders>
              <w:top w:val="single" w:sz="4" w:space="0" w:color="000000"/>
              <w:left w:val="single" w:sz="4" w:space="0" w:color="000000"/>
              <w:right w:val="single" w:sz="4" w:space="0" w:color="000000"/>
            </w:tcBorders>
            <w:vAlign w:val="center"/>
          </w:tcPr>
          <w:p>
            <w:pPr>
              <w:pStyle w:val="Normal"/>
              <w:widowControl w:val="false"/>
              <w:numPr>
                <w:ilvl w:val="0"/>
                <w:numId w:val="9"/>
              </w:numPr>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Наблюдения за подвижками точек склона и деформациями зданий и сооружений</w:t>
            </w:r>
          </w:p>
        </w:tc>
        <w:tc>
          <w:tcPr>
            <w:tcW w:w="3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Свето-дальномерный знак, пункты плановой опорной сети</w:t>
            </w:r>
          </w:p>
        </w:tc>
        <w:tc>
          <w:tcPr>
            <w:tcW w:w="15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СДЗ</w:t>
            </w:r>
          </w:p>
        </w:tc>
        <w:tc>
          <w:tcPr>
            <w:tcW w:w="11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2</w:t>
            </w:r>
          </w:p>
        </w:tc>
        <w:tc>
          <w:tcPr>
            <w:tcW w:w="14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1</w:t>
            </w:r>
          </w:p>
        </w:tc>
        <w:tc>
          <w:tcPr>
            <w:tcW w:w="169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48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803"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31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9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310"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41"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r>
    </w:tbl>
    <w:p>
      <w:pPr>
        <w:pStyle w:val="Normal"/>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ind w:left="0" w:right="0" w:hanging="0"/>
        <w:jc w:val="left"/>
        <w:rPr>
          <w:rFonts w:ascii="Times New Roman" w:hAnsi="Times New Roman" w:eastAsia="Times New Roman" w:cs="Times New Roman"/>
          <w:sz w:val="24"/>
          <w:szCs w:val="24"/>
        </w:rPr>
      </w:pPr>
      <w:r>
        <w:rPr>
          <w:rFonts w:eastAsia="Times New Roman" w:cs="Times New Roman" w:ascii="Times New Roman" w:hAnsi="Times New Roman"/>
          <w:sz w:val="24"/>
          <w:szCs w:val="24"/>
        </w:rPr>
      </w:r>
    </w:p>
    <w:tbl>
      <w:tblPr>
        <w:tblW w:w="5000" w:type="pct"/>
        <w:jc w:val="right"/>
        <w:tblInd w:w="0" w:type="dxa"/>
        <w:tblLayout w:type="fixed"/>
        <w:tblCellMar>
          <w:top w:w="0" w:type="dxa"/>
          <w:left w:w="28" w:type="dxa"/>
          <w:bottom w:w="0" w:type="dxa"/>
          <w:right w:w="28" w:type="dxa"/>
        </w:tblCellMar>
      </w:tblPr>
      <w:tblGrid>
        <w:gridCol w:w="2597"/>
        <w:gridCol w:w="4712"/>
        <w:gridCol w:w="1891"/>
        <w:gridCol w:w="1941"/>
        <w:gridCol w:w="1353"/>
        <w:gridCol w:w="1187"/>
        <w:gridCol w:w="1831"/>
        <w:gridCol w:w="1827"/>
        <w:gridCol w:w="1655"/>
        <w:gridCol w:w="1527"/>
        <w:gridCol w:w="1019"/>
      </w:tblGrid>
      <w:tr>
        <w:trPr>
          <w:trHeight w:val="485" w:hRule="atLeast"/>
        </w:trPr>
        <w:tc>
          <w:tcPr>
            <w:tcW w:w="259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Наименование работ</w:t>
            </w:r>
          </w:p>
        </w:tc>
        <w:tc>
          <w:tcPr>
            <w:tcW w:w="660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Наименование КИА</w:t>
            </w:r>
          </w:p>
        </w:tc>
        <w:tc>
          <w:tcPr>
            <w:tcW w:w="194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ДВБ и задамбовая территория</w:t>
            </w:r>
          </w:p>
        </w:tc>
        <w:tc>
          <w:tcPr>
            <w:tcW w:w="1353" w:type="dxa"/>
            <w:vMerge w:val="restart"/>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Водоприём-ник</w:t>
            </w:r>
          </w:p>
        </w:tc>
        <w:tc>
          <w:tcPr>
            <w:tcW w:w="1187" w:type="dxa"/>
            <w:vMerge w:val="restart"/>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Понур</w:t>
            </w:r>
          </w:p>
        </w:tc>
        <w:tc>
          <w:tcPr>
            <w:tcW w:w="183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Подпорные стены</w:t>
              <w:br/>
              <w:t>ЛВ и ПВ</w:t>
            </w:r>
          </w:p>
        </w:tc>
        <w:tc>
          <w:tcPr>
            <w:tcW w:w="182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Подпорные стены</w:t>
              <w:br/>
              <w:t>ЛН и ПН</w:t>
            </w:r>
          </w:p>
        </w:tc>
        <w:tc>
          <w:tcPr>
            <w:tcW w:w="165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Подпорные стены</w:t>
              <w:br/>
              <w:t>ЛС и ПС</w:t>
            </w:r>
          </w:p>
        </w:tc>
        <w:tc>
          <w:tcPr>
            <w:tcW w:w="152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Напорные водоводы</w:t>
            </w:r>
          </w:p>
        </w:tc>
        <w:tc>
          <w:tcPr>
            <w:tcW w:w="101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Склон вдоль напорных водоводов</w:t>
            </w:r>
          </w:p>
        </w:tc>
      </w:tr>
      <w:tr>
        <w:trPr>
          <w:trHeight w:val="399" w:hRule="atLeast"/>
        </w:trPr>
        <w:tc>
          <w:tcPr>
            <w:tcW w:w="2597" w:type="dxa"/>
            <w:vMerge w:val="continue"/>
            <w:tcBorders>
              <w:left w:val="single" w:sz="4" w:space="0" w:color="000000"/>
              <w:bottom w:val="single" w:sz="4" w:space="0" w:color="000000"/>
              <w:right w:val="single" w:sz="4" w:space="0" w:color="000000"/>
            </w:tcBorders>
            <w:vAlign w:val="center"/>
          </w:tcPr>
          <w:p>
            <w:pPr>
              <w:pStyle w:val="Normal"/>
              <w:widowControl w:val="false"/>
              <w:rPr/>
            </w:pPr>
            <w:r>
              <w:rPr/>
            </w:r>
          </w:p>
        </w:tc>
        <w:tc>
          <w:tcPr>
            <w:tcW w:w="47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Полное</w:t>
            </w:r>
          </w:p>
        </w:tc>
        <w:tc>
          <w:tcPr>
            <w:tcW w:w="18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Сокращенное</w:t>
            </w:r>
          </w:p>
        </w:tc>
        <w:tc>
          <w:tcPr>
            <w:tcW w:w="1941" w:type="dxa"/>
            <w:vMerge w:val="continue"/>
            <w:tcBorders>
              <w:left w:val="single" w:sz="4" w:space="0" w:color="000000"/>
              <w:bottom w:val="single" w:sz="4" w:space="0" w:color="000000"/>
              <w:right w:val="single" w:sz="4" w:space="0" w:color="000000"/>
            </w:tcBorders>
            <w:vAlign w:val="center"/>
          </w:tcPr>
          <w:p>
            <w:pPr>
              <w:pStyle w:val="Normal"/>
              <w:widowControl w:val="false"/>
              <w:rPr/>
            </w:pPr>
            <w:r>
              <w:rPr/>
            </w:r>
          </w:p>
        </w:tc>
        <w:tc>
          <w:tcPr>
            <w:tcW w:w="1353" w:type="dxa"/>
            <w:vMerge w:val="continue"/>
            <w:tcBorders>
              <w:bottom w:val="single" w:sz="4" w:space="0" w:color="000000"/>
              <w:right w:val="single" w:sz="4" w:space="0" w:color="000000"/>
            </w:tcBorders>
            <w:vAlign w:val="center"/>
          </w:tcPr>
          <w:p>
            <w:pPr>
              <w:pStyle w:val="Normal"/>
              <w:widowControl w:val="false"/>
              <w:rPr/>
            </w:pPr>
            <w:r>
              <w:rPr/>
            </w:r>
          </w:p>
        </w:tc>
        <w:tc>
          <w:tcPr>
            <w:tcW w:w="1187" w:type="dxa"/>
            <w:vMerge w:val="continue"/>
            <w:tcBorders>
              <w:bottom w:val="single" w:sz="4" w:space="0" w:color="000000"/>
              <w:right w:val="single" w:sz="4" w:space="0" w:color="000000"/>
            </w:tcBorders>
            <w:vAlign w:val="center"/>
          </w:tcPr>
          <w:p>
            <w:pPr>
              <w:pStyle w:val="Normal"/>
              <w:widowControl w:val="false"/>
              <w:rPr/>
            </w:pPr>
            <w:r>
              <w:rPr/>
            </w:r>
          </w:p>
        </w:tc>
        <w:tc>
          <w:tcPr>
            <w:tcW w:w="1831" w:type="dxa"/>
            <w:vMerge w:val="continue"/>
            <w:tcBorders>
              <w:left w:val="single" w:sz="4" w:space="0" w:color="000000"/>
              <w:bottom w:val="single" w:sz="4" w:space="0" w:color="000000"/>
              <w:right w:val="single" w:sz="4" w:space="0" w:color="000000"/>
            </w:tcBorders>
            <w:vAlign w:val="center"/>
          </w:tcPr>
          <w:p>
            <w:pPr>
              <w:pStyle w:val="Normal"/>
              <w:widowControl w:val="false"/>
              <w:rPr/>
            </w:pPr>
            <w:r>
              <w:rPr/>
            </w:r>
          </w:p>
        </w:tc>
        <w:tc>
          <w:tcPr>
            <w:tcW w:w="1827" w:type="dxa"/>
            <w:vMerge w:val="continue"/>
            <w:tcBorders>
              <w:left w:val="single" w:sz="4" w:space="0" w:color="000000"/>
              <w:bottom w:val="single" w:sz="4" w:space="0" w:color="000000"/>
              <w:right w:val="single" w:sz="4" w:space="0" w:color="000000"/>
            </w:tcBorders>
            <w:vAlign w:val="center"/>
          </w:tcPr>
          <w:p>
            <w:pPr>
              <w:pStyle w:val="Normal"/>
              <w:widowControl w:val="false"/>
              <w:rPr/>
            </w:pPr>
            <w:r>
              <w:rPr/>
            </w:r>
          </w:p>
        </w:tc>
        <w:tc>
          <w:tcPr>
            <w:tcW w:w="1655" w:type="dxa"/>
            <w:vMerge w:val="continue"/>
            <w:tcBorders>
              <w:left w:val="single" w:sz="4" w:space="0" w:color="000000"/>
              <w:bottom w:val="single" w:sz="4" w:space="0" w:color="000000"/>
              <w:right w:val="single" w:sz="4" w:space="0" w:color="000000"/>
            </w:tcBorders>
            <w:vAlign w:val="center"/>
          </w:tcPr>
          <w:p>
            <w:pPr>
              <w:pStyle w:val="Normal"/>
              <w:widowControl w:val="false"/>
              <w:rPr/>
            </w:pPr>
            <w:r>
              <w:rPr/>
            </w:r>
          </w:p>
        </w:tc>
        <w:tc>
          <w:tcPr>
            <w:tcW w:w="152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0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12" w:hRule="atLeast"/>
        </w:trPr>
        <w:tc>
          <w:tcPr>
            <w:tcW w:w="2597" w:type="dxa"/>
            <w:vMerge w:val="restart"/>
            <w:tcBorders>
              <w:top w:val="single" w:sz="4" w:space="0" w:color="000000"/>
              <w:left w:val="single" w:sz="4" w:space="0" w:color="000000"/>
              <w:right w:val="single" w:sz="4" w:space="0" w:color="000000"/>
            </w:tcBorders>
            <w:vAlign w:val="center"/>
          </w:tcPr>
          <w:p>
            <w:pPr>
              <w:pStyle w:val="Normal"/>
              <w:widowControl w:val="false"/>
              <w:numPr>
                <w:ilvl w:val="0"/>
                <w:numId w:val="12"/>
              </w:numPr>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Проведение наблюдений по дистанционной КИА</w:t>
            </w:r>
          </w:p>
        </w:tc>
        <w:tc>
          <w:tcPr>
            <w:tcW w:w="4712" w:type="dxa"/>
            <w:tcBorders>
              <w:top w:val="single" w:sz="4" w:space="0" w:color="000000"/>
              <w:left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Преобразователь давления струнный</w:t>
            </w:r>
          </w:p>
        </w:tc>
        <w:tc>
          <w:tcPr>
            <w:tcW w:w="1891" w:type="dxa"/>
            <w:tcBorders>
              <w:top w:val="single" w:sz="4" w:space="0" w:color="000000"/>
              <w:left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ПДС</w:t>
            </w:r>
          </w:p>
        </w:tc>
        <w:tc>
          <w:tcPr>
            <w:tcW w:w="1941" w:type="dxa"/>
            <w:tcBorders>
              <w:top w:val="single" w:sz="4" w:space="0" w:color="000000"/>
              <w:left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32</w:t>
            </w:r>
          </w:p>
        </w:tc>
        <w:tc>
          <w:tcPr>
            <w:tcW w:w="1353" w:type="dxa"/>
            <w:tcBorders>
              <w:top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16</w:t>
            </w:r>
          </w:p>
        </w:tc>
        <w:tc>
          <w:tcPr>
            <w:tcW w:w="1187"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12</w:t>
            </w:r>
          </w:p>
        </w:tc>
        <w:tc>
          <w:tcPr>
            <w:tcW w:w="18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40</w:t>
            </w:r>
          </w:p>
        </w:tc>
        <w:tc>
          <w:tcPr>
            <w:tcW w:w="18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16</w:t>
            </w:r>
          </w:p>
        </w:tc>
        <w:tc>
          <w:tcPr>
            <w:tcW w:w="16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36</w:t>
            </w:r>
          </w:p>
        </w:tc>
        <w:tc>
          <w:tcPr>
            <w:tcW w:w="15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0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r>
      <w:tr>
        <w:trPr>
          <w:trHeight w:val="300" w:hRule="atLeast"/>
        </w:trPr>
        <w:tc>
          <w:tcPr>
            <w:tcW w:w="2597" w:type="dxa"/>
            <w:vMerge w:val="continue"/>
            <w:tcBorders>
              <w:top w:val="single" w:sz="4" w:space="0" w:color="000000"/>
              <w:left w:val="single" w:sz="4" w:space="0" w:color="000000"/>
              <w:right w:val="single" w:sz="4" w:space="0" w:color="000000"/>
            </w:tcBorders>
          </w:tcPr>
          <w:p>
            <w:pPr>
              <w:pStyle w:val="Normal"/>
              <w:widowControl w:val="false"/>
              <w:rPr/>
            </w:pPr>
            <w:r>
              <w:rPr/>
            </w:r>
          </w:p>
        </w:tc>
        <w:tc>
          <w:tcPr>
            <w:tcW w:w="47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Преобразователь температуры струнный</w:t>
            </w:r>
          </w:p>
        </w:tc>
        <w:tc>
          <w:tcPr>
            <w:tcW w:w="18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ПТС</w:t>
            </w:r>
          </w:p>
        </w:tc>
        <w:tc>
          <w:tcPr>
            <w:tcW w:w="19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23</w:t>
            </w:r>
          </w:p>
        </w:tc>
        <w:tc>
          <w:tcPr>
            <w:tcW w:w="1353"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33</w:t>
            </w:r>
          </w:p>
        </w:tc>
        <w:tc>
          <w:tcPr>
            <w:tcW w:w="1187"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16</w:t>
            </w:r>
          </w:p>
        </w:tc>
        <w:tc>
          <w:tcPr>
            <w:tcW w:w="18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29</w:t>
            </w:r>
          </w:p>
        </w:tc>
        <w:tc>
          <w:tcPr>
            <w:tcW w:w="18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lang w:val="en-US"/>
              </w:rPr>
            </w:pPr>
            <w:r>
              <w:rPr>
                <w:rFonts w:cs="Times New Roman" w:ascii="Times New Roman" w:hAnsi="Times New Roman"/>
                <w:sz w:val="24"/>
                <w:szCs w:val="24"/>
              </w:rPr>
              <w:t>25</w:t>
            </w:r>
          </w:p>
        </w:tc>
        <w:tc>
          <w:tcPr>
            <w:tcW w:w="16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8</w:t>
            </w:r>
          </w:p>
        </w:tc>
        <w:tc>
          <w:tcPr>
            <w:tcW w:w="15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392</w:t>
            </w:r>
          </w:p>
        </w:tc>
        <w:tc>
          <w:tcPr>
            <w:tcW w:w="10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r>
      <w:tr>
        <w:trPr>
          <w:trHeight w:val="234" w:hRule="atLeast"/>
        </w:trPr>
        <w:tc>
          <w:tcPr>
            <w:tcW w:w="2597" w:type="dxa"/>
            <w:vMerge w:val="continue"/>
            <w:tcBorders>
              <w:top w:val="single" w:sz="4" w:space="0" w:color="000000"/>
              <w:left w:val="single" w:sz="4" w:space="0" w:color="000000"/>
              <w:right w:val="single" w:sz="4" w:space="0" w:color="000000"/>
            </w:tcBorders>
          </w:tcPr>
          <w:p>
            <w:pPr>
              <w:pStyle w:val="Normal"/>
              <w:widowControl w:val="false"/>
              <w:rPr/>
            </w:pPr>
            <w:r>
              <w:rPr/>
            </w:r>
          </w:p>
        </w:tc>
        <w:tc>
          <w:tcPr>
            <w:tcW w:w="4712" w:type="dxa"/>
            <w:tcBorders>
              <w:top w:val="single" w:sz="4" w:space="0" w:color="000000"/>
              <w:left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Преобразователь линейных перемещений струнный</w:t>
            </w:r>
          </w:p>
        </w:tc>
        <w:tc>
          <w:tcPr>
            <w:tcW w:w="1891" w:type="dxa"/>
            <w:tcBorders>
              <w:top w:val="single" w:sz="4" w:space="0" w:color="000000"/>
              <w:left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ПЛПС</w:t>
            </w:r>
          </w:p>
        </w:tc>
        <w:tc>
          <w:tcPr>
            <w:tcW w:w="1941" w:type="dxa"/>
            <w:tcBorders>
              <w:top w:val="single" w:sz="4" w:space="0" w:color="000000"/>
              <w:left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353" w:type="dxa"/>
            <w:tcBorders>
              <w:top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6</w:t>
            </w:r>
          </w:p>
        </w:tc>
        <w:tc>
          <w:tcPr>
            <w:tcW w:w="1187"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12</w:t>
            </w:r>
          </w:p>
        </w:tc>
        <w:tc>
          <w:tcPr>
            <w:tcW w:w="18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4</w:t>
            </w:r>
          </w:p>
        </w:tc>
        <w:tc>
          <w:tcPr>
            <w:tcW w:w="18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8</w:t>
            </w:r>
          </w:p>
        </w:tc>
        <w:tc>
          <w:tcPr>
            <w:tcW w:w="16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5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0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r>
      <w:tr>
        <w:trPr>
          <w:trHeight w:val="124" w:hRule="atLeast"/>
        </w:trPr>
        <w:tc>
          <w:tcPr>
            <w:tcW w:w="2597" w:type="dxa"/>
            <w:vMerge w:val="continue"/>
            <w:tcBorders>
              <w:top w:val="single" w:sz="4" w:space="0" w:color="000000"/>
              <w:left w:val="single" w:sz="4" w:space="0" w:color="000000"/>
              <w:right w:val="single" w:sz="4" w:space="0" w:color="000000"/>
            </w:tcBorders>
          </w:tcPr>
          <w:p>
            <w:pPr>
              <w:pStyle w:val="Normal"/>
              <w:widowControl w:val="false"/>
              <w:rPr/>
            </w:pPr>
            <w:r>
              <w:rPr/>
            </w:r>
          </w:p>
        </w:tc>
        <w:tc>
          <w:tcPr>
            <w:tcW w:w="4712" w:type="dxa"/>
            <w:tcBorders>
              <w:top w:val="single" w:sz="4" w:space="0" w:color="000000"/>
              <w:left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Преобразователь силы арматурный струнный</w:t>
            </w:r>
          </w:p>
        </w:tc>
        <w:tc>
          <w:tcPr>
            <w:tcW w:w="1891" w:type="dxa"/>
            <w:tcBorders>
              <w:top w:val="single" w:sz="4" w:space="0" w:color="000000"/>
              <w:left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ПСАС</w:t>
            </w:r>
          </w:p>
        </w:tc>
        <w:tc>
          <w:tcPr>
            <w:tcW w:w="1941" w:type="dxa"/>
            <w:tcBorders>
              <w:top w:val="single" w:sz="4" w:space="0" w:color="000000"/>
              <w:left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353" w:type="dxa"/>
            <w:tcBorders>
              <w:top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77</w:t>
            </w:r>
          </w:p>
        </w:tc>
        <w:tc>
          <w:tcPr>
            <w:tcW w:w="1187"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8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20</w:t>
            </w:r>
          </w:p>
        </w:tc>
        <w:tc>
          <w:tcPr>
            <w:tcW w:w="18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31</w:t>
            </w:r>
          </w:p>
        </w:tc>
        <w:tc>
          <w:tcPr>
            <w:tcW w:w="16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8</w:t>
            </w:r>
          </w:p>
        </w:tc>
        <w:tc>
          <w:tcPr>
            <w:tcW w:w="15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432</w:t>
            </w:r>
          </w:p>
        </w:tc>
        <w:tc>
          <w:tcPr>
            <w:tcW w:w="10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r>
      <w:tr>
        <w:trPr>
          <w:trHeight w:val="70" w:hRule="atLeast"/>
        </w:trPr>
        <w:tc>
          <w:tcPr>
            <w:tcW w:w="2597" w:type="dxa"/>
            <w:vMerge w:val="continue"/>
            <w:tcBorders>
              <w:top w:val="single" w:sz="4" w:space="0" w:color="000000"/>
              <w:left w:val="single" w:sz="4" w:space="0" w:color="000000"/>
              <w:right w:val="single" w:sz="4" w:space="0" w:color="000000"/>
            </w:tcBorders>
          </w:tcPr>
          <w:p>
            <w:pPr>
              <w:pStyle w:val="Normal"/>
              <w:widowControl w:val="false"/>
              <w:rPr/>
            </w:pPr>
            <w:r>
              <w:rPr/>
            </w:r>
          </w:p>
        </w:tc>
        <w:tc>
          <w:tcPr>
            <w:tcW w:w="4712" w:type="dxa"/>
            <w:tcBorders>
              <w:top w:val="single" w:sz="4" w:space="0" w:color="000000"/>
              <w:left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Преобразователь линейных деформаций струнный</w:t>
            </w:r>
          </w:p>
        </w:tc>
        <w:tc>
          <w:tcPr>
            <w:tcW w:w="1891" w:type="dxa"/>
            <w:tcBorders>
              <w:top w:val="single" w:sz="4" w:space="0" w:color="000000"/>
              <w:left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ПЛДС</w:t>
            </w:r>
          </w:p>
        </w:tc>
        <w:tc>
          <w:tcPr>
            <w:tcW w:w="1941" w:type="dxa"/>
            <w:tcBorders>
              <w:top w:val="single" w:sz="4" w:space="0" w:color="000000"/>
              <w:left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353" w:type="dxa"/>
            <w:tcBorders>
              <w:top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9</w:t>
            </w:r>
          </w:p>
        </w:tc>
        <w:tc>
          <w:tcPr>
            <w:tcW w:w="1187"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8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8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5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475</w:t>
            </w:r>
          </w:p>
        </w:tc>
        <w:tc>
          <w:tcPr>
            <w:tcW w:w="10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r>
      <w:tr>
        <w:trPr>
          <w:trHeight w:val="300" w:hRule="atLeast"/>
        </w:trPr>
        <w:tc>
          <w:tcPr>
            <w:tcW w:w="2597" w:type="dxa"/>
            <w:vMerge w:val="restart"/>
            <w:tcBorders>
              <w:top w:val="single" w:sz="4" w:space="0" w:color="000000"/>
              <w:left w:val="single" w:sz="4" w:space="0" w:color="000000"/>
              <w:right w:val="single" w:sz="4" w:space="0" w:color="000000"/>
            </w:tcBorders>
            <w:vAlign w:val="center"/>
          </w:tcPr>
          <w:p>
            <w:pPr>
              <w:pStyle w:val="Normal"/>
              <w:widowControl w:val="false"/>
              <w:numPr>
                <w:ilvl w:val="0"/>
                <w:numId w:val="12"/>
              </w:numPr>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Проведение наблюдений за фильтрационным режимом</w:t>
            </w:r>
          </w:p>
        </w:tc>
        <w:tc>
          <w:tcPr>
            <w:tcW w:w="47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Пьезометр опускной</w:t>
            </w:r>
          </w:p>
        </w:tc>
        <w:tc>
          <w:tcPr>
            <w:tcW w:w="18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ПО</w:t>
            </w:r>
          </w:p>
        </w:tc>
        <w:tc>
          <w:tcPr>
            <w:tcW w:w="19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53</w:t>
            </w:r>
          </w:p>
        </w:tc>
        <w:tc>
          <w:tcPr>
            <w:tcW w:w="1353"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187"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8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8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8</w:t>
            </w:r>
          </w:p>
        </w:tc>
        <w:tc>
          <w:tcPr>
            <w:tcW w:w="15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0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5</w:t>
            </w:r>
          </w:p>
        </w:tc>
      </w:tr>
      <w:tr>
        <w:trPr>
          <w:trHeight w:val="277" w:hRule="atLeast"/>
        </w:trPr>
        <w:tc>
          <w:tcPr>
            <w:tcW w:w="2597" w:type="dxa"/>
            <w:vMerge w:val="continue"/>
            <w:tcBorders>
              <w:left w:val="single" w:sz="4" w:space="0" w:color="000000"/>
              <w:right w:val="single" w:sz="4" w:space="0" w:color="000000"/>
            </w:tcBorders>
          </w:tcPr>
          <w:p>
            <w:pPr>
              <w:pStyle w:val="Normal"/>
              <w:widowControl w:val="false"/>
              <w:rPr/>
            </w:pPr>
            <w:r>
              <w:rPr/>
            </w:r>
          </w:p>
        </w:tc>
        <w:tc>
          <w:tcPr>
            <w:tcW w:w="47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Пьезометр закладной напорный</w:t>
            </w:r>
          </w:p>
        </w:tc>
        <w:tc>
          <w:tcPr>
            <w:tcW w:w="18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ПЗН</w:t>
            </w:r>
          </w:p>
        </w:tc>
        <w:tc>
          <w:tcPr>
            <w:tcW w:w="19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353"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8</w:t>
            </w:r>
          </w:p>
        </w:tc>
        <w:tc>
          <w:tcPr>
            <w:tcW w:w="1187"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8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8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4</w:t>
            </w:r>
          </w:p>
        </w:tc>
        <w:tc>
          <w:tcPr>
            <w:tcW w:w="15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0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r>
      <w:tr>
        <w:trPr>
          <w:trHeight w:val="70" w:hRule="atLeast"/>
        </w:trPr>
        <w:tc>
          <w:tcPr>
            <w:tcW w:w="2597" w:type="dxa"/>
            <w:vMerge w:val="continue"/>
            <w:tcBorders>
              <w:left w:val="single" w:sz="4" w:space="0" w:color="000000"/>
              <w:right w:val="single" w:sz="4" w:space="0" w:color="000000"/>
            </w:tcBorders>
          </w:tcPr>
          <w:p>
            <w:pPr>
              <w:pStyle w:val="Normal"/>
              <w:widowControl w:val="false"/>
              <w:rPr/>
            </w:pPr>
            <w:r>
              <w:rPr/>
            </w:r>
          </w:p>
        </w:tc>
        <w:tc>
          <w:tcPr>
            <w:tcW w:w="47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Мерный водослив</w:t>
            </w:r>
          </w:p>
        </w:tc>
        <w:tc>
          <w:tcPr>
            <w:tcW w:w="18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МВ</w:t>
            </w:r>
          </w:p>
        </w:tc>
        <w:tc>
          <w:tcPr>
            <w:tcW w:w="19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7</w:t>
            </w:r>
          </w:p>
        </w:tc>
        <w:tc>
          <w:tcPr>
            <w:tcW w:w="1353"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187"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8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8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5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0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r>
      <w:tr>
        <w:trPr>
          <w:trHeight w:val="70" w:hRule="atLeast"/>
        </w:trPr>
        <w:tc>
          <w:tcPr>
            <w:tcW w:w="2597" w:type="dxa"/>
            <w:vMerge w:val="continue"/>
            <w:tcBorders>
              <w:left w:val="single" w:sz="4" w:space="0" w:color="000000"/>
              <w:right w:val="single" w:sz="4" w:space="0" w:color="000000"/>
            </w:tcBorders>
          </w:tcPr>
          <w:p>
            <w:pPr>
              <w:pStyle w:val="Normal"/>
              <w:widowControl w:val="false"/>
              <w:rPr/>
            </w:pPr>
            <w:r>
              <w:rPr/>
            </w:r>
          </w:p>
        </w:tc>
        <w:tc>
          <w:tcPr>
            <w:tcW w:w="47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Водомерная рейка</w:t>
            </w:r>
          </w:p>
        </w:tc>
        <w:tc>
          <w:tcPr>
            <w:tcW w:w="18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ВР</w:t>
            </w:r>
          </w:p>
        </w:tc>
        <w:tc>
          <w:tcPr>
            <w:tcW w:w="19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353"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lang w:val="en-US"/>
              </w:rPr>
            </w:pPr>
            <w:r>
              <w:rPr>
                <w:rFonts w:cs="Times New Roman" w:ascii="Times New Roman" w:hAnsi="Times New Roman"/>
                <w:sz w:val="24"/>
                <w:szCs w:val="24"/>
                <w:lang w:val="en-US"/>
              </w:rPr>
              <w:t>1</w:t>
            </w:r>
          </w:p>
        </w:tc>
        <w:tc>
          <w:tcPr>
            <w:tcW w:w="1187"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8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8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5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0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r>
      <w:tr>
        <w:trPr>
          <w:trHeight w:val="70" w:hRule="atLeast"/>
        </w:trPr>
        <w:tc>
          <w:tcPr>
            <w:tcW w:w="2597" w:type="dxa"/>
            <w:vMerge w:val="restart"/>
            <w:tcBorders>
              <w:top w:val="single" w:sz="4" w:space="0" w:color="000000"/>
              <w:left w:val="single" w:sz="4" w:space="0" w:color="000000"/>
              <w:right w:val="single" w:sz="4" w:space="0" w:color="000000"/>
            </w:tcBorders>
            <w:vAlign w:val="center"/>
          </w:tcPr>
          <w:p>
            <w:pPr>
              <w:pStyle w:val="Normal"/>
              <w:widowControl w:val="false"/>
              <w:numPr>
                <w:ilvl w:val="0"/>
                <w:numId w:val="12"/>
              </w:numPr>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Проведение нивелирования (короткие ходы)</w:t>
            </w:r>
          </w:p>
        </w:tc>
        <w:tc>
          <w:tcPr>
            <w:tcW w:w="47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Марка бетонная стеновая</w:t>
            </w:r>
          </w:p>
        </w:tc>
        <w:tc>
          <w:tcPr>
            <w:tcW w:w="18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МБС</w:t>
            </w:r>
          </w:p>
        </w:tc>
        <w:tc>
          <w:tcPr>
            <w:tcW w:w="19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353"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5</w:t>
            </w:r>
          </w:p>
        </w:tc>
        <w:tc>
          <w:tcPr>
            <w:tcW w:w="1187"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8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8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5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12</w:t>
            </w:r>
          </w:p>
        </w:tc>
        <w:tc>
          <w:tcPr>
            <w:tcW w:w="10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r>
      <w:tr>
        <w:trPr>
          <w:trHeight w:val="300" w:hRule="atLeast"/>
        </w:trPr>
        <w:tc>
          <w:tcPr>
            <w:tcW w:w="2597" w:type="dxa"/>
            <w:vMerge w:val="continue"/>
            <w:tcBorders>
              <w:left w:val="single" w:sz="4" w:space="0" w:color="000000"/>
              <w:right w:val="single" w:sz="4" w:space="0" w:color="000000"/>
            </w:tcBorders>
          </w:tcPr>
          <w:p>
            <w:pPr>
              <w:pStyle w:val="Normal"/>
              <w:widowControl w:val="false"/>
              <w:rPr/>
            </w:pPr>
            <w:r>
              <w:rPr/>
            </w:r>
          </w:p>
        </w:tc>
        <w:tc>
          <w:tcPr>
            <w:tcW w:w="47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Марка поверхностная бетонная</w:t>
            </w:r>
          </w:p>
        </w:tc>
        <w:tc>
          <w:tcPr>
            <w:tcW w:w="18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МПБ</w:t>
            </w:r>
          </w:p>
        </w:tc>
        <w:tc>
          <w:tcPr>
            <w:tcW w:w="19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353"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30</w:t>
            </w:r>
          </w:p>
        </w:tc>
        <w:tc>
          <w:tcPr>
            <w:tcW w:w="1187"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8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8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20</w:t>
            </w:r>
          </w:p>
        </w:tc>
        <w:tc>
          <w:tcPr>
            <w:tcW w:w="16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5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101</w:t>
            </w:r>
          </w:p>
        </w:tc>
        <w:tc>
          <w:tcPr>
            <w:tcW w:w="10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r>
      <w:tr>
        <w:trPr>
          <w:trHeight w:val="300" w:hRule="atLeast"/>
        </w:trPr>
        <w:tc>
          <w:tcPr>
            <w:tcW w:w="2597" w:type="dxa"/>
            <w:vMerge w:val="continue"/>
            <w:tcBorders>
              <w:left w:val="single" w:sz="4" w:space="0" w:color="000000"/>
              <w:right w:val="single" w:sz="4" w:space="0" w:color="000000"/>
            </w:tcBorders>
          </w:tcPr>
          <w:p>
            <w:pPr>
              <w:pStyle w:val="Normal"/>
              <w:widowControl w:val="false"/>
              <w:rPr/>
            </w:pPr>
            <w:r>
              <w:rPr/>
            </w:r>
          </w:p>
        </w:tc>
        <w:tc>
          <w:tcPr>
            <w:tcW w:w="47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Труба-марка</w:t>
            </w:r>
          </w:p>
        </w:tc>
        <w:tc>
          <w:tcPr>
            <w:tcW w:w="18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ТМ</w:t>
            </w:r>
          </w:p>
        </w:tc>
        <w:tc>
          <w:tcPr>
            <w:tcW w:w="19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353"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6</w:t>
            </w:r>
          </w:p>
        </w:tc>
        <w:tc>
          <w:tcPr>
            <w:tcW w:w="1187"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8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8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5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0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r>
      <w:tr>
        <w:trPr>
          <w:trHeight w:val="300" w:hRule="atLeast"/>
        </w:trPr>
        <w:tc>
          <w:tcPr>
            <w:tcW w:w="2597" w:type="dxa"/>
            <w:tcBorders>
              <w:top w:val="single" w:sz="4" w:space="0" w:color="000000"/>
              <w:left w:val="single" w:sz="4" w:space="0" w:color="000000"/>
              <w:right w:val="single" w:sz="4" w:space="0" w:color="000000"/>
            </w:tcBorders>
            <w:vAlign w:val="center"/>
          </w:tcPr>
          <w:p>
            <w:pPr>
              <w:pStyle w:val="Normal"/>
              <w:widowControl w:val="false"/>
              <w:numPr>
                <w:ilvl w:val="0"/>
                <w:numId w:val="12"/>
              </w:numPr>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Наблюдения обратных отвесов</w:t>
            </w:r>
          </w:p>
        </w:tc>
        <w:tc>
          <w:tcPr>
            <w:tcW w:w="47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Обратный отвес</w:t>
            </w:r>
          </w:p>
        </w:tc>
        <w:tc>
          <w:tcPr>
            <w:tcW w:w="18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ОО</w:t>
            </w:r>
          </w:p>
        </w:tc>
        <w:tc>
          <w:tcPr>
            <w:tcW w:w="19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353"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3</w:t>
            </w:r>
          </w:p>
        </w:tc>
        <w:tc>
          <w:tcPr>
            <w:tcW w:w="1187"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8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8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5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0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5</w:t>
            </w:r>
          </w:p>
        </w:tc>
      </w:tr>
      <w:tr>
        <w:trPr>
          <w:trHeight w:val="70" w:hRule="atLeast"/>
        </w:trPr>
        <w:tc>
          <w:tcPr>
            <w:tcW w:w="259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12"/>
              </w:numPr>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Наблюдения щелемеров</w:t>
            </w:r>
          </w:p>
        </w:tc>
        <w:tc>
          <w:tcPr>
            <w:tcW w:w="47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Щелемер одноосный</w:t>
            </w:r>
          </w:p>
        </w:tc>
        <w:tc>
          <w:tcPr>
            <w:tcW w:w="18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Щ</w:t>
            </w:r>
          </w:p>
        </w:tc>
        <w:tc>
          <w:tcPr>
            <w:tcW w:w="19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353"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5</w:t>
            </w:r>
          </w:p>
        </w:tc>
        <w:tc>
          <w:tcPr>
            <w:tcW w:w="1187"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8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8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5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5</w:t>
            </w:r>
          </w:p>
        </w:tc>
        <w:tc>
          <w:tcPr>
            <w:tcW w:w="10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r>
      <w:tr>
        <w:trPr>
          <w:trHeight w:val="70" w:hRule="atLeast"/>
        </w:trPr>
        <w:tc>
          <w:tcPr>
            <w:tcW w:w="2597" w:type="dxa"/>
            <w:vMerge w:val="continue"/>
            <w:tcBorders>
              <w:left w:val="single" w:sz="4" w:space="0" w:color="000000"/>
              <w:bottom w:val="single" w:sz="4" w:space="0" w:color="000000"/>
              <w:right w:val="single" w:sz="4" w:space="0" w:color="000000"/>
            </w:tcBorders>
            <w:vAlign w:val="center"/>
          </w:tcPr>
          <w:p>
            <w:pPr>
              <w:pStyle w:val="Normal"/>
              <w:widowControl w:val="false"/>
              <w:rPr/>
            </w:pPr>
            <w:r>
              <w:rPr/>
            </w:r>
          </w:p>
        </w:tc>
        <w:tc>
          <w:tcPr>
            <w:tcW w:w="47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Трёхмарочный щелемер модернизированный</w:t>
            </w:r>
          </w:p>
        </w:tc>
        <w:tc>
          <w:tcPr>
            <w:tcW w:w="18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ЩМ</w:t>
            </w:r>
          </w:p>
        </w:tc>
        <w:tc>
          <w:tcPr>
            <w:tcW w:w="19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353"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22</w:t>
            </w:r>
          </w:p>
        </w:tc>
        <w:tc>
          <w:tcPr>
            <w:tcW w:w="1187"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8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8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10</w:t>
            </w:r>
          </w:p>
        </w:tc>
        <w:tc>
          <w:tcPr>
            <w:tcW w:w="16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12</w:t>
            </w:r>
          </w:p>
        </w:tc>
        <w:tc>
          <w:tcPr>
            <w:tcW w:w="15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73</w:t>
            </w:r>
          </w:p>
        </w:tc>
        <w:tc>
          <w:tcPr>
            <w:tcW w:w="10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r>
      <w:tr>
        <w:trPr>
          <w:trHeight w:val="600" w:hRule="atLeast"/>
        </w:trPr>
        <w:tc>
          <w:tcPr>
            <w:tcW w:w="25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12"/>
              </w:numPr>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Наблюдения за подвижками точек склона и деформациями зданий и сооружений</w:t>
            </w:r>
          </w:p>
        </w:tc>
        <w:tc>
          <w:tcPr>
            <w:tcW w:w="47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sz w:val="24"/>
                <w:szCs w:val="24"/>
              </w:rPr>
            </w:pPr>
            <w:r>
              <w:rPr>
                <w:rFonts w:cs="Times New Roman" w:ascii="Times New Roman" w:hAnsi="Times New Roman"/>
                <w:sz w:val="24"/>
                <w:szCs w:val="24"/>
              </w:rPr>
              <w:t>Свето-дальномерный знак, пункты плановой опорной сети</w:t>
            </w:r>
          </w:p>
        </w:tc>
        <w:tc>
          <w:tcPr>
            <w:tcW w:w="18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СДЗ</w:t>
            </w:r>
          </w:p>
        </w:tc>
        <w:tc>
          <w:tcPr>
            <w:tcW w:w="19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353"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2</w:t>
            </w:r>
          </w:p>
        </w:tc>
        <w:tc>
          <w:tcPr>
            <w:tcW w:w="1187"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8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8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6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c>
          <w:tcPr>
            <w:tcW w:w="15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20</w:t>
            </w:r>
          </w:p>
        </w:tc>
        <w:tc>
          <w:tcPr>
            <w:tcW w:w="10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sz w:val="24"/>
                <w:szCs w:val="24"/>
              </w:rPr>
            </w:pPr>
            <w:r>
              <w:rPr>
                <w:rFonts w:cs="Times New Roman" w:ascii="Times New Roman" w:hAnsi="Times New Roman"/>
                <w:sz w:val="24"/>
                <w:szCs w:val="24"/>
              </w:rPr>
              <w:t>-</w:t>
            </w:r>
          </w:p>
        </w:tc>
      </w:tr>
    </w:tbl>
    <w:p>
      <w:pPr>
        <w:sectPr>
          <w:headerReference w:type="default" r:id="rId91"/>
          <w:headerReference w:type="first" r:id="rId92"/>
          <w:footerReference w:type="default" r:id="rId93"/>
          <w:footerReference w:type="first" r:id="rId94"/>
          <w:type w:val="nextPage"/>
          <w:pgSz w:orient="landscape" w:w="23811" w:h="16838"/>
          <w:pgMar w:left="1134" w:right="1134" w:gutter="0" w:header="397" w:top="1701" w:footer="2" w:bottom="883"/>
          <w:pgNumType w:fmt="decimal"/>
          <w:formProt w:val="false"/>
          <w:textDirection w:val="lrTb"/>
          <w:docGrid w:type="default" w:linePitch="360" w:charSpace="4096"/>
        </w:sectPr>
      </w:pPr>
    </w:p>
    <w:p>
      <w:pPr>
        <w:pStyle w:val="Normal"/>
        <w:spacing w:lineRule="auto" w:line="240"/>
        <w:ind w:left="0" w:right="0" w:hanging="0"/>
        <w:jc w:val="left"/>
        <w:rPr>
          <w:rFonts w:ascii="Times New Roman" w:hAnsi="Times New Roman" w:eastAsia="Times New Roman" w:cs="Times New Roman"/>
          <w:szCs w:val="24"/>
        </w:rPr>
      </w:pPr>
      <w:r>
        <w:rPr>
          <w:rFonts w:eastAsia="Times New Roman" w:cs="Times New Roman" w:ascii="Times New Roman" w:hAnsi="Times New Roman"/>
          <w:szCs w:val="24"/>
        </w:rPr>
      </w:r>
    </w:p>
    <w:p>
      <w:pPr>
        <w:pStyle w:val="Normal"/>
        <w:spacing w:lineRule="auto" w:line="240"/>
        <w:ind w:left="0" w:right="0" w:hanging="0"/>
        <w:rPr>
          <w:rFonts w:ascii="Times New Roman" w:hAnsi="Times New Roman"/>
          <w:sz w:val="24"/>
        </w:rPr>
      </w:pPr>
      <w:r>
        <w:rPr>
          <w:rFonts w:ascii="Times New Roman" w:hAnsi="Times New Roman"/>
          <w:sz w:val="24"/>
        </w:rPr>
      </w:r>
    </w:p>
    <w:p>
      <w:pPr>
        <w:pStyle w:val="Normal"/>
        <w:spacing w:lineRule="auto" w:line="240"/>
        <w:ind w:left="0" w:right="0" w:hanging="0"/>
        <w:rPr>
          <w:rFonts w:ascii="Times New Roman" w:hAnsi="Times New Roman"/>
          <w:sz w:val="24"/>
        </w:rPr>
      </w:pPr>
      <w:r>
        <w:rPr>
          <w:rFonts w:ascii="Times New Roman" w:hAnsi="Times New Roman"/>
          <w:sz w:val="24"/>
        </w:rPr>
        <w:t xml:space="preserve">Таблица А.2 – Перечень и количество КИА </w:t>
      </w:r>
      <w:bookmarkStart w:id="255" w:name="_Hlk210830018"/>
      <w:r>
        <w:rPr>
          <w:rFonts w:ascii="Times New Roman" w:hAnsi="Times New Roman"/>
          <w:sz w:val="24"/>
        </w:rPr>
        <w:t>специального контроля за пространственным положением здания ГАЭС</w:t>
      </w:r>
      <w:bookmarkEnd w:id="255"/>
      <w:r>
        <w:rPr>
          <w:rFonts w:ascii="Times New Roman" w:hAnsi="Times New Roman"/>
          <w:sz w:val="24"/>
        </w:rPr>
        <w:t xml:space="preserve"> в строительный период</w:t>
      </w:r>
    </w:p>
    <w:tbl>
      <w:tblPr>
        <w:tblW w:w="5000" w:type="pct"/>
        <w:jc w:val="left"/>
        <w:tblInd w:w="0" w:type="dxa"/>
        <w:tblLayout w:type="fixed"/>
        <w:tblCellMar>
          <w:top w:w="0" w:type="dxa"/>
          <w:left w:w="108" w:type="dxa"/>
          <w:bottom w:w="0" w:type="dxa"/>
          <w:right w:w="108" w:type="dxa"/>
        </w:tblCellMar>
      </w:tblPr>
      <w:tblGrid>
        <w:gridCol w:w="2450"/>
        <w:gridCol w:w="1305"/>
        <w:gridCol w:w="1419"/>
        <w:gridCol w:w="3896"/>
      </w:tblGrid>
      <w:tr>
        <w:trPr>
          <w:trHeight w:val="487" w:hRule="atLeast"/>
        </w:trPr>
        <w:tc>
          <w:tcPr>
            <w:tcW w:w="24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Наименование КИА</w:t>
            </w:r>
          </w:p>
        </w:tc>
        <w:tc>
          <w:tcPr>
            <w:tcW w:w="13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Тип, марка</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Количество КИА</w:t>
            </w:r>
          </w:p>
        </w:tc>
        <w:tc>
          <w:tcPr>
            <w:tcW w:w="38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Примечание</w:t>
            </w:r>
          </w:p>
        </w:tc>
      </w:tr>
      <w:tr>
        <w:trPr>
          <w:trHeight w:val="846" w:hRule="atLeast"/>
        </w:trPr>
        <w:tc>
          <w:tcPr>
            <w:tcW w:w="245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sz w:val="24"/>
                <w:szCs w:val="24"/>
              </w:rPr>
            </w:pPr>
            <w:r>
              <w:rPr>
                <w:rFonts w:eastAsia="Times New Roman" w:cs="Times New Roman" w:ascii="Times New Roman" w:hAnsi="Times New Roman"/>
                <w:kern w:val="0"/>
                <w:sz w:val="24"/>
                <w:szCs w:val="24"/>
                <w:lang w:val="ru-RU" w:eastAsia="ru-RU" w:bidi="ar-SA"/>
              </w:rPr>
              <w:t>1. Автоматизирован-ный тахеометр</w:t>
            </w:r>
          </w:p>
        </w:tc>
        <w:tc>
          <w:tcPr>
            <w:tcW w:w="13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en-US" w:eastAsia="ru-RU" w:bidi="ar-SA"/>
              </w:rPr>
              <w:t>Leica</w:t>
            </w:r>
            <w:r>
              <w:rPr>
                <w:rFonts w:eastAsia="Times New Roman" w:cs="Times New Roman" w:ascii="Times New Roman" w:hAnsi="Times New Roman"/>
                <w:kern w:val="0"/>
                <w:sz w:val="24"/>
                <w:szCs w:val="24"/>
                <w:lang w:val="ru-RU" w:eastAsia="ru-RU" w:bidi="ar-SA"/>
              </w:rPr>
              <w:t xml:space="preserve"> </w:t>
            </w:r>
            <w:r>
              <w:rPr>
                <w:rFonts w:eastAsia="Times New Roman" w:cs="Times New Roman" w:ascii="Times New Roman" w:hAnsi="Times New Roman"/>
                <w:kern w:val="0"/>
                <w:sz w:val="24"/>
                <w:szCs w:val="24"/>
                <w:lang w:val="en-US" w:eastAsia="ru-RU" w:bidi="ar-SA"/>
              </w:rPr>
              <w:t>TM</w:t>
            </w:r>
            <w:r>
              <w:rPr>
                <w:rFonts w:eastAsia="Times New Roman" w:cs="Times New Roman" w:ascii="Times New Roman" w:hAnsi="Times New Roman"/>
                <w:kern w:val="0"/>
                <w:sz w:val="24"/>
                <w:szCs w:val="24"/>
                <w:lang w:val="ru-RU" w:eastAsia="ru-RU" w:bidi="ar-SA"/>
              </w:rPr>
              <w:t xml:space="preserve"> 50 </w:t>
            </w:r>
            <w:r>
              <w:rPr>
                <w:rFonts w:eastAsia="Times New Roman" w:cs="Times New Roman" w:ascii="Times New Roman" w:hAnsi="Times New Roman"/>
                <w:kern w:val="0"/>
                <w:sz w:val="24"/>
                <w:szCs w:val="24"/>
                <w:lang w:val="en-US" w:eastAsia="ru-RU" w:bidi="ar-SA"/>
              </w:rPr>
              <w:t>I</w:t>
            </w:r>
            <w:r>
              <w:rPr>
                <w:rFonts w:eastAsia="Times New Roman" w:cs="Times New Roman" w:ascii="Times New Roman" w:hAnsi="Times New Roman"/>
                <w:kern w:val="0"/>
                <w:sz w:val="24"/>
                <w:szCs w:val="24"/>
                <w:lang w:val="ru-RU" w:eastAsia="ru-RU" w:bidi="ar-SA"/>
              </w:rPr>
              <w:t xml:space="preserve"> 0,5"</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4</w:t>
            </w:r>
          </w:p>
        </w:tc>
        <w:tc>
          <w:tcPr>
            <w:tcW w:w="38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sz w:val="24"/>
                <w:szCs w:val="24"/>
              </w:rPr>
            </w:pPr>
            <w:r>
              <w:rPr>
                <w:rFonts w:eastAsia="Times New Roman" w:cs="Times New Roman" w:ascii="Times New Roman" w:hAnsi="Times New Roman"/>
                <w:kern w:val="0"/>
                <w:sz w:val="24"/>
                <w:szCs w:val="24"/>
                <w:lang w:val="ru-RU" w:eastAsia="ru-RU" w:bidi="ar-SA"/>
              </w:rPr>
              <w:t>Устанавливаются на базовых станциях линейно-угловых измерений</w:t>
            </w:r>
          </w:p>
        </w:tc>
      </w:tr>
      <w:tr>
        <w:trPr>
          <w:trHeight w:val="397" w:hRule="atLeast"/>
        </w:trPr>
        <w:tc>
          <w:tcPr>
            <w:tcW w:w="24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3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Итого:</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4</w:t>
            </w:r>
          </w:p>
        </w:tc>
        <w:tc>
          <w:tcPr>
            <w:tcW w:w="38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sz w:val="24"/>
                <w:szCs w:val="24"/>
              </w:rPr>
            </w:pPr>
            <w:r>
              <w:rPr>
                <w:sz w:val="24"/>
                <w:szCs w:val="24"/>
              </w:rPr>
            </w:r>
          </w:p>
        </w:tc>
      </w:tr>
      <w:tr>
        <w:trPr>
          <w:trHeight w:val="976" w:hRule="atLeast"/>
        </w:trPr>
        <w:tc>
          <w:tcPr>
            <w:tcW w:w="245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sz w:val="24"/>
                <w:szCs w:val="24"/>
              </w:rPr>
            </w:pPr>
            <w:r>
              <w:rPr>
                <w:rFonts w:eastAsia="Times New Roman" w:cs="Times New Roman" w:ascii="Times New Roman" w:hAnsi="Times New Roman"/>
                <w:kern w:val="0"/>
                <w:sz w:val="24"/>
                <w:szCs w:val="24"/>
                <w:lang w:val="ru-RU" w:eastAsia="ru-RU" w:bidi="ar-SA"/>
              </w:rPr>
              <w:t xml:space="preserve">2. </w:t>
            </w:r>
            <w:bookmarkStart w:id="256" w:name="_Hlk210830220"/>
            <w:r>
              <w:rPr>
                <w:rFonts w:eastAsia="Times New Roman" w:cs="Times New Roman" w:ascii="Times New Roman" w:hAnsi="Times New Roman"/>
                <w:kern w:val="0"/>
                <w:sz w:val="24"/>
                <w:szCs w:val="24"/>
                <w:lang w:val="ru-RU" w:eastAsia="ru-RU" w:bidi="ar-SA"/>
              </w:rPr>
              <w:t>ГНСС-приёмник</w:t>
            </w:r>
            <w:bookmarkEnd w:id="256"/>
          </w:p>
        </w:tc>
        <w:tc>
          <w:tcPr>
            <w:tcW w:w="130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lang w:val="en-US"/>
              </w:rPr>
            </w:pPr>
            <w:r>
              <w:rPr>
                <w:rFonts w:eastAsia="Times New Roman" w:cs="Times New Roman" w:ascii="Times New Roman" w:hAnsi="Times New Roman"/>
                <w:kern w:val="0"/>
                <w:sz w:val="24"/>
                <w:szCs w:val="24"/>
                <w:lang w:val="en-US" w:eastAsia="ru-RU" w:bidi="ar-SA"/>
              </w:rPr>
              <w:t>Leica GR30</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4</w:t>
            </w:r>
          </w:p>
        </w:tc>
        <w:tc>
          <w:tcPr>
            <w:tcW w:w="38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sz w:val="24"/>
                <w:szCs w:val="24"/>
              </w:rPr>
            </w:pPr>
            <w:r>
              <w:rPr>
                <w:rFonts w:eastAsia="Times New Roman" w:cs="Times New Roman" w:ascii="Times New Roman" w:hAnsi="Times New Roman"/>
                <w:kern w:val="0"/>
                <w:sz w:val="24"/>
                <w:szCs w:val="24"/>
                <w:lang w:val="ru-RU" w:eastAsia="ru-RU" w:bidi="ar-SA"/>
              </w:rPr>
              <w:t>Устанавливаются на базовых станциях линейно-угловых измерений</w:t>
            </w:r>
          </w:p>
        </w:tc>
      </w:tr>
      <w:tr>
        <w:trPr>
          <w:trHeight w:val="705" w:hRule="atLeast"/>
        </w:trPr>
        <w:tc>
          <w:tcPr>
            <w:tcW w:w="24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3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5</w:t>
            </w:r>
          </w:p>
        </w:tc>
        <w:tc>
          <w:tcPr>
            <w:tcW w:w="38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sz w:val="24"/>
                <w:szCs w:val="24"/>
              </w:rPr>
            </w:pPr>
            <w:r>
              <w:rPr>
                <w:rFonts w:eastAsia="Times New Roman" w:cs="Times New Roman" w:ascii="Times New Roman" w:hAnsi="Times New Roman"/>
                <w:kern w:val="0"/>
                <w:sz w:val="24"/>
                <w:szCs w:val="24"/>
                <w:lang w:val="ru-RU" w:eastAsia="ru-RU" w:bidi="ar-SA"/>
              </w:rPr>
              <w:t>Устанавливаются на базовых станциях спутниковых измерений</w:t>
            </w:r>
          </w:p>
        </w:tc>
      </w:tr>
      <w:tr>
        <w:trPr>
          <w:trHeight w:val="397" w:hRule="atLeast"/>
        </w:trPr>
        <w:tc>
          <w:tcPr>
            <w:tcW w:w="24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3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Итого:</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lang w:val="en-US"/>
              </w:rPr>
            </w:pPr>
            <w:r>
              <w:rPr>
                <w:rFonts w:eastAsia="Times New Roman" w:cs="Times New Roman" w:ascii="Times New Roman" w:hAnsi="Times New Roman"/>
                <w:kern w:val="0"/>
                <w:sz w:val="24"/>
                <w:szCs w:val="24"/>
                <w:lang w:val="en-US" w:eastAsia="ru-RU" w:bidi="ar-SA"/>
              </w:rPr>
              <w:t>9</w:t>
            </w:r>
          </w:p>
        </w:tc>
        <w:tc>
          <w:tcPr>
            <w:tcW w:w="38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sz w:val="24"/>
                <w:szCs w:val="24"/>
              </w:rPr>
            </w:pPr>
            <w:r>
              <w:rPr>
                <w:sz w:val="24"/>
                <w:szCs w:val="24"/>
              </w:rPr>
            </w:r>
          </w:p>
        </w:tc>
      </w:tr>
      <w:tr>
        <w:trPr>
          <w:trHeight w:val="975" w:hRule="atLeast"/>
        </w:trPr>
        <w:tc>
          <w:tcPr>
            <w:tcW w:w="245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sz w:val="24"/>
                <w:szCs w:val="24"/>
              </w:rPr>
            </w:pPr>
            <w:r>
              <w:rPr>
                <w:rFonts w:eastAsia="Times New Roman" w:cs="Times New Roman" w:ascii="Times New Roman" w:hAnsi="Times New Roman"/>
                <w:kern w:val="0"/>
                <w:sz w:val="24"/>
                <w:szCs w:val="24"/>
                <w:lang w:val="ru-RU" w:eastAsia="ru-RU" w:bidi="ar-SA"/>
              </w:rPr>
              <w:t xml:space="preserve">3. </w:t>
            </w:r>
            <w:bookmarkStart w:id="257" w:name="_Hlk210830234"/>
            <w:r>
              <w:rPr>
                <w:rFonts w:eastAsia="Times New Roman" w:cs="Times New Roman" w:ascii="Times New Roman" w:hAnsi="Times New Roman"/>
                <w:kern w:val="0"/>
                <w:sz w:val="24"/>
                <w:szCs w:val="24"/>
                <w:lang w:val="ru-RU" w:eastAsia="ru-RU" w:bidi="ar-SA"/>
              </w:rPr>
              <w:t>ГНСС-антенна</w:t>
            </w:r>
            <w:bookmarkEnd w:id="257"/>
          </w:p>
        </w:tc>
        <w:tc>
          <w:tcPr>
            <w:tcW w:w="13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lang w:val="en-US"/>
              </w:rPr>
            </w:pPr>
            <w:r>
              <w:rPr>
                <w:rFonts w:eastAsia="Times New Roman" w:cs="Times New Roman" w:ascii="Times New Roman" w:hAnsi="Times New Roman"/>
                <w:kern w:val="0"/>
                <w:sz w:val="24"/>
                <w:szCs w:val="24"/>
                <w:lang w:val="en-US" w:eastAsia="ru-RU" w:bidi="ar-SA"/>
              </w:rPr>
              <w:t>Leica AR25</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lang w:val="en-US"/>
              </w:rPr>
            </w:pPr>
            <w:r>
              <w:rPr>
                <w:rFonts w:eastAsia="Times New Roman" w:cs="Times New Roman" w:ascii="Times New Roman" w:hAnsi="Times New Roman"/>
                <w:kern w:val="0"/>
                <w:sz w:val="24"/>
                <w:szCs w:val="24"/>
                <w:lang w:val="en-US" w:eastAsia="ru-RU" w:bidi="ar-SA"/>
              </w:rPr>
              <w:t>4</w:t>
            </w:r>
          </w:p>
        </w:tc>
        <w:tc>
          <w:tcPr>
            <w:tcW w:w="38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sz w:val="24"/>
                <w:szCs w:val="24"/>
              </w:rPr>
            </w:pPr>
            <w:r>
              <w:rPr>
                <w:rFonts w:eastAsia="Times New Roman" w:cs="Times New Roman" w:ascii="Times New Roman" w:hAnsi="Times New Roman"/>
                <w:kern w:val="0"/>
                <w:sz w:val="24"/>
                <w:szCs w:val="24"/>
                <w:lang w:val="ru-RU" w:eastAsia="ru-RU" w:bidi="ar-SA"/>
              </w:rPr>
              <w:t>Устанавливаются на базовых станциях линейно-угловых измерений</w:t>
            </w:r>
          </w:p>
        </w:tc>
      </w:tr>
      <w:tr>
        <w:trPr>
          <w:trHeight w:val="705" w:hRule="atLeast"/>
        </w:trPr>
        <w:tc>
          <w:tcPr>
            <w:tcW w:w="24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3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lang w:val="en-US"/>
              </w:rPr>
            </w:pPr>
            <w:r>
              <w:rPr>
                <w:rFonts w:eastAsia="Times New Roman" w:cs="Times New Roman" w:ascii="Times New Roman" w:hAnsi="Times New Roman"/>
                <w:kern w:val="0"/>
                <w:sz w:val="24"/>
                <w:szCs w:val="24"/>
                <w:lang w:val="en-US" w:eastAsia="ru-RU" w:bidi="ar-SA"/>
              </w:rPr>
              <w:t>Leica AR10</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lang w:val="en-US"/>
              </w:rPr>
            </w:pPr>
            <w:r>
              <w:rPr>
                <w:rFonts w:eastAsia="Times New Roman" w:cs="Times New Roman" w:ascii="Times New Roman" w:hAnsi="Times New Roman"/>
                <w:kern w:val="0"/>
                <w:sz w:val="24"/>
                <w:szCs w:val="24"/>
                <w:lang w:val="en-US" w:eastAsia="ru-RU" w:bidi="ar-SA"/>
              </w:rPr>
              <w:t>5</w:t>
            </w:r>
          </w:p>
        </w:tc>
        <w:tc>
          <w:tcPr>
            <w:tcW w:w="38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sz w:val="24"/>
                <w:szCs w:val="24"/>
              </w:rPr>
            </w:pPr>
            <w:r>
              <w:rPr>
                <w:rFonts w:eastAsia="Times New Roman" w:cs="Times New Roman" w:ascii="Times New Roman" w:hAnsi="Times New Roman"/>
                <w:kern w:val="0"/>
                <w:sz w:val="24"/>
                <w:szCs w:val="24"/>
                <w:lang w:val="ru-RU" w:eastAsia="ru-RU" w:bidi="ar-SA"/>
              </w:rPr>
              <w:t>Устанавливаются на базовых станциях спутниковых измерений</w:t>
            </w:r>
          </w:p>
        </w:tc>
      </w:tr>
      <w:tr>
        <w:trPr>
          <w:trHeight w:val="397" w:hRule="atLeast"/>
        </w:trPr>
        <w:tc>
          <w:tcPr>
            <w:tcW w:w="24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3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Итого:</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9</w:t>
            </w:r>
          </w:p>
        </w:tc>
        <w:tc>
          <w:tcPr>
            <w:tcW w:w="38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sz w:val="24"/>
                <w:szCs w:val="24"/>
              </w:rPr>
            </w:pPr>
            <w:r>
              <w:rPr>
                <w:sz w:val="24"/>
                <w:szCs w:val="24"/>
              </w:rPr>
            </w:r>
          </w:p>
        </w:tc>
      </w:tr>
      <w:tr>
        <w:trPr>
          <w:trHeight w:val="691" w:hRule="atLeast"/>
        </w:trPr>
        <w:tc>
          <w:tcPr>
            <w:tcW w:w="245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sz w:val="24"/>
                <w:szCs w:val="24"/>
              </w:rPr>
            </w:pPr>
            <w:r>
              <w:rPr>
                <w:rFonts w:eastAsia="Times New Roman" w:cs="Times New Roman" w:ascii="Times New Roman" w:hAnsi="Times New Roman"/>
                <w:kern w:val="0"/>
                <w:sz w:val="24"/>
                <w:szCs w:val="24"/>
                <w:lang w:val="ru-RU" w:eastAsia="ru-RU" w:bidi="ar-SA"/>
              </w:rPr>
              <w:t>4. Отражатель</w:t>
            </w:r>
          </w:p>
        </w:tc>
        <w:tc>
          <w:tcPr>
            <w:tcW w:w="13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lang w:val="en-US"/>
              </w:rPr>
            </w:pPr>
            <w:r>
              <w:rPr>
                <w:rFonts w:eastAsia="Times New Roman" w:cs="Times New Roman" w:ascii="Times New Roman" w:hAnsi="Times New Roman"/>
                <w:kern w:val="0"/>
                <w:sz w:val="24"/>
                <w:szCs w:val="24"/>
                <w:lang w:val="en-US" w:eastAsia="ru-RU" w:bidi="ar-SA"/>
              </w:rPr>
              <w:t>Leica GRZ122</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lang w:val="en-US"/>
              </w:rPr>
            </w:pPr>
            <w:r>
              <w:rPr>
                <w:rFonts w:eastAsia="Times New Roman" w:cs="Times New Roman" w:ascii="Times New Roman" w:hAnsi="Times New Roman"/>
                <w:kern w:val="0"/>
                <w:sz w:val="24"/>
                <w:szCs w:val="24"/>
                <w:lang w:val="en-US" w:eastAsia="ru-RU" w:bidi="ar-SA"/>
              </w:rPr>
              <w:t>9</w:t>
            </w:r>
          </w:p>
        </w:tc>
        <w:tc>
          <w:tcPr>
            <w:tcW w:w="38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sz w:val="24"/>
                <w:szCs w:val="24"/>
              </w:rPr>
            </w:pPr>
            <w:r>
              <w:rPr>
                <w:rFonts w:eastAsia="Times New Roman" w:cs="Times New Roman" w:ascii="Times New Roman" w:hAnsi="Times New Roman"/>
                <w:kern w:val="0"/>
                <w:sz w:val="24"/>
                <w:szCs w:val="24"/>
                <w:lang w:val="ru-RU" w:eastAsia="ru-RU" w:bidi="ar-SA"/>
              </w:rPr>
              <w:t>Устанавливается на базовых станциях</w:t>
            </w:r>
          </w:p>
        </w:tc>
      </w:tr>
      <w:tr>
        <w:trPr>
          <w:trHeight w:val="699" w:hRule="atLeast"/>
        </w:trPr>
        <w:tc>
          <w:tcPr>
            <w:tcW w:w="24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3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lang w:val="en-US"/>
              </w:rPr>
            </w:pPr>
            <w:r>
              <w:rPr>
                <w:rFonts w:eastAsia="Times New Roman" w:cs="Times New Roman" w:ascii="Times New Roman" w:hAnsi="Times New Roman"/>
                <w:kern w:val="0"/>
                <w:sz w:val="24"/>
                <w:szCs w:val="24"/>
                <w:lang w:val="en-US" w:eastAsia="ru-RU" w:bidi="ar-SA"/>
              </w:rPr>
              <w:t>Leica GRZ122</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89</w:t>
            </w:r>
          </w:p>
        </w:tc>
        <w:tc>
          <w:tcPr>
            <w:tcW w:w="38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sz w:val="24"/>
                <w:szCs w:val="24"/>
              </w:rPr>
            </w:pPr>
            <w:r>
              <w:rPr>
                <w:rFonts w:eastAsia="Times New Roman" w:cs="Times New Roman" w:ascii="Times New Roman" w:hAnsi="Times New Roman"/>
                <w:kern w:val="0"/>
                <w:sz w:val="24"/>
                <w:szCs w:val="24"/>
                <w:lang w:val="ru-RU" w:eastAsia="ru-RU" w:bidi="ar-SA"/>
              </w:rPr>
              <w:t>Устанавливается на мониторинговых знаках</w:t>
            </w:r>
          </w:p>
        </w:tc>
      </w:tr>
      <w:tr>
        <w:trPr>
          <w:trHeight w:val="397" w:hRule="atLeast"/>
        </w:trPr>
        <w:tc>
          <w:tcPr>
            <w:tcW w:w="24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3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Итого:</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98</w:t>
            </w:r>
          </w:p>
        </w:tc>
        <w:tc>
          <w:tcPr>
            <w:tcW w:w="38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sz w:val="24"/>
                <w:szCs w:val="24"/>
              </w:rPr>
            </w:pPr>
            <w:r>
              <w:rPr>
                <w:sz w:val="24"/>
                <w:szCs w:val="24"/>
              </w:rPr>
            </w:r>
          </w:p>
        </w:tc>
      </w:tr>
      <w:tr>
        <w:trPr>
          <w:trHeight w:val="981" w:hRule="atLeast"/>
        </w:trPr>
        <w:tc>
          <w:tcPr>
            <w:tcW w:w="245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sz w:val="24"/>
                <w:szCs w:val="24"/>
              </w:rPr>
            </w:pPr>
            <w:r>
              <w:rPr>
                <w:rFonts w:eastAsia="Times New Roman" w:cs="Times New Roman" w:ascii="Times New Roman" w:hAnsi="Times New Roman"/>
                <w:kern w:val="0"/>
                <w:sz w:val="24"/>
                <w:szCs w:val="24"/>
                <w:lang w:val="ru-RU" w:eastAsia="ru-RU" w:bidi="ar-SA"/>
              </w:rPr>
              <w:t xml:space="preserve">6. </w:t>
            </w:r>
            <w:bookmarkStart w:id="258" w:name="_Hlk210830254"/>
            <w:r>
              <w:rPr>
                <w:rFonts w:eastAsia="Times New Roman" w:cs="Times New Roman" w:ascii="Times New Roman" w:hAnsi="Times New Roman"/>
                <w:kern w:val="0"/>
                <w:sz w:val="24"/>
                <w:szCs w:val="24"/>
                <w:lang w:val="ru-RU" w:eastAsia="ru-RU" w:bidi="ar-SA"/>
              </w:rPr>
              <w:t>Метеостанци</w:t>
            </w:r>
            <w:bookmarkEnd w:id="258"/>
            <w:r>
              <w:rPr>
                <w:rFonts w:eastAsia="Times New Roman" w:cs="Times New Roman" w:ascii="Times New Roman" w:hAnsi="Times New Roman"/>
                <w:kern w:val="0"/>
                <w:sz w:val="24"/>
                <w:szCs w:val="24"/>
                <w:lang w:val="ru-RU" w:eastAsia="ru-RU" w:bidi="ar-SA"/>
              </w:rPr>
              <w:t>я</w:t>
            </w:r>
          </w:p>
        </w:tc>
        <w:tc>
          <w:tcPr>
            <w:tcW w:w="130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lang w:val="en-US"/>
              </w:rPr>
            </w:pPr>
            <w:r>
              <w:rPr>
                <w:rFonts w:eastAsia="Times New Roman" w:cs="Times New Roman" w:ascii="Times New Roman" w:hAnsi="Times New Roman"/>
                <w:kern w:val="0"/>
                <w:sz w:val="24"/>
                <w:szCs w:val="24"/>
                <w:lang w:val="en-US" w:eastAsia="ru-RU" w:bidi="ar-SA"/>
              </w:rPr>
              <w:t>Vaisala 534 WXT</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lang w:val="en-US"/>
              </w:rPr>
            </w:pPr>
            <w:r>
              <w:rPr>
                <w:rFonts w:eastAsia="Times New Roman" w:cs="Times New Roman" w:ascii="Times New Roman" w:hAnsi="Times New Roman"/>
                <w:kern w:val="0"/>
                <w:sz w:val="24"/>
                <w:szCs w:val="24"/>
                <w:lang w:val="en-US" w:eastAsia="ru-RU" w:bidi="ar-SA"/>
              </w:rPr>
              <w:t>4</w:t>
            </w:r>
          </w:p>
        </w:tc>
        <w:tc>
          <w:tcPr>
            <w:tcW w:w="38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sz w:val="24"/>
                <w:szCs w:val="24"/>
              </w:rPr>
            </w:pPr>
            <w:r>
              <w:rPr>
                <w:rFonts w:eastAsia="Times New Roman" w:cs="Times New Roman" w:ascii="Times New Roman" w:hAnsi="Times New Roman"/>
                <w:kern w:val="0"/>
                <w:sz w:val="24"/>
                <w:szCs w:val="24"/>
                <w:lang w:val="ru-RU" w:eastAsia="ru-RU" w:bidi="ar-SA"/>
              </w:rPr>
              <w:t>Устанавливаются на базовых станциях линейно-угловых измерений</w:t>
            </w:r>
          </w:p>
        </w:tc>
      </w:tr>
      <w:tr>
        <w:trPr>
          <w:trHeight w:val="567" w:hRule="atLeast"/>
        </w:trPr>
        <w:tc>
          <w:tcPr>
            <w:tcW w:w="24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3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lang w:val="en-US"/>
              </w:rPr>
            </w:pPr>
            <w:r>
              <w:rPr>
                <w:rFonts w:eastAsia="Times New Roman" w:cs="Times New Roman" w:ascii="Times New Roman" w:hAnsi="Times New Roman"/>
                <w:kern w:val="0"/>
                <w:sz w:val="24"/>
                <w:szCs w:val="24"/>
                <w:lang w:val="en-US" w:eastAsia="ru-RU" w:bidi="ar-SA"/>
              </w:rPr>
              <w:t>1</w:t>
            </w:r>
          </w:p>
        </w:tc>
        <w:tc>
          <w:tcPr>
            <w:tcW w:w="38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sz w:val="24"/>
                <w:szCs w:val="24"/>
              </w:rPr>
            </w:pPr>
            <w:r>
              <w:rPr>
                <w:rFonts w:eastAsia="Times New Roman" w:cs="Times New Roman" w:ascii="Times New Roman" w:hAnsi="Times New Roman"/>
                <w:kern w:val="0"/>
                <w:sz w:val="24"/>
                <w:szCs w:val="24"/>
                <w:lang w:val="ru-RU" w:eastAsia="ru-RU" w:bidi="ar-SA"/>
              </w:rPr>
              <w:t>Устанавливается на здании ГАЭС</w:t>
            </w:r>
          </w:p>
        </w:tc>
      </w:tr>
      <w:tr>
        <w:trPr>
          <w:trHeight w:val="691" w:hRule="atLeast"/>
        </w:trPr>
        <w:tc>
          <w:tcPr>
            <w:tcW w:w="24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3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lang w:val="en-US"/>
              </w:rPr>
            </w:pPr>
            <w:r>
              <w:rPr>
                <w:rFonts w:eastAsia="Times New Roman" w:cs="Times New Roman" w:ascii="Times New Roman" w:hAnsi="Times New Roman"/>
                <w:kern w:val="0"/>
                <w:sz w:val="24"/>
                <w:szCs w:val="24"/>
                <w:lang w:val="en-US" w:eastAsia="ru-RU" w:bidi="ar-SA"/>
              </w:rPr>
              <w:t>Leica PAA-33X</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en-US" w:eastAsia="ru-RU" w:bidi="ar-SA"/>
              </w:rPr>
              <w:t>5</w:t>
            </w:r>
          </w:p>
        </w:tc>
        <w:tc>
          <w:tcPr>
            <w:tcW w:w="38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sz w:val="24"/>
                <w:szCs w:val="24"/>
              </w:rPr>
            </w:pPr>
            <w:r>
              <w:rPr>
                <w:rFonts w:eastAsia="Times New Roman" w:cs="Times New Roman" w:ascii="Times New Roman" w:hAnsi="Times New Roman"/>
                <w:kern w:val="0"/>
                <w:sz w:val="24"/>
                <w:szCs w:val="24"/>
                <w:lang w:val="ru-RU" w:eastAsia="ru-RU" w:bidi="ar-SA"/>
              </w:rPr>
              <w:t>Устанавливаются на базовых станциях спутниковых измерений</w:t>
            </w:r>
          </w:p>
        </w:tc>
      </w:tr>
      <w:tr>
        <w:trPr>
          <w:trHeight w:val="397" w:hRule="atLeast"/>
        </w:trPr>
        <w:tc>
          <w:tcPr>
            <w:tcW w:w="3755"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right"/>
              <w:rPr>
                <w:sz w:val="24"/>
                <w:szCs w:val="24"/>
              </w:rPr>
            </w:pPr>
            <w:r>
              <w:rPr>
                <w:rFonts w:eastAsia="Times New Roman" w:cs="Times New Roman" w:ascii="Times New Roman" w:hAnsi="Times New Roman"/>
                <w:kern w:val="0"/>
                <w:sz w:val="24"/>
                <w:szCs w:val="24"/>
                <w:lang w:val="ru-RU" w:eastAsia="ru-RU" w:bidi="ar-SA"/>
              </w:rPr>
              <w:t>Итого:</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10</w:t>
            </w:r>
          </w:p>
        </w:tc>
        <w:tc>
          <w:tcPr>
            <w:tcW w:w="38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sz w:val="24"/>
                <w:szCs w:val="24"/>
              </w:rPr>
            </w:pPr>
            <w:r>
              <w:rPr>
                <w:sz w:val="24"/>
                <w:szCs w:val="24"/>
              </w:rPr>
            </w:r>
          </w:p>
        </w:tc>
      </w:tr>
      <w:tr>
        <w:trPr>
          <w:trHeight w:val="397" w:hRule="atLeast"/>
        </w:trPr>
        <w:tc>
          <w:tcPr>
            <w:tcW w:w="3755"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right"/>
              <w:rPr>
                <w:sz w:val="24"/>
                <w:szCs w:val="24"/>
              </w:rPr>
            </w:pPr>
            <w:r>
              <w:rPr>
                <w:rFonts w:eastAsia="Times New Roman" w:cs="Times New Roman" w:ascii="Times New Roman" w:hAnsi="Times New Roman"/>
                <w:kern w:val="0"/>
                <w:sz w:val="24"/>
                <w:szCs w:val="24"/>
                <w:lang w:val="ru-RU" w:eastAsia="ru-RU" w:bidi="ar-SA"/>
              </w:rPr>
              <w:t>Общее количество КИА:</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sz w:val="24"/>
                <w:szCs w:val="24"/>
              </w:rPr>
            </w:pPr>
            <w:r>
              <w:rPr>
                <w:rFonts w:eastAsia="Times New Roman" w:cs="Times New Roman" w:ascii="Times New Roman" w:hAnsi="Times New Roman"/>
                <w:kern w:val="0"/>
                <w:sz w:val="24"/>
                <w:szCs w:val="24"/>
                <w:lang w:val="ru-RU" w:eastAsia="ru-RU" w:bidi="ar-SA"/>
              </w:rPr>
              <w:t>130</w:t>
            </w:r>
          </w:p>
        </w:tc>
        <w:tc>
          <w:tcPr>
            <w:tcW w:w="38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sz w:val="24"/>
                <w:szCs w:val="24"/>
              </w:rPr>
            </w:pPr>
            <w:r>
              <w:rPr>
                <w:sz w:val="24"/>
                <w:szCs w:val="24"/>
              </w:rPr>
            </w:r>
          </w:p>
        </w:tc>
      </w:tr>
    </w:tbl>
    <w:p>
      <w:pPr>
        <w:sectPr>
          <w:headerReference w:type="default" r:id="rId95"/>
          <w:headerReference w:type="first" r:id="rId96"/>
          <w:footerReference w:type="default" r:id="rId97"/>
          <w:footerReference w:type="first" r:id="rId98"/>
          <w:type w:val="nextPage"/>
          <w:pgSz w:w="11906" w:h="16838"/>
          <w:pgMar w:left="1701" w:right="1134" w:gutter="0" w:header="397" w:top="1134" w:footer="2" w:bottom="1035"/>
          <w:pgNumType w:fmt="decimal"/>
          <w:formProt w:val="false"/>
          <w:textDirection w:val="lrTb"/>
          <w:docGrid w:type="default" w:linePitch="360" w:charSpace="4096"/>
        </w:sectPr>
      </w:pPr>
    </w:p>
    <w:p>
      <w:pPr>
        <w:pStyle w:val="Heading1"/>
        <w:numPr>
          <w:ilvl w:val="0"/>
        </w:numPr>
        <w:spacing w:lineRule="auto" w:line="240" w:before="0" w:after="120"/>
        <w:ind w:left="0" w:right="0" w:hanging="0"/>
        <w:jc w:val="center"/>
        <w:rPr>
          <w:rFonts w:ascii="Times New Roman" w:hAnsi="Times New Roman" w:eastAsia="Times New Roman" w:cs="Times New Roman"/>
          <w:szCs w:val="32"/>
          <w:lang w:eastAsia="ru-RU"/>
        </w:rPr>
      </w:pPr>
      <w:bookmarkStart w:id="259" w:name="__RefHeading___Toc40024_2889022187"/>
      <w:bookmarkStart w:id="260" w:name="_Toc215650249"/>
      <w:bookmarkEnd w:id="259"/>
      <w:r>
        <w:rPr>
          <w:rFonts w:cs="Times New Roman" w:ascii="Times New Roman" w:hAnsi="Times New Roman"/>
          <w:szCs w:val="32"/>
        </w:rPr>
        <w:t xml:space="preserve">Приложение Б. </w:t>
      </w:r>
      <w:r>
        <w:rPr>
          <w:rFonts w:eastAsia="Times New Roman" w:cs="Times New Roman" w:ascii="Times New Roman" w:hAnsi="Times New Roman"/>
          <w:szCs w:val="32"/>
          <w:lang w:eastAsia="ru-RU"/>
        </w:rPr>
        <w:t>Периодичность проведения натурных наблюдений за показателями состояния контролируемых гидротехнических сооружений</w:t>
      </w:r>
      <w:bookmarkEnd w:id="260"/>
    </w:p>
    <w:p>
      <w:pPr>
        <w:pStyle w:val="Normal"/>
        <w:spacing w:lineRule="auto" w:line="240"/>
        <w:ind w:left="0" w:right="0" w:hanging="0"/>
        <w:rPr>
          <w:rFonts w:ascii="Times New Roman" w:hAnsi="Times New Roman"/>
          <w:sz w:val="24"/>
        </w:rPr>
      </w:pPr>
      <w:r>
        <w:rPr>
          <w:rFonts w:ascii="Times New Roman" w:hAnsi="Times New Roman"/>
          <w:sz w:val="24"/>
        </w:rPr>
        <w:t>Таблица Б.1 – Периодичность проведения натурных наблюдений в строительный период за состоянием дамбы верхнего бассейна, водоприёмника, напорных водоводов, склона расположения напорных водоводов Загорской ГАЭС-2</w:t>
      </w:r>
    </w:p>
    <w:tbl>
      <w:tblPr>
        <w:tblW w:w="5000" w:type="pct"/>
        <w:jc w:val="right"/>
        <w:tblInd w:w="0" w:type="dxa"/>
        <w:tblLayout w:type="fixed"/>
        <w:tblCellMar>
          <w:top w:w="0" w:type="dxa"/>
          <w:left w:w="108" w:type="dxa"/>
          <w:bottom w:w="0" w:type="dxa"/>
          <w:right w:w="108" w:type="dxa"/>
        </w:tblCellMar>
      </w:tblPr>
      <w:tblGrid>
        <w:gridCol w:w="2277"/>
        <w:gridCol w:w="5443"/>
        <w:gridCol w:w="1629"/>
        <w:gridCol w:w="1743"/>
        <w:gridCol w:w="1930"/>
        <w:gridCol w:w="1217"/>
        <w:gridCol w:w="1624"/>
        <w:gridCol w:w="1513"/>
        <w:gridCol w:w="1805"/>
        <w:gridCol w:w="1398"/>
        <w:gridCol w:w="961"/>
      </w:tblGrid>
      <w:tr>
        <w:trPr>
          <w:trHeight w:val="646" w:hRule="atLeast"/>
        </w:trPr>
        <w:tc>
          <w:tcPr>
            <w:tcW w:w="227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Наименование работ</w:t>
            </w:r>
          </w:p>
        </w:tc>
        <w:tc>
          <w:tcPr>
            <w:tcW w:w="707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Наименование КИА</w:t>
            </w:r>
          </w:p>
        </w:tc>
        <w:tc>
          <w:tcPr>
            <w:tcW w:w="174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ДВБ и задамбовая территория</w:t>
            </w:r>
          </w:p>
        </w:tc>
        <w:tc>
          <w:tcPr>
            <w:tcW w:w="1930" w:type="dxa"/>
            <w:vMerge w:val="restart"/>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Водоприемник</w:t>
            </w:r>
          </w:p>
        </w:tc>
        <w:tc>
          <w:tcPr>
            <w:tcW w:w="1217" w:type="dxa"/>
            <w:vMerge w:val="restart"/>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Понур</w:t>
            </w:r>
          </w:p>
        </w:tc>
        <w:tc>
          <w:tcPr>
            <w:tcW w:w="162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Подпорные стены</w:t>
              <w:br/>
              <w:t>ЛВ и ПВ</w:t>
            </w:r>
          </w:p>
        </w:tc>
        <w:tc>
          <w:tcPr>
            <w:tcW w:w="151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Подпорные стены</w:t>
              <w:br/>
              <w:t>ЛН и ПН</w:t>
            </w:r>
          </w:p>
        </w:tc>
        <w:tc>
          <w:tcPr>
            <w:tcW w:w="180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Подпорные стены</w:t>
              <w:br/>
              <w:t>ЛС и ПС</w:t>
            </w:r>
          </w:p>
        </w:tc>
        <w:tc>
          <w:tcPr>
            <w:tcW w:w="139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Напорные водоводы</w:t>
            </w:r>
          </w:p>
        </w:tc>
        <w:tc>
          <w:tcPr>
            <w:tcW w:w="96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Склон вдоль напорных водоводов</w:t>
            </w:r>
          </w:p>
        </w:tc>
      </w:tr>
      <w:tr>
        <w:trPr>
          <w:trHeight w:val="823" w:hRule="atLeast"/>
        </w:trPr>
        <w:tc>
          <w:tcPr>
            <w:tcW w:w="2277" w:type="dxa"/>
            <w:vMerge w:val="continue"/>
            <w:tcBorders>
              <w:left w:val="single" w:sz="4" w:space="0" w:color="000000"/>
              <w:bottom w:val="single" w:sz="4" w:space="0" w:color="000000"/>
              <w:right w:val="single" w:sz="4" w:space="0" w:color="000000"/>
            </w:tcBorders>
            <w:vAlign w:val="center"/>
          </w:tcPr>
          <w:p>
            <w:pPr>
              <w:pStyle w:val="Normal"/>
              <w:widowControl w:val="false"/>
              <w:rPr/>
            </w:pPr>
            <w:r>
              <w:rPr/>
            </w:r>
          </w:p>
        </w:tc>
        <w:tc>
          <w:tcPr>
            <w:tcW w:w="54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полное</w:t>
            </w:r>
          </w:p>
        </w:tc>
        <w:tc>
          <w:tcPr>
            <w:tcW w:w="16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сокращённое</w:t>
            </w:r>
          </w:p>
        </w:tc>
        <w:tc>
          <w:tcPr>
            <w:tcW w:w="1743" w:type="dxa"/>
            <w:vMerge w:val="continue"/>
            <w:tcBorders>
              <w:left w:val="single" w:sz="4" w:space="0" w:color="000000"/>
              <w:bottom w:val="single" w:sz="4" w:space="0" w:color="000000"/>
              <w:right w:val="single" w:sz="4" w:space="0" w:color="000000"/>
            </w:tcBorders>
            <w:vAlign w:val="center"/>
          </w:tcPr>
          <w:p>
            <w:pPr>
              <w:pStyle w:val="Normal"/>
              <w:widowControl w:val="false"/>
              <w:rPr/>
            </w:pPr>
            <w:r>
              <w:rPr/>
            </w:r>
          </w:p>
        </w:tc>
        <w:tc>
          <w:tcPr>
            <w:tcW w:w="1930" w:type="dxa"/>
            <w:vMerge w:val="continue"/>
            <w:tcBorders>
              <w:bottom w:val="single" w:sz="4" w:space="0" w:color="000000"/>
              <w:right w:val="single" w:sz="4" w:space="0" w:color="000000"/>
            </w:tcBorders>
            <w:vAlign w:val="center"/>
          </w:tcPr>
          <w:p>
            <w:pPr>
              <w:pStyle w:val="Normal"/>
              <w:widowControl w:val="false"/>
              <w:rPr/>
            </w:pPr>
            <w:r>
              <w:rPr/>
            </w:r>
          </w:p>
        </w:tc>
        <w:tc>
          <w:tcPr>
            <w:tcW w:w="1217" w:type="dxa"/>
            <w:vMerge w:val="continue"/>
            <w:tcBorders>
              <w:bottom w:val="single" w:sz="4" w:space="0" w:color="000000"/>
              <w:right w:val="single" w:sz="4" w:space="0" w:color="000000"/>
            </w:tcBorders>
            <w:vAlign w:val="center"/>
          </w:tcPr>
          <w:p>
            <w:pPr>
              <w:pStyle w:val="Normal"/>
              <w:widowControl w:val="false"/>
              <w:rPr/>
            </w:pPr>
            <w:r>
              <w:rPr/>
            </w:r>
          </w:p>
        </w:tc>
        <w:tc>
          <w:tcPr>
            <w:tcW w:w="1624" w:type="dxa"/>
            <w:vMerge w:val="continue"/>
            <w:tcBorders>
              <w:left w:val="single" w:sz="4" w:space="0" w:color="000000"/>
              <w:bottom w:val="single" w:sz="4" w:space="0" w:color="000000"/>
              <w:right w:val="single" w:sz="4" w:space="0" w:color="000000"/>
            </w:tcBorders>
            <w:vAlign w:val="center"/>
          </w:tcPr>
          <w:p>
            <w:pPr>
              <w:pStyle w:val="Normal"/>
              <w:widowControl w:val="false"/>
              <w:rPr/>
            </w:pPr>
            <w:r>
              <w:rPr/>
            </w:r>
          </w:p>
        </w:tc>
        <w:tc>
          <w:tcPr>
            <w:tcW w:w="1513" w:type="dxa"/>
            <w:vMerge w:val="continue"/>
            <w:tcBorders>
              <w:left w:val="single" w:sz="4" w:space="0" w:color="000000"/>
              <w:bottom w:val="single" w:sz="4" w:space="0" w:color="000000"/>
              <w:right w:val="single" w:sz="4" w:space="0" w:color="000000"/>
            </w:tcBorders>
            <w:vAlign w:val="center"/>
          </w:tcPr>
          <w:p>
            <w:pPr>
              <w:pStyle w:val="Normal"/>
              <w:widowControl w:val="false"/>
              <w:rPr/>
            </w:pPr>
            <w:r>
              <w:rPr/>
            </w:r>
          </w:p>
        </w:tc>
        <w:tc>
          <w:tcPr>
            <w:tcW w:w="1805" w:type="dxa"/>
            <w:vMerge w:val="continue"/>
            <w:tcBorders>
              <w:left w:val="single" w:sz="4" w:space="0" w:color="000000"/>
              <w:bottom w:val="single" w:sz="4" w:space="0" w:color="000000"/>
              <w:right w:val="single" w:sz="4" w:space="0" w:color="000000"/>
            </w:tcBorders>
            <w:vAlign w:val="center"/>
          </w:tcPr>
          <w:p>
            <w:pPr>
              <w:pStyle w:val="Normal"/>
              <w:widowControl w:val="false"/>
              <w:rPr/>
            </w:pPr>
            <w:r>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6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12" w:hRule="atLeast"/>
        </w:trPr>
        <w:tc>
          <w:tcPr>
            <w:tcW w:w="2277" w:type="dxa"/>
            <w:tcBorders>
              <w:top w:val="single" w:sz="4" w:space="0" w:color="000000"/>
              <w:left w:val="single" w:sz="4" w:space="0" w:color="000000"/>
              <w:right w:val="single" w:sz="4" w:space="0" w:color="000000"/>
            </w:tcBorders>
            <w:vAlign w:val="center"/>
          </w:tcPr>
          <w:p>
            <w:pPr>
              <w:pStyle w:val="Normal"/>
              <w:widowControl w:val="false"/>
              <w:numPr>
                <w:ilvl w:val="0"/>
                <w:numId w:val="10"/>
              </w:numPr>
              <w:spacing w:lineRule="auto" w:line="240"/>
              <w:ind w:left="0" w:right="0" w:hanging="0"/>
              <w:jc w:val="left"/>
              <w:rPr>
                <w:rFonts w:ascii="Times New Roman" w:hAnsi="Times New Roman" w:cs="Times New Roman"/>
                <w:color w:val="000000"/>
                <w:sz w:val="24"/>
                <w:szCs w:val="24"/>
              </w:rPr>
            </w:pPr>
            <w:r>
              <w:rPr>
                <w:rFonts w:cs="Times New Roman" w:ascii="Times New Roman" w:hAnsi="Times New Roman"/>
                <w:color w:val="000000"/>
                <w:sz w:val="24"/>
                <w:szCs w:val="24"/>
              </w:rPr>
              <w:t>Проведение визуальных наблюдений</w:t>
            </w:r>
          </w:p>
        </w:tc>
        <w:tc>
          <w:tcPr>
            <w:tcW w:w="5443" w:type="dxa"/>
            <w:tcBorders>
              <w:top w:val="single" w:sz="4" w:space="0" w:color="000000"/>
              <w:left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629" w:type="dxa"/>
            <w:tcBorders>
              <w:top w:val="single" w:sz="4" w:space="0" w:color="000000"/>
              <w:left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743" w:type="dxa"/>
            <w:tcBorders>
              <w:top w:val="single" w:sz="4" w:space="0" w:color="000000"/>
              <w:left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1 раз в месяц</w:t>
            </w:r>
          </w:p>
        </w:tc>
        <w:tc>
          <w:tcPr>
            <w:tcW w:w="1930" w:type="dxa"/>
            <w:tcBorders>
              <w:top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1 раз в неделю</w:t>
            </w:r>
          </w:p>
        </w:tc>
        <w:tc>
          <w:tcPr>
            <w:tcW w:w="1217"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1 раз в месяц (мокрая потерна)</w:t>
            </w:r>
          </w:p>
        </w:tc>
        <w:tc>
          <w:tcPr>
            <w:tcW w:w="16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1 раз в месяц (мокрая потерна)</w:t>
            </w:r>
          </w:p>
        </w:tc>
        <w:tc>
          <w:tcPr>
            <w:tcW w:w="15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1 раз в неделю</w:t>
            </w:r>
          </w:p>
        </w:tc>
        <w:tc>
          <w:tcPr>
            <w:tcW w:w="18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2 раза в месяц</w:t>
            </w:r>
          </w:p>
        </w:tc>
        <w:tc>
          <w:tcPr>
            <w:tcW w:w="13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2 раза в месяц</w:t>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2 раза в месяц</w:t>
            </w:r>
          </w:p>
        </w:tc>
      </w:tr>
      <w:tr>
        <w:trPr>
          <w:trHeight w:val="112" w:hRule="atLeast"/>
        </w:trPr>
        <w:tc>
          <w:tcPr>
            <w:tcW w:w="2277" w:type="dxa"/>
            <w:vMerge w:val="restart"/>
            <w:tcBorders>
              <w:top w:val="single" w:sz="4" w:space="0" w:color="000000"/>
              <w:left w:val="single" w:sz="4" w:space="0" w:color="000000"/>
              <w:right w:val="single" w:sz="4" w:space="0" w:color="000000"/>
            </w:tcBorders>
            <w:vAlign w:val="center"/>
          </w:tcPr>
          <w:p>
            <w:pPr>
              <w:pStyle w:val="Normal"/>
              <w:widowControl w:val="false"/>
              <w:numPr>
                <w:ilvl w:val="0"/>
                <w:numId w:val="10"/>
              </w:numPr>
              <w:spacing w:lineRule="auto" w:line="240"/>
              <w:ind w:left="0" w:right="0" w:hanging="0"/>
              <w:jc w:val="left"/>
              <w:rPr>
                <w:rFonts w:ascii="Times New Roman" w:hAnsi="Times New Roman" w:cs="Times New Roman"/>
                <w:color w:val="000000"/>
                <w:sz w:val="24"/>
                <w:szCs w:val="24"/>
              </w:rPr>
            </w:pPr>
            <w:r>
              <w:rPr>
                <w:rFonts w:cs="Times New Roman" w:ascii="Times New Roman" w:hAnsi="Times New Roman"/>
                <w:color w:val="000000"/>
                <w:sz w:val="24"/>
                <w:szCs w:val="24"/>
              </w:rPr>
              <w:t>Проведение наблюдений по дистанционной КИА</w:t>
            </w:r>
          </w:p>
        </w:tc>
        <w:tc>
          <w:tcPr>
            <w:tcW w:w="5443" w:type="dxa"/>
            <w:tcBorders>
              <w:top w:val="single" w:sz="4" w:space="0" w:color="000000"/>
              <w:left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color w:val="000000"/>
                <w:sz w:val="24"/>
                <w:szCs w:val="24"/>
              </w:rPr>
            </w:pPr>
            <w:r>
              <w:rPr>
                <w:rFonts w:cs="Times New Roman" w:ascii="Times New Roman" w:hAnsi="Times New Roman"/>
                <w:color w:val="000000"/>
                <w:sz w:val="24"/>
                <w:szCs w:val="24"/>
              </w:rPr>
              <w:t>Преобразователь давления струнный</w:t>
            </w:r>
          </w:p>
        </w:tc>
        <w:tc>
          <w:tcPr>
            <w:tcW w:w="1629" w:type="dxa"/>
            <w:tcBorders>
              <w:top w:val="single" w:sz="4" w:space="0" w:color="000000"/>
              <w:left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ПДС</w:t>
            </w:r>
          </w:p>
        </w:tc>
        <w:tc>
          <w:tcPr>
            <w:tcW w:w="1743" w:type="dxa"/>
            <w:vMerge w:val="restart"/>
            <w:tcBorders>
              <w:top w:val="single" w:sz="4" w:space="0" w:color="000000"/>
              <w:left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1 раз в месяц</w:t>
            </w:r>
          </w:p>
        </w:tc>
        <w:tc>
          <w:tcPr>
            <w:tcW w:w="1930" w:type="dxa"/>
            <w:vMerge w:val="restart"/>
            <w:tcBorders>
              <w:top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1 раз в неделю</w:t>
            </w:r>
          </w:p>
        </w:tc>
        <w:tc>
          <w:tcPr>
            <w:tcW w:w="1217" w:type="dxa"/>
            <w:vMerge w:val="restart"/>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1 раз в неделю</w:t>
            </w:r>
          </w:p>
        </w:tc>
        <w:tc>
          <w:tcPr>
            <w:tcW w:w="162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1 раз в неделю</w:t>
            </w:r>
          </w:p>
        </w:tc>
        <w:tc>
          <w:tcPr>
            <w:tcW w:w="151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1 раз в неделю</w:t>
            </w:r>
          </w:p>
        </w:tc>
        <w:tc>
          <w:tcPr>
            <w:tcW w:w="180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2 раза в месяц</w:t>
            </w:r>
          </w:p>
        </w:tc>
        <w:tc>
          <w:tcPr>
            <w:tcW w:w="139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2 раза в месяц</w:t>
            </w:r>
          </w:p>
        </w:tc>
        <w:tc>
          <w:tcPr>
            <w:tcW w:w="96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r>
      <w:tr>
        <w:trPr>
          <w:trHeight w:val="300" w:hRule="atLeast"/>
        </w:trPr>
        <w:tc>
          <w:tcPr>
            <w:tcW w:w="2277" w:type="dxa"/>
            <w:vMerge w:val="continue"/>
            <w:tcBorders>
              <w:top w:val="single" w:sz="4" w:space="0" w:color="000000"/>
              <w:left w:val="single" w:sz="4" w:space="0" w:color="000000"/>
              <w:right w:val="single" w:sz="4" w:space="0" w:color="000000"/>
            </w:tcBorders>
          </w:tcPr>
          <w:p>
            <w:pPr>
              <w:pStyle w:val="Normal"/>
              <w:widowControl w:val="false"/>
              <w:rPr/>
            </w:pPr>
            <w:r>
              <w:rPr/>
            </w:r>
          </w:p>
        </w:tc>
        <w:tc>
          <w:tcPr>
            <w:tcW w:w="54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color w:val="000000"/>
                <w:sz w:val="24"/>
                <w:szCs w:val="24"/>
              </w:rPr>
            </w:pPr>
            <w:r>
              <w:rPr>
                <w:rFonts w:cs="Times New Roman" w:ascii="Times New Roman" w:hAnsi="Times New Roman"/>
                <w:color w:val="000000"/>
                <w:sz w:val="24"/>
                <w:szCs w:val="24"/>
              </w:rPr>
              <w:t>Преобразователь температуры струнный</w:t>
            </w:r>
          </w:p>
        </w:tc>
        <w:tc>
          <w:tcPr>
            <w:tcW w:w="16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ПТС</w:t>
            </w:r>
          </w:p>
        </w:tc>
        <w:tc>
          <w:tcPr>
            <w:tcW w:w="1743" w:type="dxa"/>
            <w:vMerge w:val="continue"/>
            <w:tcBorders>
              <w:left w:val="single" w:sz="4" w:space="0" w:color="000000"/>
              <w:right w:val="single" w:sz="4" w:space="0" w:color="000000"/>
            </w:tcBorders>
            <w:vAlign w:val="center"/>
          </w:tcPr>
          <w:p>
            <w:pPr>
              <w:pStyle w:val="Normal"/>
              <w:widowControl w:val="false"/>
              <w:rPr/>
            </w:pPr>
            <w:r>
              <w:rPr/>
            </w:r>
          </w:p>
        </w:tc>
        <w:tc>
          <w:tcPr>
            <w:tcW w:w="1930" w:type="dxa"/>
            <w:vMerge w:val="continue"/>
            <w:tcBorders>
              <w:right w:val="single" w:sz="4" w:space="0" w:color="000000"/>
            </w:tcBorders>
            <w:vAlign w:val="center"/>
          </w:tcPr>
          <w:p>
            <w:pPr>
              <w:pStyle w:val="Normal"/>
              <w:widowControl w:val="false"/>
              <w:rPr/>
            </w:pPr>
            <w:r>
              <w:rPr/>
            </w:r>
          </w:p>
        </w:tc>
        <w:tc>
          <w:tcPr>
            <w:tcW w:w="1217" w:type="dxa"/>
            <w:vMerge w:val="continue"/>
            <w:tcBorders>
              <w:right w:val="single" w:sz="4" w:space="0" w:color="000000"/>
            </w:tcBorders>
            <w:vAlign w:val="center"/>
          </w:tcPr>
          <w:p>
            <w:pPr>
              <w:pStyle w:val="Normal"/>
              <w:widowControl w:val="false"/>
              <w:rPr/>
            </w:pPr>
            <w:r>
              <w:rPr/>
            </w:r>
          </w:p>
        </w:tc>
        <w:tc>
          <w:tcPr>
            <w:tcW w:w="1624" w:type="dxa"/>
            <w:vMerge w:val="continue"/>
            <w:tcBorders>
              <w:left w:val="single" w:sz="4" w:space="0" w:color="000000"/>
              <w:right w:val="single" w:sz="4" w:space="0" w:color="000000"/>
            </w:tcBorders>
            <w:vAlign w:val="center"/>
          </w:tcPr>
          <w:p>
            <w:pPr>
              <w:pStyle w:val="Normal"/>
              <w:widowControl w:val="false"/>
              <w:rPr/>
            </w:pPr>
            <w:r>
              <w:rPr/>
            </w:r>
          </w:p>
        </w:tc>
        <w:tc>
          <w:tcPr>
            <w:tcW w:w="1513" w:type="dxa"/>
            <w:vMerge w:val="continue"/>
            <w:tcBorders>
              <w:left w:val="single" w:sz="4" w:space="0" w:color="000000"/>
              <w:right w:val="single" w:sz="4" w:space="0" w:color="000000"/>
            </w:tcBorders>
            <w:vAlign w:val="center"/>
          </w:tcPr>
          <w:p>
            <w:pPr>
              <w:pStyle w:val="Normal"/>
              <w:widowControl w:val="false"/>
              <w:rPr/>
            </w:pPr>
            <w:r>
              <w:rPr/>
            </w:r>
          </w:p>
        </w:tc>
        <w:tc>
          <w:tcPr>
            <w:tcW w:w="1805" w:type="dxa"/>
            <w:vMerge w:val="continue"/>
            <w:tcBorders>
              <w:left w:val="single" w:sz="4" w:space="0" w:color="000000"/>
              <w:right w:val="single" w:sz="4" w:space="0" w:color="000000"/>
            </w:tcBorders>
            <w:vAlign w:val="center"/>
          </w:tcPr>
          <w:p>
            <w:pPr>
              <w:pStyle w:val="Normal"/>
              <w:widowControl w:val="false"/>
              <w:rPr/>
            </w:pPr>
            <w:r>
              <w:rPr/>
            </w:r>
          </w:p>
        </w:tc>
        <w:tc>
          <w:tcPr>
            <w:tcW w:w="1398" w:type="dxa"/>
            <w:vMerge w:val="continue"/>
            <w:tcBorders>
              <w:left w:val="single" w:sz="4" w:space="0" w:color="000000"/>
              <w:right w:val="single" w:sz="4" w:space="0" w:color="000000"/>
            </w:tcBorders>
            <w:vAlign w:val="center"/>
          </w:tcPr>
          <w:p>
            <w:pPr>
              <w:pStyle w:val="Normal"/>
              <w:widowControl w:val="false"/>
              <w:rPr/>
            </w:pPr>
            <w:r>
              <w:rPr/>
            </w:r>
          </w:p>
        </w:tc>
        <w:tc>
          <w:tcPr>
            <w:tcW w:w="961" w:type="dxa"/>
            <w:vMerge w:val="continue"/>
            <w:tcBorders>
              <w:left w:val="single" w:sz="4" w:space="0" w:color="000000"/>
              <w:right w:val="single" w:sz="4" w:space="0" w:color="000000"/>
            </w:tcBorders>
            <w:vAlign w:val="center"/>
          </w:tcPr>
          <w:p>
            <w:pPr>
              <w:pStyle w:val="Normal"/>
              <w:widowControl w:val="false"/>
              <w:rPr/>
            </w:pPr>
            <w:r>
              <w:rPr/>
            </w:r>
          </w:p>
        </w:tc>
      </w:tr>
      <w:tr>
        <w:trPr>
          <w:trHeight w:val="234" w:hRule="atLeast"/>
        </w:trPr>
        <w:tc>
          <w:tcPr>
            <w:tcW w:w="2277" w:type="dxa"/>
            <w:vMerge w:val="continue"/>
            <w:tcBorders>
              <w:top w:val="single" w:sz="4" w:space="0" w:color="000000"/>
              <w:left w:val="single" w:sz="4" w:space="0" w:color="000000"/>
              <w:right w:val="single" w:sz="4" w:space="0" w:color="000000"/>
            </w:tcBorders>
          </w:tcPr>
          <w:p>
            <w:pPr>
              <w:pStyle w:val="Normal"/>
              <w:widowControl w:val="false"/>
              <w:rPr/>
            </w:pPr>
            <w:r>
              <w:rPr/>
            </w:r>
          </w:p>
        </w:tc>
        <w:tc>
          <w:tcPr>
            <w:tcW w:w="5443" w:type="dxa"/>
            <w:tcBorders>
              <w:top w:val="single" w:sz="4" w:space="0" w:color="000000"/>
              <w:left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color w:val="000000"/>
                <w:sz w:val="24"/>
                <w:szCs w:val="24"/>
              </w:rPr>
            </w:pPr>
            <w:r>
              <w:rPr>
                <w:rFonts w:cs="Times New Roman" w:ascii="Times New Roman" w:hAnsi="Times New Roman"/>
                <w:color w:val="000000"/>
                <w:sz w:val="24"/>
                <w:szCs w:val="24"/>
              </w:rPr>
              <w:t>Преобразователь линейных перемещений струнный</w:t>
            </w:r>
          </w:p>
        </w:tc>
        <w:tc>
          <w:tcPr>
            <w:tcW w:w="1629" w:type="dxa"/>
            <w:tcBorders>
              <w:top w:val="single" w:sz="4" w:space="0" w:color="000000"/>
              <w:left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ПЛПС</w:t>
            </w:r>
          </w:p>
        </w:tc>
        <w:tc>
          <w:tcPr>
            <w:tcW w:w="1743" w:type="dxa"/>
            <w:vMerge w:val="continue"/>
            <w:tcBorders>
              <w:left w:val="single" w:sz="4" w:space="0" w:color="000000"/>
              <w:right w:val="single" w:sz="4" w:space="0" w:color="000000"/>
            </w:tcBorders>
            <w:vAlign w:val="center"/>
          </w:tcPr>
          <w:p>
            <w:pPr>
              <w:pStyle w:val="Normal"/>
              <w:widowControl w:val="false"/>
              <w:rPr/>
            </w:pPr>
            <w:r>
              <w:rPr/>
            </w:r>
          </w:p>
        </w:tc>
        <w:tc>
          <w:tcPr>
            <w:tcW w:w="1930" w:type="dxa"/>
            <w:vMerge w:val="continue"/>
            <w:tcBorders>
              <w:right w:val="single" w:sz="4" w:space="0" w:color="000000"/>
            </w:tcBorders>
            <w:vAlign w:val="center"/>
          </w:tcPr>
          <w:p>
            <w:pPr>
              <w:pStyle w:val="Normal"/>
              <w:widowControl w:val="false"/>
              <w:rPr/>
            </w:pPr>
            <w:r>
              <w:rPr/>
            </w:r>
          </w:p>
        </w:tc>
        <w:tc>
          <w:tcPr>
            <w:tcW w:w="1217" w:type="dxa"/>
            <w:vMerge w:val="continue"/>
            <w:tcBorders>
              <w:right w:val="single" w:sz="4" w:space="0" w:color="000000"/>
            </w:tcBorders>
            <w:vAlign w:val="center"/>
          </w:tcPr>
          <w:p>
            <w:pPr>
              <w:pStyle w:val="Normal"/>
              <w:widowControl w:val="false"/>
              <w:rPr/>
            </w:pPr>
            <w:r>
              <w:rPr/>
            </w:r>
          </w:p>
        </w:tc>
        <w:tc>
          <w:tcPr>
            <w:tcW w:w="1624" w:type="dxa"/>
            <w:vMerge w:val="continue"/>
            <w:tcBorders>
              <w:left w:val="single" w:sz="4" w:space="0" w:color="000000"/>
              <w:right w:val="single" w:sz="4" w:space="0" w:color="000000"/>
            </w:tcBorders>
            <w:vAlign w:val="center"/>
          </w:tcPr>
          <w:p>
            <w:pPr>
              <w:pStyle w:val="Normal"/>
              <w:widowControl w:val="false"/>
              <w:rPr/>
            </w:pPr>
            <w:r>
              <w:rPr/>
            </w:r>
          </w:p>
        </w:tc>
        <w:tc>
          <w:tcPr>
            <w:tcW w:w="1513" w:type="dxa"/>
            <w:vMerge w:val="continue"/>
            <w:tcBorders>
              <w:left w:val="single" w:sz="4" w:space="0" w:color="000000"/>
              <w:right w:val="single" w:sz="4" w:space="0" w:color="000000"/>
            </w:tcBorders>
            <w:vAlign w:val="center"/>
          </w:tcPr>
          <w:p>
            <w:pPr>
              <w:pStyle w:val="Normal"/>
              <w:widowControl w:val="false"/>
              <w:rPr/>
            </w:pPr>
            <w:r>
              <w:rPr/>
            </w:r>
          </w:p>
        </w:tc>
        <w:tc>
          <w:tcPr>
            <w:tcW w:w="1805" w:type="dxa"/>
            <w:vMerge w:val="continue"/>
            <w:tcBorders>
              <w:left w:val="single" w:sz="4" w:space="0" w:color="000000"/>
              <w:right w:val="single" w:sz="4" w:space="0" w:color="000000"/>
            </w:tcBorders>
            <w:vAlign w:val="center"/>
          </w:tcPr>
          <w:p>
            <w:pPr>
              <w:pStyle w:val="Normal"/>
              <w:widowControl w:val="false"/>
              <w:rPr/>
            </w:pPr>
            <w:r>
              <w:rPr/>
            </w:r>
          </w:p>
        </w:tc>
        <w:tc>
          <w:tcPr>
            <w:tcW w:w="1398" w:type="dxa"/>
            <w:vMerge w:val="continue"/>
            <w:tcBorders>
              <w:left w:val="single" w:sz="4" w:space="0" w:color="000000"/>
              <w:right w:val="single" w:sz="4" w:space="0" w:color="000000"/>
            </w:tcBorders>
            <w:vAlign w:val="center"/>
          </w:tcPr>
          <w:p>
            <w:pPr>
              <w:pStyle w:val="Normal"/>
              <w:widowControl w:val="false"/>
              <w:rPr/>
            </w:pPr>
            <w:r>
              <w:rPr/>
            </w:r>
          </w:p>
        </w:tc>
        <w:tc>
          <w:tcPr>
            <w:tcW w:w="961" w:type="dxa"/>
            <w:vMerge w:val="continue"/>
            <w:tcBorders>
              <w:left w:val="single" w:sz="4" w:space="0" w:color="000000"/>
              <w:right w:val="single" w:sz="4" w:space="0" w:color="000000"/>
            </w:tcBorders>
            <w:vAlign w:val="center"/>
          </w:tcPr>
          <w:p>
            <w:pPr>
              <w:pStyle w:val="Normal"/>
              <w:widowControl w:val="false"/>
              <w:rPr/>
            </w:pPr>
            <w:r>
              <w:rPr/>
            </w:r>
          </w:p>
        </w:tc>
      </w:tr>
      <w:tr>
        <w:trPr>
          <w:trHeight w:val="124" w:hRule="atLeast"/>
        </w:trPr>
        <w:tc>
          <w:tcPr>
            <w:tcW w:w="2277" w:type="dxa"/>
            <w:vMerge w:val="continue"/>
            <w:tcBorders>
              <w:top w:val="single" w:sz="4" w:space="0" w:color="000000"/>
              <w:left w:val="single" w:sz="4" w:space="0" w:color="000000"/>
              <w:right w:val="single" w:sz="4" w:space="0" w:color="000000"/>
            </w:tcBorders>
          </w:tcPr>
          <w:p>
            <w:pPr>
              <w:pStyle w:val="Normal"/>
              <w:widowControl w:val="false"/>
              <w:rPr/>
            </w:pPr>
            <w:r>
              <w:rPr/>
            </w:r>
          </w:p>
        </w:tc>
        <w:tc>
          <w:tcPr>
            <w:tcW w:w="5443" w:type="dxa"/>
            <w:tcBorders>
              <w:top w:val="single" w:sz="4" w:space="0" w:color="000000"/>
              <w:left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color w:val="000000"/>
                <w:sz w:val="24"/>
                <w:szCs w:val="24"/>
              </w:rPr>
            </w:pPr>
            <w:r>
              <w:rPr>
                <w:rFonts w:cs="Times New Roman" w:ascii="Times New Roman" w:hAnsi="Times New Roman"/>
                <w:color w:val="000000"/>
                <w:sz w:val="24"/>
                <w:szCs w:val="24"/>
              </w:rPr>
              <w:t>Преобразователь силы арматурный струнный</w:t>
            </w:r>
          </w:p>
        </w:tc>
        <w:tc>
          <w:tcPr>
            <w:tcW w:w="1629" w:type="dxa"/>
            <w:tcBorders>
              <w:top w:val="single" w:sz="4" w:space="0" w:color="000000"/>
              <w:left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ПСАС</w:t>
            </w:r>
          </w:p>
        </w:tc>
        <w:tc>
          <w:tcPr>
            <w:tcW w:w="1743" w:type="dxa"/>
            <w:vMerge w:val="continue"/>
            <w:tcBorders>
              <w:left w:val="single" w:sz="4" w:space="0" w:color="000000"/>
              <w:right w:val="single" w:sz="4" w:space="0" w:color="000000"/>
            </w:tcBorders>
            <w:vAlign w:val="center"/>
          </w:tcPr>
          <w:p>
            <w:pPr>
              <w:pStyle w:val="Normal"/>
              <w:widowControl w:val="false"/>
              <w:rPr/>
            </w:pPr>
            <w:r>
              <w:rPr/>
            </w:r>
          </w:p>
        </w:tc>
        <w:tc>
          <w:tcPr>
            <w:tcW w:w="1930" w:type="dxa"/>
            <w:vMerge w:val="continue"/>
            <w:tcBorders>
              <w:right w:val="single" w:sz="4" w:space="0" w:color="000000"/>
            </w:tcBorders>
            <w:vAlign w:val="center"/>
          </w:tcPr>
          <w:p>
            <w:pPr>
              <w:pStyle w:val="Normal"/>
              <w:widowControl w:val="false"/>
              <w:rPr/>
            </w:pPr>
            <w:r>
              <w:rPr/>
            </w:r>
          </w:p>
        </w:tc>
        <w:tc>
          <w:tcPr>
            <w:tcW w:w="1217" w:type="dxa"/>
            <w:vMerge w:val="continue"/>
            <w:tcBorders>
              <w:right w:val="single" w:sz="4" w:space="0" w:color="000000"/>
            </w:tcBorders>
            <w:vAlign w:val="center"/>
          </w:tcPr>
          <w:p>
            <w:pPr>
              <w:pStyle w:val="Normal"/>
              <w:widowControl w:val="false"/>
              <w:rPr/>
            </w:pPr>
            <w:r>
              <w:rPr/>
            </w:r>
          </w:p>
        </w:tc>
        <w:tc>
          <w:tcPr>
            <w:tcW w:w="1624" w:type="dxa"/>
            <w:vMerge w:val="continue"/>
            <w:tcBorders>
              <w:left w:val="single" w:sz="4" w:space="0" w:color="000000"/>
              <w:right w:val="single" w:sz="4" w:space="0" w:color="000000"/>
            </w:tcBorders>
            <w:vAlign w:val="center"/>
          </w:tcPr>
          <w:p>
            <w:pPr>
              <w:pStyle w:val="Normal"/>
              <w:widowControl w:val="false"/>
              <w:rPr/>
            </w:pPr>
            <w:r>
              <w:rPr/>
            </w:r>
          </w:p>
        </w:tc>
        <w:tc>
          <w:tcPr>
            <w:tcW w:w="1513" w:type="dxa"/>
            <w:vMerge w:val="continue"/>
            <w:tcBorders>
              <w:left w:val="single" w:sz="4" w:space="0" w:color="000000"/>
              <w:right w:val="single" w:sz="4" w:space="0" w:color="000000"/>
            </w:tcBorders>
            <w:vAlign w:val="center"/>
          </w:tcPr>
          <w:p>
            <w:pPr>
              <w:pStyle w:val="Normal"/>
              <w:widowControl w:val="false"/>
              <w:rPr/>
            </w:pPr>
            <w:r>
              <w:rPr/>
            </w:r>
          </w:p>
        </w:tc>
        <w:tc>
          <w:tcPr>
            <w:tcW w:w="1805" w:type="dxa"/>
            <w:vMerge w:val="continue"/>
            <w:tcBorders>
              <w:left w:val="single" w:sz="4" w:space="0" w:color="000000"/>
              <w:right w:val="single" w:sz="4" w:space="0" w:color="000000"/>
            </w:tcBorders>
            <w:vAlign w:val="center"/>
          </w:tcPr>
          <w:p>
            <w:pPr>
              <w:pStyle w:val="Normal"/>
              <w:widowControl w:val="false"/>
              <w:rPr/>
            </w:pPr>
            <w:r>
              <w:rPr/>
            </w:r>
          </w:p>
        </w:tc>
        <w:tc>
          <w:tcPr>
            <w:tcW w:w="1398" w:type="dxa"/>
            <w:vMerge w:val="continue"/>
            <w:tcBorders>
              <w:left w:val="single" w:sz="4" w:space="0" w:color="000000"/>
              <w:right w:val="single" w:sz="4" w:space="0" w:color="000000"/>
            </w:tcBorders>
            <w:vAlign w:val="center"/>
          </w:tcPr>
          <w:p>
            <w:pPr>
              <w:pStyle w:val="Normal"/>
              <w:widowControl w:val="false"/>
              <w:rPr/>
            </w:pPr>
            <w:r>
              <w:rPr/>
            </w:r>
          </w:p>
        </w:tc>
        <w:tc>
          <w:tcPr>
            <w:tcW w:w="961" w:type="dxa"/>
            <w:vMerge w:val="continue"/>
            <w:tcBorders>
              <w:left w:val="single" w:sz="4" w:space="0" w:color="000000"/>
              <w:right w:val="single" w:sz="4" w:space="0" w:color="000000"/>
            </w:tcBorders>
            <w:vAlign w:val="center"/>
          </w:tcPr>
          <w:p>
            <w:pPr>
              <w:pStyle w:val="Normal"/>
              <w:widowControl w:val="false"/>
              <w:rPr/>
            </w:pPr>
            <w:r>
              <w:rPr/>
            </w:r>
          </w:p>
        </w:tc>
      </w:tr>
      <w:tr>
        <w:trPr>
          <w:trHeight w:val="70" w:hRule="atLeast"/>
        </w:trPr>
        <w:tc>
          <w:tcPr>
            <w:tcW w:w="2277" w:type="dxa"/>
            <w:vMerge w:val="continue"/>
            <w:tcBorders>
              <w:top w:val="single" w:sz="4" w:space="0" w:color="000000"/>
              <w:left w:val="single" w:sz="4" w:space="0" w:color="000000"/>
              <w:right w:val="single" w:sz="4" w:space="0" w:color="000000"/>
            </w:tcBorders>
          </w:tcPr>
          <w:p>
            <w:pPr>
              <w:pStyle w:val="Normal"/>
              <w:widowControl w:val="false"/>
              <w:rPr/>
            </w:pPr>
            <w:r>
              <w:rPr/>
            </w:r>
          </w:p>
        </w:tc>
        <w:tc>
          <w:tcPr>
            <w:tcW w:w="5443" w:type="dxa"/>
            <w:tcBorders>
              <w:top w:val="single" w:sz="4" w:space="0" w:color="000000"/>
              <w:left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color w:val="000000"/>
                <w:sz w:val="24"/>
                <w:szCs w:val="24"/>
              </w:rPr>
            </w:pPr>
            <w:r>
              <w:rPr>
                <w:rFonts w:cs="Times New Roman" w:ascii="Times New Roman" w:hAnsi="Times New Roman"/>
                <w:color w:val="000000"/>
                <w:sz w:val="24"/>
                <w:szCs w:val="24"/>
              </w:rPr>
              <w:t>Преобразователь линейных деформаций струнный</w:t>
            </w:r>
          </w:p>
        </w:tc>
        <w:tc>
          <w:tcPr>
            <w:tcW w:w="1629" w:type="dxa"/>
            <w:tcBorders>
              <w:top w:val="single" w:sz="4" w:space="0" w:color="000000"/>
              <w:left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ПЛДС</w:t>
            </w:r>
          </w:p>
        </w:tc>
        <w:tc>
          <w:tcPr>
            <w:tcW w:w="1743" w:type="dxa"/>
            <w:vMerge w:val="continue"/>
            <w:tcBorders>
              <w:left w:val="single" w:sz="4" w:space="0" w:color="000000"/>
              <w:right w:val="single" w:sz="4" w:space="0" w:color="000000"/>
            </w:tcBorders>
            <w:vAlign w:val="center"/>
          </w:tcPr>
          <w:p>
            <w:pPr>
              <w:pStyle w:val="Normal"/>
              <w:widowControl w:val="false"/>
              <w:rPr/>
            </w:pPr>
            <w:r>
              <w:rPr/>
            </w:r>
          </w:p>
        </w:tc>
        <w:tc>
          <w:tcPr>
            <w:tcW w:w="1930" w:type="dxa"/>
            <w:vMerge w:val="continue"/>
            <w:tcBorders>
              <w:right w:val="single" w:sz="4" w:space="0" w:color="000000"/>
            </w:tcBorders>
            <w:vAlign w:val="center"/>
          </w:tcPr>
          <w:p>
            <w:pPr>
              <w:pStyle w:val="Normal"/>
              <w:widowControl w:val="false"/>
              <w:rPr/>
            </w:pPr>
            <w:r>
              <w:rPr/>
            </w:r>
          </w:p>
        </w:tc>
        <w:tc>
          <w:tcPr>
            <w:tcW w:w="1217" w:type="dxa"/>
            <w:vMerge w:val="continue"/>
            <w:tcBorders>
              <w:bottom w:val="single" w:sz="4" w:space="0" w:color="000000"/>
              <w:right w:val="single" w:sz="4" w:space="0" w:color="000000"/>
            </w:tcBorders>
            <w:vAlign w:val="center"/>
          </w:tcPr>
          <w:p>
            <w:pPr>
              <w:pStyle w:val="Normal"/>
              <w:widowControl w:val="false"/>
              <w:rPr/>
            </w:pPr>
            <w:r>
              <w:rPr/>
            </w:r>
          </w:p>
        </w:tc>
        <w:tc>
          <w:tcPr>
            <w:tcW w:w="1624" w:type="dxa"/>
            <w:vMerge w:val="continue"/>
            <w:tcBorders>
              <w:left w:val="single" w:sz="4" w:space="0" w:color="000000"/>
              <w:bottom w:val="single" w:sz="4" w:space="0" w:color="000000"/>
              <w:right w:val="single" w:sz="4" w:space="0" w:color="000000"/>
            </w:tcBorders>
            <w:vAlign w:val="center"/>
          </w:tcPr>
          <w:p>
            <w:pPr>
              <w:pStyle w:val="Normal"/>
              <w:widowControl w:val="false"/>
              <w:rPr/>
            </w:pPr>
            <w:r>
              <w:rPr/>
            </w:r>
          </w:p>
        </w:tc>
        <w:tc>
          <w:tcPr>
            <w:tcW w:w="1513" w:type="dxa"/>
            <w:vMerge w:val="continue"/>
            <w:tcBorders>
              <w:left w:val="single" w:sz="4" w:space="0" w:color="000000"/>
              <w:bottom w:val="single" w:sz="4" w:space="0" w:color="000000"/>
              <w:right w:val="single" w:sz="4" w:space="0" w:color="000000"/>
            </w:tcBorders>
            <w:vAlign w:val="center"/>
          </w:tcPr>
          <w:p>
            <w:pPr>
              <w:pStyle w:val="Normal"/>
              <w:widowControl w:val="false"/>
              <w:rPr/>
            </w:pPr>
            <w:r>
              <w:rPr/>
            </w:r>
          </w:p>
        </w:tc>
        <w:tc>
          <w:tcPr>
            <w:tcW w:w="1805" w:type="dxa"/>
            <w:vMerge w:val="continue"/>
            <w:tcBorders>
              <w:left w:val="single" w:sz="4" w:space="0" w:color="000000"/>
              <w:bottom w:val="single" w:sz="4" w:space="0" w:color="000000"/>
              <w:right w:val="single" w:sz="4" w:space="0" w:color="000000"/>
            </w:tcBorders>
            <w:vAlign w:val="center"/>
          </w:tcPr>
          <w:p>
            <w:pPr>
              <w:pStyle w:val="Normal"/>
              <w:widowControl w:val="false"/>
              <w:rPr/>
            </w:pPr>
            <w:r>
              <w:rPr/>
            </w:r>
          </w:p>
        </w:tc>
        <w:tc>
          <w:tcPr>
            <w:tcW w:w="1398" w:type="dxa"/>
            <w:vMerge w:val="continue"/>
            <w:tcBorders>
              <w:left w:val="single" w:sz="4" w:space="0" w:color="000000"/>
              <w:bottom w:val="single" w:sz="4" w:space="0" w:color="000000"/>
              <w:right w:val="single" w:sz="4" w:space="0" w:color="000000"/>
            </w:tcBorders>
            <w:vAlign w:val="center"/>
          </w:tcPr>
          <w:p>
            <w:pPr>
              <w:pStyle w:val="Normal"/>
              <w:widowControl w:val="false"/>
              <w:rPr/>
            </w:pPr>
            <w:r>
              <w:rPr/>
            </w:r>
          </w:p>
        </w:tc>
        <w:tc>
          <w:tcPr>
            <w:tcW w:w="961" w:type="dxa"/>
            <w:vMerge w:val="continue"/>
            <w:tcBorders>
              <w:left w:val="single" w:sz="4" w:space="0" w:color="000000"/>
              <w:bottom w:val="single" w:sz="4" w:space="0" w:color="000000"/>
              <w:right w:val="single" w:sz="4" w:space="0" w:color="000000"/>
            </w:tcBorders>
            <w:vAlign w:val="center"/>
          </w:tcPr>
          <w:p>
            <w:pPr>
              <w:pStyle w:val="Normal"/>
              <w:widowControl w:val="false"/>
              <w:rPr/>
            </w:pPr>
            <w:r>
              <w:rPr/>
            </w:r>
          </w:p>
        </w:tc>
      </w:tr>
      <w:tr>
        <w:trPr>
          <w:trHeight w:val="179" w:hRule="atLeast"/>
        </w:trPr>
        <w:tc>
          <w:tcPr>
            <w:tcW w:w="2277" w:type="dxa"/>
            <w:vMerge w:val="restart"/>
            <w:tcBorders>
              <w:top w:val="single" w:sz="4" w:space="0" w:color="000000"/>
              <w:left w:val="single" w:sz="4" w:space="0" w:color="000000"/>
              <w:right w:val="single" w:sz="4" w:space="0" w:color="000000"/>
            </w:tcBorders>
            <w:vAlign w:val="center"/>
          </w:tcPr>
          <w:p>
            <w:pPr>
              <w:pStyle w:val="Normal"/>
              <w:widowControl w:val="false"/>
              <w:numPr>
                <w:ilvl w:val="0"/>
                <w:numId w:val="10"/>
              </w:numPr>
              <w:spacing w:lineRule="auto" w:line="240"/>
              <w:ind w:left="0" w:right="0" w:hanging="0"/>
              <w:jc w:val="left"/>
              <w:rPr>
                <w:rFonts w:ascii="Times New Roman" w:hAnsi="Times New Roman" w:cs="Times New Roman"/>
                <w:color w:val="000000"/>
                <w:sz w:val="24"/>
                <w:szCs w:val="24"/>
              </w:rPr>
            </w:pPr>
            <w:r>
              <w:rPr>
                <w:rFonts w:cs="Times New Roman" w:ascii="Times New Roman" w:hAnsi="Times New Roman"/>
                <w:color w:val="000000"/>
                <w:sz w:val="24"/>
                <w:szCs w:val="24"/>
              </w:rPr>
              <w:t>Проведение наблюдений за фильтрационным режимом</w:t>
            </w:r>
          </w:p>
        </w:tc>
        <w:tc>
          <w:tcPr>
            <w:tcW w:w="54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color w:val="000000"/>
                <w:sz w:val="24"/>
                <w:szCs w:val="24"/>
              </w:rPr>
            </w:pPr>
            <w:r>
              <w:rPr>
                <w:rFonts w:cs="Times New Roman" w:ascii="Times New Roman" w:hAnsi="Times New Roman"/>
                <w:color w:val="000000"/>
                <w:sz w:val="24"/>
                <w:szCs w:val="24"/>
              </w:rPr>
              <w:t>Пьезометр опускной</w:t>
            </w:r>
          </w:p>
        </w:tc>
        <w:tc>
          <w:tcPr>
            <w:tcW w:w="16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ПО</w:t>
            </w:r>
          </w:p>
        </w:tc>
        <w:tc>
          <w:tcPr>
            <w:tcW w:w="17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1 раз в месяц</w:t>
            </w:r>
          </w:p>
        </w:tc>
        <w:tc>
          <w:tcPr>
            <w:tcW w:w="1930"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217"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6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5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8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2 раза в месяц</w:t>
            </w:r>
          </w:p>
        </w:tc>
        <w:tc>
          <w:tcPr>
            <w:tcW w:w="13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2 раза в месяц</w:t>
            </w:r>
          </w:p>
        </w:tc>
      </w:tr>
      <w:tr>
        <w:trPr>
          <w:trHeight w:val="277" w:hRule="atLeast"/>
        </w:trPr>
        <w:tc>
          <w:tcPr>
            <w:tcW w:w="2277" w:type="dxa"/>
            <w:vMerge w:val="continue"/>
            <w:tcBorders>
              <w:left w:val="single" w:sz="4" w:space="0" w:color="000000"/>
              <w:right w:val="single" w:sz="4" w:space="0" w:color="000000"/>
            </w:tcBorders>
          </w:tcPr>
          <w:p>
            <w:pPr>
              <w:pStyle w:val="Normal"/>
              <w:widowControl w:val="false"/>
              <w:rPr/>
            </w:pPr>
            <w:r>
              <w:rPr/>
            </w:r>
          </w:p>
        </w:tc>
        <w:tc>
          <w:tcPr>
            <w:tcW w:w="54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color w:val="000000"/>
                <w:sz w:val="24"/>
                <w:szCs w:val="24"/>
              </w:rPr>
            </w:pPr>
            <w:r>
              <w:rPr>
                <w:rFonts w:cs="Times New Roman" w:ascii="Times New Roman" w:hAnsi="Times New Roman"/>
                <w:color w:val="000000"/>
                <w:sz w:val="24"/>
                <w:szCs w:val="24"/>
              </w:rPr>
              <w:t>Пьезометр закладной напорный</w:t>
            </w:r>
          </w:p>
        </w:tc>
        <w:tc>
          <w:tcPr>
            <w:tcW w:w="16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ПЗН</w:t>
            </w:r>
          </w:p>
        </w:tc>
        <w:tc>
          <w:tcPr>
            <w:tcW w:w="17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930"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1 раз в неделю</w:t>
            </w:r>
          </w:p>
        </w:tc>
        <w:tc>
          <w:tcPr>
            <w:tcW w:w="1217"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6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5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8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2 раза в месяц</w:t>
            </w:r>
          </w:p>
        </w:tc>
        <w:tc>
          <w:tcPr>
            <w:tcW w:w="13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r>
      <w:tr>
        <w:trPr>
          <w:trHeight w:val="669" w:hRule="atLeast"/>
        </w:trPr>
        <w:tc>
          <w:tcPr>
            <w:tcW w:w="2277" w:type="dxa"/>
            <w:vMerge w:val="continue"/>
            <w:tcBorders>
              <w:left w:val="single" w:sz="4" w:space="0" w:color="000000"/>
              <w:right w:val="single" w:sz="4" w:space="0" w:color="000000"/>
            </w:tcBorders>
          </w:tcPr>
          <w:p>
            <w:pPr>
              <w:pStyle w:val="Normal"/>
              <w:widowControl w:val="false"/>
              <w:rPr/>
            </w:pPr>
            <w:r>
              <w:rPr/>
            </w:r>
          </w:p>
        </w:tc>
        <w:tc>
          <w:tcPr>
            <w:tcW w:w="54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color w:val="000000"/>
                <w:sz w:val="24"/>
                <w:szCs w:val="24"/>
              </w:rPr>
            </w:pPr>
            <w:r>
              <w:rPr>
                <w:rFonts w:cs="Times New Roman" w:ascii="Times New Roman" w:hAnsi="Times New Roman"/>
                <w:color w:val="000000"/>
                <w:sz w:val="24"/>
                <w:szCs w:val="24"/>
              </w:rPr>
              <w:t>Мерный водослив</w:t>
            </w:r>
          </w:p>
        </w:tc>
        <w:tc>
          <w:tcPr>
            <w:tcW w:w="16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МВ</w:t>
            </w:r>
          </w:p>
        </w:tc>
        <w:tc>
          <w:tcPr>
            <w:tcW w:w="17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1 раз в месяц</w:t>
            </w:r>
          </w:p>
        </w:tc>
        <w:tc>
          <w:tcPr>
            <w:tcW w:w="1930"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217"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6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5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8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3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r>
      <w:tr>
        <w:trPr>
          <w:trHeight w:val="70" w:hRule="atLeast"/>
        </w:trPr>
        <w:tc>
          <w:tcPr>
            <w:tcW w:w="2277" w:type="dxa"/>
            <w:vMerge w:val="continue"/>
            <w:tcBorders>
              <w:left w:val="single" w:sz="4" w:space="0" w:color="000000"/>
              <w:right w:val="single" w:sz="4" w:space="0" w:color="000000"/>
            </w:tcBorders>
          </w:tcPr>
          <w:p>
            <w:pPr>
              <w:pStyle w:val="Normal"/>
              <w:widowControl w:val="false"/>
              <w:rPr/>
            </w:pPr>
            <w:r>
              <w:rPr/>
            </w:r>
          </w:p>
        </w:tc>
        <w:tc>
          <w:tcPr>
            <w:tcW w:w="54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color w:val="000000"/>
                <w:sz w:val="24"/>
                <w:szCs w:val="24"/>
              </w:rPr>
            </w:pPr>
            <w:r>
              <w:rPr>
                <w:rFonts w:cs="Times New Roman" w:ascii="Times New Roman" w:hAnsi="Times New Roman"/>
                <w:color w:val="000000"/>
                <w:sz w:val="24"/>
                <w:szCs w:val="24"/>
              </w:rPr>
              <w:t>Водомерная рейка</w:t>
            </w:r>
          </w:p>
        </w:tc>
        <w:tc>
          <w:tcPr>
            <w:tcW w:w="16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ВР</w:t>
            </w:r>
          </w:p>
        </w:tc>
        <w:tc>
          <w:tcPr>
            <w:tcW w:w="17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930"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3 раза в неделю</w:t>
            </w:r>
          </w:p>
        </w:tc>
        <w:tc>
          <w:tcPr>
            <w:tcW w:w="1217"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6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5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8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3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r>
      <w:tr>
        <w:trPr>
          <w:trHeight w:val="70" w:hRule="atLeast"/>
        </w:trPr>
        <w:tc>
          <w:tcPr>
            <w:tcW w:w="2277" w:type="dxa"/>
            <w:vMerge w:val="restart"/>
            <w:tcBorders>
              <w:top w:val="single" w:sz="4" w:space="0" w:color="000000"/>
              <w:left w:val="single" w:sz="4" w:space="0" w:color="000000"/>
              <w:right w:val="single" w:sz="4" w:space="0" w:color="000000"/>
            </w:tcBorders>
            <w:vAlign w:val="center"/>
          </w:tcPr>
          <w:p>
            <w:pPr>
              <w:pStyle w:val="Normal"/>
              <w:widowControl w:val="false"/>
              <w:numPr>
                <w:ilvl w:val="0"/>
                <w:numId w:val="10"/>
              </w:numPr>
              <w:spacing w:lineRule="auto" w:line="240"/>
              <w:ind w:left="0" w:right="0" w:hanging="0"/>
              <w:jc w:val="left"/>
              <w:rPr>
                <w:rFonts w:ascii="Times New Roman" w:hAnsi="Times New Roman" w:cs="Times New Roman"/>
                <w:color w:val="000000"/>
                <w:sz w:val="24"/>
                <w:szCs w:val="24"/>
              </w:rPr>
            </w:pPr>
            <w:r>
              <w:rPr>
                <w:rFonts w:cs="Times New Roman" w:ascii="Times New Roman" w:hAnsi="Times New Roman"/>
                <w:color w:val="000000"/>
                <w:sz w:val="24"/>
                <w:szCs w:val="24"/>
              </w:rPr>
              <w:t>Проведение нивелирования (короткие ходы)</w:t>
            </w:r>
          </w:p>
        </w:tc>
        <w:tc>
          <w:tcPr>
            <w:tcW w:w="54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color w:val="000000"/>
                <w:sz w:val="24"/>
                <w:szCs w:val="24"/>
              </w:rPr>
            </w:pPr>
            <w:r>
              <w:rPr>
                <w:rFonts w:cs="Times New Roman" w:ascii="Times New Roman" w:hAnsi="Times New Roman"/>
                <w:color w:val="000000"/>
                <w:sz w:val="24"/>
                <w:szCs w:val="24"/>
              </w:rPr>
              <w:t>Марка стеновая бетонная</w:t>
            </w:r>
          </w:p>
        </w:tc>
        <w:tc>
          <w:tcPr>
            <w:tcW w:w="16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МСБ</w:t>
            </w:r>
          </w:p>
        </w:tc>
        <w:tc>
          <w:tcPr>
            <w:tcW w:w="174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1 раз в квартал</w:t>
            </w:r>
          </w:p>
        </w:tc>
        <w:tc>
          <w:tcPr>
            <w:tcW w:w="1930" w:type="dxa"/>
            <w:vMerge w:val="restart"/>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1 раз в квартал</w:t>
            </w:r>
          </w:p>
        </w:tc>
        <w:tc>
          <w:tcPr>
            <w:tcW w:w="1217" w:type="dxa"/>
            <w:vMerge w:val="restart"/>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62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51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1 раз в квартал</w:t>
            </w:r>
          </w:p>
        </w:tc>
        <w:tc>
          <w:tcPr>
            <w:tcW w:w="180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1 раз в квартал</w:t>
            </w:r>
          </w:p>
        </w:tc>
        <w:tc>
          <w:tcPr>
            <w:tcW w:w="139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1 раз в квартал</w:t>
            </w:r>
          </w:p>
        </w:tc>
        <w:tc>
          <w:tcPr>
            <w:tcW w:w="96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1 раз в квартал</w:t>
            </w:r>
          </w:p>
        </w:tc>
      </w:tr>
      <w:tr>
        <w:trPr>
          <w:trHeight w:val="300" w:hRule="atLeast"/>
        </w:trPr>
        <w:tc>
          <w:tcPr>
            <w:tcW w:w="2277" w:type="dxa"/>
            <w:vMerge w:val="continue"/>
            <w:tcBorders>
              <w:left w:val="single" w:sz="4" w:space="0" w:color="000000"/>
              <w:right w:val="single" w:sz="4" w:space="0" w:color="000000"/>
            </w:tcBorders>
          </w:tcPr>
          <w:p>
            <w:pPr>
              <w:pStyle w:val="Normal"/>
              <w:widowControl w:val="false"/>
              <w:rPr/>
            </w:pPr>
            <w:r>
              <w:rPr/>
            </w:r>
          </w:p>
        </w:tc>
        <w:tc>
          <w:tcPr>
            <w:tcW w:w="54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color w:val="000000"/>
                <w:sz w:val="24"/>
                <w:szCs w:val="24"/>
              </w:rPr>
            </w:pPr>
            <w:r>
              <w:rPr>
                <w:rFonts w:cs="Times New Roman" w:ascii="Times New Roman" w:hAnsi="Times New Roman"/>
                <w:color w:val="000000"/>
                <w:sz w:val="24"/>
                <w:szCs w:val="24"/>
              </w:rPr>
              <w:t>Марка поверхностная бетонная</w:t>
            </w:r>
          </w:p>
        </w:tc>
        <w:tc>
          <w:tcPr>
            <w:tcW w:w="16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МПБ</w:t>
            </w:r>
          </w:p>
        </w:tc>
        <w:tc>
          <w:tcPr>
            <w:tcW w:w="1743" w:type="dxa"/>
            <w:vMerge w:val="continue"/>
            <w:tcBorders>
              <w:left w:val="single" w:sz="4" w:space="0" w:color="000000"/>
              <w:right w:val="single" w:sz="4" w:space="0" w:color="000000"/>
            </w:tcBorders>
            <w:vAlign w:val="center"/>
          </w:tcPr>
          <w:p>
            <w:pPr>
              <w:pStyle w:val="Normal"/>
              <w:widowControl w:val="false"/>
              <w:rPr/>
            </w:pPr>
            <w:r>
              <w:rPr/>
            </w:r>
          </w:p>
        </w:tc>
        <w:tc>
          <w:tcPr>
            <w:tcW w:w="1930" w:type="dxa"/>
            <w:vMerge w:val="continue"/>
            <w:tcBorders>
              <w:right w:val="single" w:sz="4" w:space="0" w:color="000000"/>
            </w:tcBorders>
            <w:vAlign w:val="center"/>
          </w:tcPr>
          <w:p>
            <w:pPr>
              <w:pStyle w:val="Normal"/>
              <w:widowControl w:val="false"/>
              <w:rPr/>
            </w:pPr>
            <w:r>
              <w:rPr/>
            </w:r>
          </w:p>
        </w:tc>
        <w:tc>
          <w:tcPr>
            <w:tcW w:w="1217" w:type="dxa"/>
            <w:vMerge w:val="continue"/>
            <w:tcBorders>
              <w:right w:val="single" w:sz="4" w:space="0" w:color="000000"/>
            </w:tcBorders>
            <w:vAlign w:val="center"/>
          </w:tcPr>
          <w:p>
            <w:pPr>
              <w:pStyle w:val="Normal"/>
              <w:widowControl w:val="false"/>
              <w:rPr/>
            </w:pPr>
            <w:r>
              <w:rPr/>
            </w:r>
          </w:p>
        </w:tc>
        <w:tc>
          <w:tcPr>
            <w:tcW w:w="1624" w:type="dxa"/>
            <w:vMerge w:val="continue"/>
            <w:tcBorders>
              <w:left w:val="single" w:sz="4" w:space="0" w:color="000000"/>
              <w:right w:val="single" w:sz="4" w:space="0" w:color="000000"/>
            </w:tcBorders>
            <w:vAlign w:val="center"/>
          </w:tcPr>
          <w:p>
            <w:pPr>
              <w:pStyle w:val="Normal"/>
              <w:widowControl w:val="false"/>
              <w:rPr/>
            </w:pPr>
            <w:r>
              <w:rPr/>
            </w:r>
          </w:p>
        </w:tc>
        <w:tc>
          <w:tcPr>
            <w:tcW w:w="1513" w:type="dxa"/>
            <w:vMerge w:val="continue"/>
            <w:tcBorders>
              <w:left w:val="single" w:sz="4" w:space="0" w:color="000000"/>
              <w:right w:val="single" w:sz="4" w:space="0" w:color="000000"/>
            </w:tcBorders>
            <w:vAlign w:val="center"/>
          </w:tcPr>
          <w:p>
            <w:pPr>
              <w:pStyle w:val="Normal"/>
              <w:widowControl w:val="false"/>
              <w:rPr/>
            </w:pPr>
            <w:r>
              <w:rPr/>
            </w:r>
          </w:p>
        </w:tc>
        <w:tc>
          <w:tcPr>
            <w:tcW w:w="1805" w:type="dxa"/>
            <w:vMerge w:val="continue"/>
            <w:tcBorders>
              <w:left w:val="single" w:sz="4" w:space="0" w:color="000000"/>
              <w:right w:val="single" w:sz="4" w:space="0" w:color="000000"/>
            </w:tcBorders>
            <w:vAlign w:val="center"/>
          </w:tcPr>
          <w:p>
            <w:pPr>
              <w:pStyle w:val="Normal"/>
              <w:widowControl w:val="false"/>
              <w:rPr/>
            </w:pPr>
            <w:r>
              <w:rPr/>
            </w:r>
          </w:p>
        </w:tc>
        <w:tc>
          <w:tcPr>
            <w:tcW w:w="1398" w:type="dxa"/>
            <w:vMerge w:val="continue"/>
            <w:tcBorders>
              <w:left w:val="single" w:sz="4" w:space="0" w:color="000000"/>
              <w:right w:val="single" w:sz="4" w:space="0" w:color="000000"/>
            </w:tcBorders>
            <w:vAlign w:val="center"/>
          </w:tcPr>
          <w:p>
            <w:pPr>
              <w:pStyle w:val="Normal"/>
              <w:widowControl w:val="false"/>
              <w:rPr/>
            </w:pPr>
            <w:r>
              <w:rPr/>
            </w:r>
          </w:p>
        </w:tc>
        <w:tc>
          <w:tcPr>
            <w:tcW w:w="961" w:type="dxa"/>
            <w:vMerge w:val="continue"/>
            <w:tcBorders>
              <w:left w:val="single" w:sz="4" w:space="0" w:color="000000"/>
              <w:right w:val="single" w:sz="4" w:space="0" w:color="000000"/>
            </w:tcBorders>
            <w:vAlign w:val="center"/>
          </w:tcPr>
          <w:p>
            <w:pPr>
              <w:pStyle w:val="Normal"/>
              <w:widowControl w:val="false"/>
              <w:rPr/>
            </w:pPr>
            <w:r>
              <w:rPr/>
            </w:r>
          </w:p>
        </w:tc>
      </w:tr>
      <w:tr>
        <w:trPr>
          <w:trHeight w:val="300" w:hRule="atLeast"/>
        </w:trPr>
        <w:tc>
          <w:tcPr>
            <w:tcW w:w="2277" w:type="dxa"/>
            <w:vMerge w:val="continue"/>
            <w:tcBorders>
              <w:left w:val="single" w:sz="4" w:space="0" w:color="000000"/>
              <w:right w:val="single" w:sz="4" w:space="0" w:color="000000"/>
            </w:tcBorders>
          </w:tcPr>
          <w:p>
            <w:pPr>
              <w:pStyle w:val="Normal"/>
              <w:widowControl w:val="false"/>
              <w:rPr/>
            </w:pPr>
            <w:r>
              <w:rPr/>
            </w:r>
          </w:p>
        </w:tc>
        <w:tc>
          <w:tcPr>
            <w:tcW w:w="54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color w:val="000000"/>
                <w:sz w:val="24"/>
                <w:szCs w:val="24"/>
              </w:rPr>
            </w:pPr>
            <w:r>
              <w:rPr>
                <w:rFonts w:cs="Times New Roman" w:ascii="Times New Roman" w:hAnsi="Times New Roman"/>
                <w:color w:val="000000"/>
                <w:sz w:val="24"/>
                <w:szCs w:val="24"/>
              </w:rPr>
              <w:t>Труба-марка</w:t>
            </w:r>
          </w:p>
        </w:tc>
        <w:tc>
          <w:tcPr>
            <w:tcW w:w="16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ТМ</w:t>
            </w:r>
          </w:p>
        </w:tc>
        <w:tc>
          <w:tcPr>
            <w:tcW w:w="1743" w:type="dxa"/>
            <w:vMerge w:val="continue"/>
            <w:tcBorders>
              <w:left w:val="single" w:sz="4" w:space="0" w:color="000000"/>
              <w:right w:val="single" w:sz="4" w:space="0" w:color="000000"/>
            </w:tcBorders>
            <w:vAlign w:val="center"/>
          </w:tcPr>
          <w:p>
            <w:pPr>
              <w:pStyle w:val="Normal"/>
              <w:widowControl w:val="false"/>
              <w:rPr/>
            </w:pPr>
            <w:r>
              <w:rPr/>
            </w:r>
          </w:p>
        </w:tc>
        <w:tc>
          <w:tcPr>
            <w:tcW w:w="1930" w:type="dxa"/>
            <w:vMerge w:val="continue"/>
            <w:tcBorders>
              <w:right w:val="single" w:sz="4" w:space="0" w:color="000000"/>
            </w:tcBorders>
            <w:vAlign w:val="center"/>
          </w:tcPr>
          <w:p>
            <w:pPr>
              <w:pStyle w:val="Normal"/>
              <w:widowControl w:val="false"/>
              <w:rPr/>
            </w:pPr>
            <w:r>
              <w:rPr/>
            </w:r>
          </w:p>
        </w:tc>
        <w:tc>
          <w:tcPr>
            <w:tcW w:w="1217" w:type="dxa"/>
            <w:vMerge w:val="continue"/>
            <w:tcBorders>
              <w:right w:val="single" w:sz="4" w:space="0" w:color="000000"/>
            </w:tcBorders>
            <w:vAlign w:val="center"/>
          </w:tcPr>
          <w:p>
            <w:pPr>
              <w:pStyle w:val="Normal"/>
              <w:widowControl w:val="false"/>
              <w:rPr/>
            </w:pPr>
            <w:r>
              <w:rPr/>
            </w:r>
          </w:p>
        </w:tc>
        <w:tc>
          <w:tcPr>
            <w:tcW w:w="1624" w:type="dxa"/>
            <w:vMerge w:val="continue"/>
            <w:tcBorders>
              <w:left w:val="single" w:sz="4" w:space="0" w:color="000000"/>
              <w:right w:val="single" w:sz="4" w:space="0" w:color="000000"/>
            </w:tcBorders>
            <w:vAlign w:val="center"/>
          </w:tcPr>
          <w:p>
            <w:pPr>
              <w:pStyle w:val="Normal"/>
              <w:widowControl w:val="false"/>
              <w:rPr/>
            </w:pPr>
            <w:r>
              <w:rPr/>
            </w:r>
          </w:p>
        </w:tc>
        <w:tc>
          <w:tcPr>
            <w:tcW w:w="1513" w:type="dxa"/>
            <w:vMerge w:val="continue"/>
            <w:tcBorders>
              <w:left w:val="single" w:sz="4" w:space="0" w:color="000000"/>
              <w:right w:val="single" w:sz="4" w:space="0" w:color="000000"/>
            </w:tcBorders>
            <w:vAlign w:val="center"/>
          </w:tcPr>
          <w:p>
            <w:pPr>
              <w:pStyle w:val="Normal"/>
              <w:widowControl w:val="false"/>
              <w:rPr/>
            </w:pPr>
            <w:r>
              <w:rPr/>
            </w:r>
          </w:p>
        </w:tc>
        <w:tc>
          <w:tcPr>
            <w:tcW w:w="1805" w:type="dxa"/>
            <w:vMerge w:val="continue"/>
            <w:tcBorders>
              <w:left w:val="single" w:sz="4" w:space="0" w:color="000000"/>
              <w:right w:val="single" w:sz="4" w:space="0" w:color="000000"/>
            </w:tcBorders>
            <w:vAlign w:val="center"/>
          </w:tcPr>
          <w:p>
            <w:pPr>
              <w:pStyle w:val="Normal"/>
              <w:widowControl w:val="false"/>
              <w:rPr/>
            </w:pPr>
            <w:r>
              <w:rPr/>
            </w:r>
          </w:p>
        </w:tc>
        <w:tc>
          <w:tcPr>
            <w:tcW w:w="1398" w:type="dxa"/>
            <w:vMerge w:val="continue"/>
            <w:tcBorders>
              <w:left w:val="single" w:sz="4" w:space="0" w:color="000000"/>
              <w:right w:val="single" w:sz="4" w:space="0" w:color="000000"/>
            </w:tcBorders>
            <w:vAlign w:val="center"/>
          </w:tcPr>
          <w:p>
            <w:pPr>
              <w:pStyle w:val="Normal"/>
              <w:widowControl w:val="false"/>
              <w:rPr/>
            </w:pPr>
            <w:r>
              <w:rPr/>
            </w:r>
          </w:p>
        </w:tc>
        <w:tc>
          <w:tcPr>
            <w:tcW w:w="961" w:type="dxa"/>
            <w:vMerge w:val="continue"/>
            <w:tcBorders>
              <w:left w:val="single" w:sz="4" w:space="0" w:color="000000"/>
              <w:right w:val="single" w:sz="4" w:space="0" w:color="000000"/>
            </w:tcBorders>
            <w:vAlign w:val="center"/>
          </w:tcPr>
          <w:p>
            <w:pPr>
              <w:pStyle w:val="Normal"/>
              <w:widowControl w:val="false"/>
              <w:rPr/>
            </w:pPr>
            <w:r>
              <w:rPr/>
            </w:r>
          </w:p>
        </w:tc>
      </w:tr>
      <w:tr>
        <w:trPr>
          <w:trHeight w:val="300" w:hRule="atLeast"/>
        </w:trPr>
        <w:tc>
          <w:tcPr>
            <w:tcW w:w="2277" w:type="dxa"/>
            <w:vMerge w:val="continue"/>
            <w:tcBorders>
              <w:left w:val="single" w:sz="4" w:space="0" w:color="000000"/>
              <w:right w:val="single" w:sz="4" w:space="0" w:color="000000"/>
            </w:tcBorders>
          </w:tcPr>
          <w:p>
            <w:pPr>
              <w:pStyle w:val="Normal"/>
              <w:widowControl w:val="false"/>
              <w:rPr/>
            </w:pPr>
            <w:r>
              <w:rPr/>
            </w:r>
          </w:p>
        </w:tc>
        <w:tc>
          <w:tcPr>
            <w:tcW w:w="54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color w:val="000000"/>
                <w:sz w:val="24"/>
                <w:szCs w:val="24"/>
              </w:rPr>
            </w:pPr>
            <w:r>
              <w:rPr>
                <w:rFonts w:cs="Times New Roman" w:ascii="Times New Roman" w:hAnsi="Times New Roman"/>
                <w:color w:val="000000"/>
                <w:sz w:val="24"/>
                <w:szCs w:val="24"/>
              </w:rPr>
              <w:t>Марка поверхностная грунтовая</w:t>
            </w:r>
          </w:p>
        </w:tc>
        <w:tc>
          <w:tcPr>
            <w:tcW w:w="16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МПГ</w:t>
            </w:r>
          </w:p>
        </w:tc>
        <w:tc>
          <w:tcPr>
            <w:tcW w:w="1743" w:type="dxa"/>
            <w:vMerge w:val="continue"/>
            <w:tcBorders>
              <w:left w:val="single" w:sz="4" w:space="0" w:color="000000"/>
              <w:bottom w:val="single" w:sz="4" w:space="0" w:color="000000"/>
              <w:right w:val="single" w:sz="4" w:space="0" w:color="000000"/>
            </w:tcBorders>
            <w:vAlign w:val="center"/>
          </w:tcPr>
          <w:p>
            <w:pPr>
              <w:pStyle w:val="Normal"/>
              <w:widowControl w:val="false"/>
              <w:rPr/>
            </w:pPr>
            <w:r>
              <w:rPr/>
            </w:r>
          </w:p>
        </w:tc>
        <w:tc>
          <w:tcPr>
            <w:tcW w:w="1930" w:type="dxa"/>
            <w:vMerge w:val="continue"/>
            <w:tcBorders>
              <w:bottom w:val="single" w:sz="4" w:space="0" w:color="000000"/>
              <w:right w:val="single" w:sz="4" w:space="0" w:color="000000"/>
            </w:tcBorders>
            <w:vAlign w:val="center"/>
          </w:tcPr>
          <w:p>
            <w:pPr>
              <w:pStyle w:val="Normal"/>
              <w:widowControl w:val="false"/>
              <w:rPr/>
            </w:pPr>
            <w:r>
              <w:rPr/>
            </w:r>
          </w:p>
        </w:tc>
        <w:tc>
          <w:tcPr>
            <w:tcW w:w="1217" w:type="dxa"/>
            <w:vMerge w:val="continue"/>
            <w:tcBorders>
              <w:bottom w:val="single" w:sz="4" w:space="0" w:color="000000"/>
              <w:right w:val="single" w:sz="4" w:space="0" w:color="000000"/>
            </w:tcBorders>
            <w:vAlign w:val="center"/>
          </w:tcPr>
          <w:p>
            <w:pPr>
              <w:pStyle w:val="Normal"/>
              <w:widowControl w:val="false"/>
              <w:rPr/>
            </w:pPr>
            <w:r>
              <w:rPr/>
            </w:r>
          </w:p>
        </w:tc>
        <w:tc>
          <w:tcPr>
            <w:tcW w:w="1624" w:type="dxa"/>
            <w:vMerge w:val="continue"/>
            <w:tcBorders>
              <w:left w:val="single" w:sz="4" w:space="0" w:color="000000"/>
              <w:bottom w:val="single" w:sz="4" w:space="0" w:color="000000"/>
              <w:right w:val="single" w:sz="4" w:space="0" w:color="000000"/>
            </w:tcBorders>
            <w:vAlign w:val="center"/>
          </w:tcPr>
          <w:p>
            <w:pPr>
              <w:pStyle w:val="Normal"/>
              <w:widowControl w:val="false"/>
              <w:rPr/>
            </w:pPr>
            <w:r>
              <w:rPr/>
            </w:r>
          </w:p>
        </w:tc>
        <w:tc>
          <w:tcPr>
            <w:tcW w:w="1513" w:type="dxa"/>
            <w:vMerge w:val="continue"/>
            <w:tcBorders>
              <w:left w:val="single" w:sz="4" w:space="0" w:color="000000"/>
              <w:bottom w:val="single" w:sz="4" w:space="0" w:color="000000"/>
              <w:right w:val="single" w:sz="4" w:space="0" w:color="000000"/>
            </w:tcBorders>
            <w:vAlign w:val="center"/>
          </w:tcPr>
          <w:p>
            <w:pPr>
              <w:pStyle w:val="Normal"/>
              <w:widowControl w:val="false"/>
              <w:rPr/>
            </w:pPr>
            <w:r>
              <w:rPr/>
            </w:r>
          </w:p>
        </w:tc>
        <w:tc>
          <w:tcPr>
            <w:tcW w:w="1805" w:type="dxa"/>
            <w:vMerge w:val="continue"/>
            <w:tcBorders>
              <w:left w:val="single" w:sz="4" w:space="0" w:color="000000"/>
              <w:bottom w:val="single" w:sz="4" w:space="0" w:color="000000"/>
              <w:right w:val="single" w:sz="4" w:space="0" w:color="000000"/>
            </w:tcBorders>
            <w:vAlign w:val="center"/>
          </w:tcPr>
          <w:p>
            <w:pPr>
              <w:pStyle w:val="Normal"/>
              <w:widowControl w:val="false"/>
              <w:rPr/>
            </w:pPr>
            <w:r>
              <w:rPr/>
            </w:r>
          </w:p>
        </w:tc>
        <w:tc>
          <w:tcPr>
            <w:tcW w:w="1398" w:type="dxa"/>
            <w:vMerge w:val="continue"/>
            <w:tcBorders>
              <w:left w:val="single" w:sz="4" w:space="0" w:color="000000"/>
              <w:bottom w:val="single" w:sz="4" w:space="0" w:color="000000"/>
              <w:right w:val="single" w:sz="4" w:space="0" w:color="000000"/>
            </w:tcBorders>
            <w:vAlign w:val="center"/>
          </w:tcPr>
          <w:p>
            <w:pPr>
              <w:pStyle w:val="Normal"/>
              <w:widowControl w:val="false"/>
              <w:rPr/>
            </w:pPr>
            <w:r>
              <w:rPr/>
            </w:r>
          </w:p>
        </w:tc>
        <w:tc>
          <w:tcPr>
            <w:tcW w:w="961" w:type="dxa"/>
            <w:vMerge w:val="continue"/>
            <w:tcBorders>
              <w:left w:val="single" w:sz="4" w:space="0" w:color="000000"/>
              <w:bottom w:val="single" w:sz="4" w:space="0" w:color="000000"/>
              <w:right w:val="single" w:sz="4" w:space="0" w:color="000000"/>
            </w:tcBorders>
            <w:vAlign w:val="center"/>
          </w:tcPr>
          <w:p>
            <w:pPr>
              <w:pStyle w:val="Normal"/>
              <w:widowControl w:val="false"/>
              <w:rPr/>
            </w:pPr>
            <w:r>
              <w:rPr/>
            </w:r>
          </w:p>
        </w:tc>
      </w:tr>
      <w:tr>
        <w:trPr>
          <w:trHeight w:val="300" w:hRule="atLeast"/>
        </w:trPr>
        <w:tc>
          <w:tcPr>
            <w:tcW w:w="2277" w:type="dxa"/>
            <w:tcBorders>
              <w:top w:val="single" w:sz="4" w:space="0" w:color="000000"/>
              <w:left w:val="single" w:sz="4" w:space="0" w:color="000000"/>
              <w:right w:val="single" w:sz="4" w:space="0" w:color="000000"/>
            </w:tcBorders>
            <w:vAlign w:val="center"/>
          </w:tcPr>
          <w:p>
            <w:pPr>
              <w:pStyle w:val="Normal"/>
              <w:widowControl w:val="false"/>
              <w:numPr>
                <w:ilvl w:val="0"/>
                <w:numId w:val="10"/>
              </w:numPr>
              <w:spacing w:lineRule="auto" w:line="240"/>
              <w:ind w:left="0" w:right="0" w:hanging="0"/>
              <w:jc w:val="left"/>
              <w:rPr>
                <w:rFonts w:ascii="Times New Roman" w:hAnsi="Times New Roman" w:cs="Times New Roman"/>
                <w:color w:val="000000"/>
                <w:sz w:val="24"/>
                <w:szCs w:val="24"/>
              </w:rPr>
            </w:pPr>
            <w:r>
              <w:rPr>
                <w:rFonts w:cs="Times New Roman" w:ascii="Times New Roman" w:hAnsi="Times New Roman"/>
                <w:color w:val="000000"/>
                <w:sz w:val="24"/>
                <w:szCs w:val="24"/>
              </w:rPr>
              <w:t>Наблюдения обратных отвесов</w:t>
            </w:r>
          </w:p>
        </w:tc>
        <w:tc>
          <w:tcPr>
            <w:tcW w:w="54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color w:val="000000"/>
                <w:sz w:val="24"/>
                <w:szCs w:val="24"/>
              </w:rPr>
            </w:pPr>
            <w:r>
              <w:rPr>
                <w:rFonts w:cs="Times New Roman" w:ascii="Times New Roman" w:hAnsi="Times New Roman"/>
                <w:color w:val="000000"/>
                <w:sz w:val="24"/>
                <w:szCs w:val="24"/>
              </w:rPr>
              <w:t>Обратный отвес</w:t>
            </w:r>
          </w:p>
        </w:tc>
        <w:tc>
          <w:tcPr>
            <w:tcW w:w="16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ОО</w:t>
            </w:r>
          </w:p>
        </w:tc>
        <w:tc>
          <w:tcPr>
            <w:tcW w:w="17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930"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1 раз в неделю</w:t>
            </w:r>
          </w:p>
        </w:tc>
        <w:tc>
          <w:tcPr>
            <w:tcW w:w="1217"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6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5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8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3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1 раз в неделю</w:t>
            </w:r>
          </w:p>
        </w:tc>
      </w:tr>
      <w:tr>
        <w:trPr>
          <w:trHeight w:val="70" w:hRule="atLeast"/>
        </w:trPr>
        <w:tc>
          <w:tcPr>
            <w:tcW w:w="227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10"/>
              </w:numPr>
              <w:spacing w:lineRule="auto" w:line="240"/>
              <w:ind w:left="0" w:right="0" w:hanging="0"/>
              <w:jc w:val="left"/>
              <w:rPr>
                <w:rFonts w:ascii="Times New Roman" w:hAnsi="Times New Roman" w:cs="Times New Roman"/>
                <w:color w:val="000000"/>
                <w:sz w:val="24"/>
                <w:szCs w:val="24"/>
              </w:rPr>
            </w:pPr>
            <w:r>
              <w:rPr>
                <w:rFonts w:cs="Times New Roman" w:ascii="Times New Roman" w:hAnsi="Times New Roman"/>
                <w:color w:val="000000"/>
                <w:sz w:val="24"/>
                <w:szCs w:val="24"/>
              </w:rPr>
              <w:t>Наблюдения щелемеров</w:t>
            </w:r>
          </w:p>
        </w:tc>
        <w:tc>
          <w:tcPr>
            <w:tcW w:w="54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color w:val="000000"/>
                <w:sz w:val="24"/>
                <w:szCs w:val="24"/>
              </w:rPr>
            </w:pPr>
            <w:r>
              <w:rPr>
                <w:rFonts w:cs="Times New Roman" w:ascii="Times New Roman" w:hAnsi="Times New Roman"/>
                <w:color w:val="000000"/>
                <w:sz w:val="24"/>
                <w:szCs w:val="24"/>
              </w:rPr>
              <w:t>Щелемер одноосный</w:t>
            </w:r>
          </w:p>
        </w:tc>
        <w:tc>
          <w:tcPr>
            <w:tcW w:w="16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Щ</w:t>
            </w:r>
          </w:p>
        </w:tc>
        <w:tc>
          <w:tcPr>
            <w:tcW w:w="17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930"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1 раз в месяц</w:t>
            </w:r>
          </w:p>
        </w:tc>
        <w:tc>
          <w:tcPr>
            <w:tcW w:w="1217"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6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5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8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3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1 раз в месяц</w:t>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r>
      <w:tr>
        <w:trPr>
          <w:trHeight w:val="70" w:hRule="atLeast"/>
        </w:trPr>
        <w:tc>
          <w:tcPr>
            <w:tcW w:w="2277" w:type="dxa"/>
            <w:vMerge w:val="continue"/>
            <w:tcBorders>
              <w:left w:val="single" w:sz="4" w:space="0" w:color="000000"/>
              <w:bottom w:val="single" w:sz="4" w:space="0" w:color="000000"/>
              <w:right w:val="single" w:sz="4" w:space="0" w:color="000000"/>
            </w:tcBorders>
            <w:vAlign w:val="center"/>
          </w:tcPr>
          <w:p>
            <w:pPr>
              <w:pStyle w:val="Normal"/>
              <w:widowControl w:val="false"/>
              <w:rPr/>
            </w:pPr>
            <w:r>
              <w:rPr/>
            </w:r>
          </w:p>
        </w:tc>
        <w:tc>
          <w:tcPr>
            <w:tcW w:w="54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color w:val="000000"/>
                <w:sz w:val="24"/>
                <w:szCs w:val="24"/>
              </w:rPr>
            </w:pPr>
            <w:r>
              <w:rPr>
                <w:rFonts w:cs="Times New Roman" w:ascii="Times New Roman" w:hAnsi="Times New Roman"/>
                <w:color w:val="000000"/>
                <w:sz w:val="24"/>
                <w:szCs w:val="24"/>
              </w:rPr>
              <w:t>Трёхмарочный щелемер модернизированный</w:t>
            </w:r>
          </w:p>
        </w:tc>
        <w:tc>
          <w:tcPr>
            <w:tcW w:w="16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ЩМ</w:t>
            </w:r>
          </w:p>
        </w:tc>
        <w:tc>
          <w:tcPr>
            <w:tcW w:w="17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930"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1 раз в месяц</w:t>
            </w:r>
          </w:p>
        </w:tc>
        <w:tc>
          <w:tcPr>
            <w:tcW w:w="1217"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6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5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1 раз в неделю</w:t>
            </w:r>
          </w:p>
        </w:tc>
        <w:tc>
          <w:tcPr>
            <w:tcW w:w="18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2 раза в месяц</w:t>
            </w:r>
          </w:p>
        </w:tc>
        <w:tc>
          <w:tcPr>
            <w:tcW w:w="13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1 раз в месяц</w:t>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r>
      <w:tr>
        <w:trPr>
          <w:trHeight w:val="600" w:hRule="atLeast"/>
        </w:trPr>
        <w:tc>
          <w:tcPr>
            <w:tcW w:w="2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10"/>
              </w:numPr>
              <w:spacing w:lineRule="auto" w:line="240"/>
              <w:ind w:left="0" w:right="0" w:hanging="0"/>
              <w:jc w:val="left"/>
              <w:rPr>
                <w:rFonts w:ascii="Times New Roman" w:hAnsi="Times New Roman" w:cs="Times New Roman"/>
                <w:color w:val="000000"/>
                <w:sz w:val="24"/>
                <w:szCs w:val="24"/>
              </w:rPr>
            </w:pPr>
            <w:r>
              <w:rPr>
                <w:rFonts w:cs="Times New Roman" w:ascii="Times New Roman" w:hAnsi="Times New Roman"/>
                <w:color w:val="000000"/>
                <w:sz w:val="24"/>
                <w:szCs w:val="24"/>
              </w:rPr>
              <w:t>Наблюдения за подвижками точек склона и деформациями зданий и сооружений</w:t>
            </w:r>
          </w:p>
        </w:tc>
        <w:tc>
          <w:tcPr>
            <w:tcW w:w="54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cs="Times New Roman"/>
                <w:color w:val="000000"/>
                <w:sz w:val="24"/>
                <w:szCs w:val="24"/>
              </w:rPr>
            </w:pPr>
            <w:r>
              <w:rPr>
                <w:rFonts w:cs="Times New Roman" w:ascii="Times New Roman" w:hAnsi="Times New Roman"/>
                <w:color w:val="000000"/>
                <w:sz w:val="24"/>
                <w:szCs w:val="24"/>
              </w:rPr>
              <w:t>Свето-дальномерный знак, пункты плановой опорной сети</w:t>
            </w:r>
          </w:p>
        </w:tc>
        <w:tc>
          <w:tcPr>
            <w:tcW w:w="16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СДЗ</w:t>
            </w:r>
          </w:p>
        </w:tc>
        <w:tc>
          <w:tcPr>
            <w:tcW w:w="17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930"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1 раз в квартал</w:t>
            </w:r>
          </w:p>
        </w:tc>
        <w:tc>
          <w:tcPr>
            <w:tcW w:w="1217"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6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5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8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3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1 раз в квартал</w:t>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1 раз в квартал</w:t>
            </w:r>
          </w:p>
        </w:tc>
      </w:tr>
    </w:tbl>
    <w:p>
      <w:pPr>
        <w:pStyle w:val="Normal"/>
        <w:spacing w:lineRule="auto" w:line="276" w:before="0" w:after="200"/>
        <w:ind w:left="0" w:right="0" w:hanging="0"/>
        <w:jc w:val="left"/>
        <w:rPr>
          <w:rFonts w:ascii="Times New Roman" w:hAnsi="Times New Roman" w:eastAsia="Times New Roman" w:cs="Times New Roman"/>
          <w:szCs w:val="24"/>
        </w:rPr>
      </w:pPr>
      <w:r>
        <w:rPr>
          <w:rFonts w:eastAsia="Times New Roman" w:cs="Times New Roman" w:ascii="Times New Roman" w:hAnsi="Times New Roman"/>
          <w:szCs w:val="24"/>
        </w:rPr>
      </w:r>
      <w:r>
        <w:br w:type="page"/>
      </w:r>
    </w:p>
    <w:p>
      <w:pPr>
        <w:pStyle w:val="Normal"/>
        <w:spacing w:lineRule="auto" w:line="240"/>
        <w:ind w:left="0" w:right="0" w:hanging="0"/>
        <w:rPr>
          <w:rFonts w:ascii="Times New Roman" w:hAnsi="Times New Roman"/>
          <w:sz w:val="24"/>
        </w:rPr>
      </w:pPr>
      <w:r>
        <w:rPr>
          <w:rFonts w:ascii="Times New Roman" w:hAnsi="Times New Roman"/>
          <w:sz w:val="24"/>
        </w:rPr>
        <w:t>Таблица Б.2 – Периодичность проведения визуальных наблюдений в строительный период за состоянием сооружений станционного узла Загорской ГАЭС-2</w:t>
      </w:r>
    </w:p>
    <w:tbl>
      <w:tblPr>
        <w:tblW w:w="21541" w:type="dxa"/>
        <w:jc w:val="center"/>
        <w:tblInd w:w="0" w:type="dxa"/>
        <w:tblLayout w:type="fixed"/>
        <w:tblCellMar>
          <w:top w:w="0" w:type="dxa"/>
          <w:left w:w="108" w:type="dxa"/>
          <w:bottom w:w="0" w:type="dxa"/>
          <w:right w:w="108" w:type="dxa"/>
        </w:tblCellMar>
      </w:tblPr>
      <w:tblGrid>
        <w:gridCol w:w="2330"/>
        <w:gridCol w:w="16376"/>
        <w:gridCol w:w="2835"/>
      </w:tblGrid>
      <w:tr>
        <w:trPr>
          <w:trHeight w:val="470" w:hRule="atLeast"/>
        </w:trPr>
        <w:tc>
          <w:tcPr>
            <w:tcW w:w="23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center"/>
              <w:rPr>
                <w:rFonts w:eastAsia="Calibri"/>
              </w:rPr>
            </w:pPr>
            <w:r>
              <w:rPr>
                <w:rFonts w:eastAsia="Calibri" w:cs="Times New Roman" w:ascii="Times New Roman" w:hAnsi="Times New Roman"/>
                <w:kern w:val="0"/>
                <w:sz w:val="20"/>
                <w:szCs w:val="20"/>
                <w:lang w:val="ru-RU" w:eastAsia="ru-RU" w:bidi="ar-SA"/>
              </w:rPr>
              <w:t>Сооружение</w:t>
            </w:r>
          </w:p>
        </w:tc>
        <w:tc>
          <w:tcPr>
            <w:tcW w:w="16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center"/>
              <w:rPr>
                <w:rFonts w:eastAsia="Calibri"/>
              </w:rPr>
            </w:pPr>
            <w:r>
              <w:rPr>
                <w:rFonts w:eastAsia="Calibri" w:cs="Times New Roman" w:ascii="Times New Roman" w:hAnsi="Times New Roman"/>
                <w:kern w:val="0"/>
                <w:sz w:val="20"/>
                <w:szCs w:val="20"/>
                <w:lang w:val="ru-RU" w:eastAsia="ru-RU" w:bidi="ar-SA"/>
              </w:rPr>
              <w:t>Объект (конструктивный элемент, помещение, отметка)</w:t>
            </w:r>
          </w:p>
        </w:tc>
        <w:tc>
          <w:tcPr>
            <w:tcW w:w="28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center"/>
              <w:rPr>
                <w:rFonts w:eastAsia="Calibri"/>
              </w:rPr>
            </w:pPr>
            <w:r>
              <w:rPr>
                <w:rFonts w:eastAsia="Calibri" w:cs="Times New Roman" w:ascii="Times New Roman" w:hAnsi="Times New Roman"/>
                <w:kern w:val="0"/>
                <w:sz w:val="20"/>
                <w:szCs w:val="20"/>
                <w:lang w:val="ru-RU" w:eastAsia="ru-RU" w:bidi="ar-SA"/>
              </w:rPr>
              <w:t>Периодичность осмотра</w:t>
            </w:r>
          </w:p>
        </w:tc>
      </w:tr>
      <w:tr>
        <w:trPr>
          <w:trHeight w:val="405" w:hRule="atLeast"/>
        </w:trPr>
        <w:tc>
          <w:tcPr>
            <w:tcW w:w="233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1. Здание ГАЭС</w:t>
            </w:r>
          </w:p>
        </w:tc>
        <w:tc>
          <w:tcPr>
            <w:tcW w:w="16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1.1 Помещение на отм. 119,000 м (сливная потерна)</w:t>
            </w:r>
          </w:p>
        </w:tc>
        <w:tc>
          <w:tcPr>
            <w:tcW w:w="28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center"/>
              <w:rPr>
                <w:rFonts w:eastAsia="Calibri"/>
              </w:rPr>
            </w:pPr>
            <w:r>
              <w:rPr>
                <w:rFonts w:eastAsia="Calibri" w:cs="Times New Roman" w:ascii="Times New Roman" w:hAnsi="Times New Roman"/>
                <w:kern w:val="0"/>
                <w:sz w:val="20"/>
                <w:szCs w:val="20"/>
                <w:lang w:val="ru-RU" w:eastAsia="ru-RU" w:bidi="ar-SA"/>
              </w:rPr>
              <w:t>1 раз в неделю</w:t>
            </w:r>
          </w:p>
        </w:tc>
      </w:tr>
      <w:tr>
        <w:trPr/>
        <w:tc>
          <w:tcPr>
            <w:tcW w:w="233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6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1.2 Отсасывающие трубы гидроагрегатов №№ 7 – 10 на отм.  прим. 121,200 – 125,100 м</w:t>
            </w:r>
          </w:p>
        </w:tc>
        <w:tc>
          <w:tcPr>
            <w:tcW w:w="28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center"/>
              <w:rPr>
                <w:rFonts w:eastAsia="Calibri"/>
              </w:rPr>
            </w:pPr>
            <w:r>
              <w:rPr>
                <w:rFonts w:eastAsia="Calibri" w:cs="Times New Roman" w:ascii="Times New Roman" w:hAnsi="Times New Roman"/>
                <w:kern w:val="0"/>
                <w:sz w:val="20"/>
                <w:szCs w:val="20"/>
                <w:lang w:val="ru-RU" w:eastAsia="ru-RU" w:bidi="ar-SA"/>
              </w:rPr>
              <w:t>1 раз в месяц</w:t>
            </w:r>
          </w:p>
        </w:tc>
      </w:tr>
      <w:tr>
        <w:trPr/>
        <w:tc>
          <w:tcPr>
            <w:tcW w:w="233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6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1.3 Помещения на отм. 125,500 м</w:t>
            </w:r>
          </w:p>
        </w:tc>
        <w:tc>
          <w:tcPr>
            <w:tcW w:w="283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center"/>
              <w:rPr>
                <w:rFonts w:eastAsia="Calibri"/>
              </w:rPr>
            </w:pPr>
            <w:r>
              <w:rPr>
                <w:rFonts w:eastAsia="Calibri" w:cs="Times New Roman" w:ascii="Times New Roman" w:hAnsi="Times New Roman"/>
                <w:kern w:val="0"/>
                <w:sz w:val="20"/>
                <w:szCs w:val="20"/>
                <w:lang w:val="ru-RU" w:eastAsia="ru-RU" w:bidi="ar-SA"/>
              </w:rPr>
              <w:t>1 раз в неделю</w:t>
            </w:r>
          </w:p>
        </w:tc>
      </w:tr>
      <w:tr>
        <w:trPr/>
        <w:tc>
          <w:tcPr>
            <w:tcW w:w="233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6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1.4 Помещения на отм. 129,350 м</w:t>
            </w:r>
          </w:p>
        </w:tc>
        <w:tc>
          <w:tcPr>
            <w:tcW w:w="28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c>
          <w:tcPr>
            <w:tcW w:w="233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6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1.5 Помещения на отм. 130,500 м</w:t>
            </w:r>
          </w:p>
        </w:tc>
        <w:tc>
          <w:tcPr>
            <w:tcW w:w="28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c>
          <w:tcPr>
            <w:tcW w:w="233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6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1.6 Помещения на отм. 135,100 м</w:t>
            </w:r>
          </w:p>
        </w:tc>
        <w:tc>
          <w:tcPr>
            <w:tcW w:w="28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c>
          <w:tcPr>
            <w:tcW w:w="233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6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1.7 Помещения на отм. 136,300 м</w:t>
            </w:r>
          </w:p>
        </w:tc>
        <w:tc>
          <w:tcPr>
            <w:tcW w:w="28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c>
          <w:tcPr>
            <w:tcW w:w="233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6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1.8 Помещения на отм. 142,700 м</w:t>
            </w:r>
          </w:p>
        </w:tc>
        <w:tc>
          <w:tcPr>
            <w:tcW w:w="28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c>
          <w:tcPr>
            <w:tcW w:w="233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6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1.9 Машинный зал и помещения на отм. 149,850 м</w:t>
            </w:r>
          </w:p>
        </w:tc>
        <w:tc>
          <w:tcPr>
            <w:tcW w:w="28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95" w:hRule="atLeast"/>
        </w:trPr>
        <w:tc>
          <w:tcPr>
            <w:tcW w:w="233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6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1.10 Помещение на отм. 157,700 м</w:t>
            </w:r>
          </w:p>
        </w:tc>
        <w:tc>
          <w:tcPr>
            <w:tcW w:w="28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95" w:hRule="atLeast"/>
        </w:trPr>
        <w:tc>
          <w:tcPr>
            <w:tcW w:w="233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6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1.11 Перекрытие и стена машинного зала на отм. 149,750 м (площадка прокатки трансформаторов)</w:t>
            </w:r>
          </w:p>
        </w:tc>
        <w:tc>
          <w:tcPr>
            <w:tcW w:w="28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95" w:hRule="atLeast"/>
        </w:trPr>
        <w:tc>
          <w:tcPr>
            <w:tcW w:w="233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6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1.12 Перекрытие и стена кровли на отм. 166,400 м</w:t>
            </w:r>
          </w:p>
        </w:tc>
        <w:tc>
          <w:tcPr>
            <w:tcW w:w="28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95" w:hRule="atLeast"/>
        </w:trPr>
        <w:tc>
          <w:tcPr>
            <w:tcW w:w="233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6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1.13 Грань со стороны компенсаторных переходов КС-19 напорных водоводов №№ 7 – 10</w:t>
            </w:r>
          </w:p>
        </w:tc>
        <w:tc>
          <w:tcPr>
            <w:tcW w:w="28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95" w:hRule="atLeast"/>
        </w:trPr>
        <w:tc>
          <w:tcPr>
            <w:tcW w:w="233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6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1.14 Напорная грань</w:t>
            </w:r>
          </w:p>
        </w:tc>
        <w:tc>
          <w:tcPr>
            <w:tcW w:w="28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467" w:hRule="atLeast"/>
        </w:trPr>
        <w:tc>
          <w:tcPr>
            <w:tcW w:w="233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 xml:space="preserve">2. Монтажная площадка </w:t>
            </w:r>
          </w:p>
        </w:tc>
        <w:tc>
          <w:tcPr>
            <w:tcW w:w="16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2.1 Перекрытие и стена кровли на отм. 166,400 м</w:t>
            </w:r>
          </w:p>
        </w:tc>
        <w:tc>
          <w:tcPr>
            <w:tcW w:w="28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414" w:hRule="atLeast"/>
        </w:trPr>
        <w:tc>
          <w:tcPr>
            <w:tcW w:w="233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6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2.2 Помещения на отм. 149,850 м</w:t>
            </w:r>
          </w:p>
        </w:tc>
        <w:tc>
          <w:tcPr>
            <w:tcW w:w="28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423" w:hRule="atLeast"/>
        </w:trPr>
        <w:tc>
          <w:tcPr>
            <w:tcW w:w="233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6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2.3 Помещения на отм. 142,700 м</w:t>
            </w:r>
          </w:p>
        </w:tc>
        <w:tc>
          <w:tcPr>
            <w:tcW w:w="28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c>
          <w:tcPr>
            <w:tcW w:w="233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6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2.4 Верховые и низовые грани</w:t>
            </w:r>
          </w:p>
        </w:tc>
        <w:tc>
          <w:tcPr>
            <w:tcW w:w="28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419" w:hRule="atLeast"/>
        </w:trPr>
        <w:tc>
          <w:tcPr>
            <w:tcW w:w="233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3. Служебно-производственный комплекс</w:t>
            </w:r>
          </w:p>
        </w:tc>
        <w:tc>
          <w:tcPr>
            <w:tcW w:w="16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3.1 Помещения на первом, втором и третьем этажах</w:t>
            </w:r>
          </w:p>
        </w:tc>
        <w:tc>
          <w:tcPr>
            <w:tcW w:w="283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center"/>
              <w:rPr>
                <w:rFonts w:eastAsia="Calibri"/>
              </w:rPr>
            </w:pPr>
            <w:r>
              <w:rPr>
                <w:rFonts w:eastAsia="Calibri" w:cs="Times New Roman" w:ascii="Times New Roman" w:hAnsi="Times New Roman"/>
                <w:kern w:val="0"/>
                <w:sz w:val="20"/>
                <w:szCs w:val="20"/>
                <w:lang w:val="ru-RU" w:eastAsia="ru-RU" w:bidi="ar-SA"/>
              </w:rPr>
              <w:t>1 раз в месяц</w:t>
            </w:r>
          </w:p>
        </w:tc>
      </w:tr>
      <w:tr>
        <w:trPr/>
        <w:tc>
          <w:tcPr>
            <w:tcW w:w="233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6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3.2 Поверхность наружных стен по периметру СПК</w:t>
            </w:r>
          </w:p>
        </w:tc>
        <w:tc>
          <w:tcPr>
            <w:tcW w:w="28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c>
          <w:tcPr>
            <w:tcW w:w="233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4. Подпорные стены ПС-3, ПС-4, ПС-5, ПС-8, ПС-9, ПС-10</w:t>
            </w:r>
          </w:p>
        </w:tc>
        <w:tc>
          <w:tcPr>
            <w:tcW w:w="16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4.1 Поверхность ПС-3, ПС-4, ПС-5, ПС-9 и ПС-10 на отм. 166,400 м</w:t>
            </w:r>
          </w:p>
        </w:tc>
        <w:tc>
          <w:tcPr>
            <w:tcW w:w="283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center"/>
              <w:rPr>
                <w:rFonts w:eastAsia="Calibri"/>
              </w:rPr>
            </w:pPr>
            <w:r>
              <w:rPr>
                <w:rFonts w:eastAsia="Calibri" w:cs="Times New Roman" w:ascii="Times New Roman" w:hAnsi="Times New Roman"/>
                <w:kern w:val="0"/>
                <w:sz w:val="20"/>
                <w:szCs w:val="20"/>
                <w:lang w:val="ru-RU" w:eastAsia="ru-RU" w:bidi="ar-SA"/>
              </w:rPr>
              <w:t>1 раз в неделю</w:t>
            </w:r>
          </w:p>
        </w:tc>
      </w:tr>
      <w:tr>
        <w:trPr/>
        <w:tc>
          <w:tcPr>
            <w:tcW w:w="233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6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4.2 Поверхность стены ПС-8 на отм. 144,800 м</w:t>
            </w:r>
          </w:p>
        </w:tc>
        <w:tc>
          <w:tcPr>
            <w:tcW w:w="28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c>
          <w:tcPr>
            <w:tcW w:w="233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6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4.3 Открытые верховые и низовые грани наружных стен ПС-3, ПС-4, ПС-5, ПС-9 и ПС-10 (со стороны реверсивного канала и со стороны склона напорных водоводов)</w:t>
            </w:r>
          </w:p>
        </w:tc>
        <w:tc>
          <w:tcPr>
            <w:tcW w:w="28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c>
          <w:tcPr>
            <w:tcW w:w="233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6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4.4 Грань стены ПС-8 (со стороны реверсивного канала)</w:t>
            </w:r>
          </w:p>
        </w:tc>
        <w:tc>
          <w:tcPr>
            <w:tcW w:w="28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521" w:hRule="atLeast"/>
        </w:trPr>
        <w:tc>
          <w:tcPr>
            <w:tcW w:w="233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 xml:space="preserve">5. Подпорные стены </w:t>
            </w:r>
          </w:p>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 xml:space="preserve">ПВ-1 – ПВ-6, </w:t>
            </w:r>
          </w:p>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ЛВ-1 – ЛВ-6</w:t>
            </w:r>
          </w:p>
        </w:tc>
        <w:tc>
          <w:tcPr>
            <w:tcW w:w="16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5.1 Поверхность стен ПВ-3 – ПВ-5 и ЛВ-1 – ЛВ-6 на отм. 149,850 м</w:t>
            </w:r>
          </w:p>
        </w:tc>
        <w:tc>
          <w:tcPr>
            <w:tcW w:w="28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413" w:hRule="atLeast"/>
        </w:trPr>
        <w:tc>
          <w:tcPr>
            <w:tcW w:w="233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6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5.2. Грань стен ПВ-1 – ПВ-6 и ЛВ-1 – ЛВ-6 со стороны напорных водоводов</w:t>
            </w:r>
          </w:p>
        </w:tc>
        <w:tc>
          <w:tcPr>
            <w:tcW w:w="28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c>
          <w:tcPr>
            <w:tcW w:w="233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6. ППТУ-4</w:t>
            </w:r>
          </w:p>
        </w:tc>
        <w:tc>
          <w:tcPr>
            <w:tcW w:w="16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6.1 Поверхность на отм. 149,750 м</w:t>
            </w:r>
          </w:p>
        </w:tc>
        <w:tc>
          <w:tcPr>
            <w:tcW w:w="28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c>
          <w:tcPr>
            <w:tcW w:w="233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6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6.2 Грань со стороны склона напорных водоводов</w:t>
            </w:r>
          </w:p>
        </w:tc>
        <w:tc>
          <w:tcPr>
            <w:tcW w:w="28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405" w:hRule="atLeast"/>
        </w:trPr>
        <w:tc>
          <w:tcPr>
            <w:tcW w:w="233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7. Перемычка реверсивного канала</w:t>
            </w:r>
          </w:p>
        </w:tc>
        <w:tc>
          <w:tcPr>
            <w:tcW w:w="16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7.1 Надводный участок верхового откоса, в т.ч. в зоне переменного уровня (отм. 153,500 – 161,000 м)</w:t>
            </w:r>
          </w:p>
        </w:tc>
        <w:tc>
          <w:tcPr>
            <w:tcW w:w="28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center"/>
              <w:rPr>
                <w:rFonts w:eastAsia="Calibri"/>
              </w:rPr>
            </w:pPr>
            <w:r>
              <w:rPr>
                <w:rFonts w:eastAsia="Calibri" w:cs="Times New Roman" w:ascii="Times New Roman" w:hAnsi="Times New Roman"/>
                <w:kern w:val="0"/>
                <w:sz w:val="20"/>
                <w:szCs w:val="20"/>
                <w:lang w:val="ru-RU" w:eastAsia="ru-RU" w:bidi="ar-SA"/>
              </w:rPr>
              <w:t xml:space="preserve">3 раза в неделю </w:t>
            </w:r>
          </w:p>
          <w:p>
            <w:pPr>
              <w:pStyle w:val="Normal"/>
              <w:widowControl w:val="false"/>
              <w:suppressAutoHyphens w:val="true"/>
              <w:spacing w:lineRule="auto" w:line="276" w:before="0" w:after="0"/>
              <w:ind w:left="0" w:right="0" w:hanging="0"/>
              <w:jc w:val="center"/>
              <w:rPr>
                <w:rFonts w:eastAsia="Calibri"/>
              </w:rPr>
            </w:pPr>
            <w:r>
              <w:rPr>
                <w:rFonts w:eastAsia="Calibri" w:cs="Times New Roman" w:ascii="Times New Roman" w:hAnsi="Times New Roman"/>
                <w:kern w:val="0"/>
                <w:sz w:val="20"/>
                <w:szCs w:val="20"/>
                <w:lang w:val="ru-RU" w:eastAsia="ru-RU" w:bidi="ar-SA"/>
              </w:rPr>
              <w:t>(при мин УНБ)</w:t>
            </w:r>
          </w:p>
        </w:tc>
      </w:tr>
      <w:tr>
        <w:trPr/>
        <w:tc>
          <w:tcPr>
            <w:tcW w:w="233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6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7.2 Гребень на отм. 163,300 м (дорога) и на отм. 164,000 м</w:t>
            </w:r>
          </w:p>
        </w:tc>
        <w:tc>
          <w:tcPr>
            <w:tcW w:w="283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center"/>
              <w:rPr>
                <w:rFonts w:eastAsia="Calibri"/>
              </w:rPr>
            </w:pPr>
            <w:r>
              <w:rPr>
                <w:rFonts w:eastAsia="Calibri" w:cs="Times New Roman" w:ascii="Times New Roman" w:hAnsi="Times New Roman"/>
                <w:kern w:val="0"/>
                <w:sz w:val="20"/>
                <w:szCs w:val="20"/>
                <w:lang w:val="ru-RU" w:eastAsia="ru-RU" w:bidi="ar-SA"/>
              </w:rPr>
              <w:t>3 раза в неделю</w:t>
            </w:r>
          </w:p>
        </w:tc>
      </w:tr>
      <w:tr>
        <w:trPr/>
        <w:tc>
          <w:tcPr>
            <w:tcW w:w="233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6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7.3 Низовой откос и бермы на нём (отм. 151,250, 154,200, 158,200 м)</w:t>
            </w:r>
          </w:p>
        </w:tc>
        <w:tc>
          <w:tcPr>
            <w:tcW w:w="28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c>
          <w:tcPr>
            <w:tcW w:w="233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6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7.4 Левобережные и правобережные сопряжения перемычки с бортами реверсивного канала (со стороны нижнего бассейна и со стороны реверсивного канала)</w:t>
            </w:r>
          </w:p>
        </w:tc>
        <w:tc>
          <w:tcPr>
            <w:tcW w:w="28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419" w:hRule="atLeast"/>
        </w:trPr>
        <w:tc>
          <w:tcPr>
            <w:tcW w:w="233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8. Прилегающая территория ГТС станционного узла</w:t>
            </w:r>
          </w:p>
        </w:tc>
        <w:tc>
          <w:tcPr>
            <w:tcW w:w="16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8.1 Площадка размещения КРУЭ-500</w:t>
            </w:r>
          </w:p>
        </w:tc>
        <w:tc>
          <w:tcPr>
            <w:tcW w:w="283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center"/>
              <w:rPr>
                <w:rFonts w:eastAsia="Calibri"/>
              </w:rPr>
            </w:pPr>
            <w:r>
              <w:rPr>
                <w:rFonts w:eastAsia="Calibri" w:cs="Times New Roman" w:ascii="Times New Roman" w:hAnsi="Times New Roman"/>
                <w:kern w:val="0"/>
                <w:sz w:val="20"/>
                <w:szCs w:val="20"/>
                <w:lang w:val="ru-RU" w:eastAsia="ru-RU" w:bidi="ar-SA"/>
              </w:rPr>
              <w:t>1 раз в неделю</w:t>
            </w:r>
          </w:p>
        </w:tc>
      </w:tr>
      <w:tr>
        <w:trPr/>
        <w:tc>
          <w:tcPr>
            <w:tcW w:w="233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6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8.2 Понур, рисберма, откосы реверсивного канала</w:t>
            </w:r>
          </w:p>
        </w:tc>
        <w:tc>
          <w:tcPr>
            <w:tcW w:w="28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c>
          <w:tcPr>
            <w:tcW w:w="233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6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76" w:before="0" w:after="0"/>
              <w:ind w:left="0" w:right="0" w:hanging="0"/>
              <w:jc w:val="left"/>
              <w:rPr>
                <w:rFonts w:eastAsia="Calibri"/>
              </w:rPr>
            </w:pPr>
            <w:r>
              <w:rPr>
                <w:rFonts w:eastAsia="Calibri" w:cs="Times New Roman" w:ascii="Times New Roman" w:hAnsi="Times New Roman"/>
                <w:kern w:val="0"/>
                <w:sz w:val="20"/>
                <w:szCs w:val="20"/>
                <w:lang w:val="ru-RU" w:eastAsia="ru-RU" w:bidi="ar-SA"/>
              </w:rPr>
              <w:t>8.3 Откосы и бермы котлована здания ГАЭС со стороны склона напорных водоводов</w:t>
            </w:r>
          </w:p>
        </w:tc>
        <w:tc>
          <w:tcPr>
            <w:tcW w:w="28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bl>
    <w:p>
      <w:pPr>
        <w:pStyle w:val="Normal"/>
        <w:spacing w:lineRule="auto" w:line="276"/>
        <w:ind w:left="142" w:right="0" w:hanging="0"/>
        <w:jc w:val="center"/>
        <w:rPr>
          <w:rFonts w:ascii="Times New Roman" w:hAnsi="Times New Roman" w:cs="Times New Roman"/>
          <w:sz w:val="28"/>
          <w:szCs w:val="24"/>
        </w:rPr>
      </w:pPr>
      <w:r>
        <w:rPr>
          <w:rFonts w:cs="Times New Roman" w:ascii="Times New Roman" w:hAnsi="Times New Roman"/>
          <w:sz w:val="28"/>
          <w:szCs w:val="24"/>
        </w:rPr>
      </w:r>
    </w:p>
    <w:p>
      <w:pPr>
        <w:pStyle w:val="Normal"/>
        <w:spacing w:lineRule="auto" w:line="276"/>
        <w:ind w:left="142" w:right="0" w:hanging="0"/>
        <w:jc w:val="center"/>
        <w:rPr>
          <w:rFonts w:ascii="Times New Roman" w:hAnsi="Times New Roman" w:cs="Times New Roman"/>
          <w:sz w:val="28"/>
          <w:szCs w:val="24"/>
        </w:rPr>
      </w:pPr>
      <w:r>
        <w:rPr>
          <w:rFonts w:cs="Times New Roman" w:ascii="Times New Roman" w:hAnsi="Times New Roman"/>
          <w:sz w:val="28"/>
          <w:szCs w:val="24"/>
        </w:rPr>
      </w:r>
    </w:p>
    <w:p>
      <w:pPr>
        <w:pStyle w:val="Normal"/>
        <w:spacing w:lineRule="auto" w:line="276"/>
        <w:ind w:left="142" w:right="0" w:hanging="0"/>
        <w:jc w:val="center"/>
        <w:rPr>
          <w:rFonts w:ascii="Times New Roman" w:hAnsi="Times New Roman" w:cs="Times New Roman"/>
          <w:sz w:val="28"/>
          <w:szCs w:val="24"/>
        </w:rPr>
      </w:pPr>
      <w:r>
        <w:rPr>
          <w:rFonts w:cs="Times New Roman" w:ascii="Times New Roman" w:hAnsi="Times New Roman"/>
          <w:sz w:val="28"/>
          <w:szCs w:val="24"/>
        </w:rPr>
      </w:r>
    </w:p>
    <w:p>
      <w:pPr>
        <w:pStyle w:val="Normal"/>
        <w:spacing w:lineRule="auto" w:line="276"/>
        <w:ind w:left="142" w:right="0" w:hanging="0"/>
        <w:jc w:val="center"/>
        <w:rPr>
          <w:rFonts w:ascii="Times New Roman" w:hAnsi="Times New Roman" w:cs="Times New Roman"/>
          <w:sz w:val="28"/>
          <w:szCs w:val="24"/>
        </w:rPr>
      </w:pPr>
      <w:r>
        <w:rPr>
          <w:rFonts w:cs="Times New Roman" w:ascii="Times New Roman" w:hAnsi="Times New Roman"/>
          <w:sz w:val="28"/>
          <w:szCs w:val="24"/>
        </w:rPr>
      </w:r>
    </w:p>
    <w:p>
      <w:pPr>
        <w:pStyle w:val="Normal"/>
        <w:spacing w:lineRule="auto" w:line="276"/>
        <w:ind w:left="142" w:right="0" w:hanging="0"/>
        <w:jc w:val="center"/>
        <w:rPr>
          <w:rFonts w:ascii="Times New Roman" w:hAnsi="Times New Roman" w:cs="Times New Roman"/>
          <w:sz w:val="28"/>
          <w:szCs w:val="24"/>
        </w:rPr>
      </w:pPr>
      <w:r>
        <w:rPr>
          <w:rFonts w:cs="Times New Roman" w:ascii="Times New Roman" w:hAnsi="Times New Roman"/>
          <w:sz w:val="28"/>
          <w:szCs w:val="24"/>
        </w:rPr>
      </w:r>
    </w:p>
    <w:p>
      <w:pPr>
        <w:pStyle w:val="Normal"/>
        <w:spacing w:lineRule="auto" w:line="240" w:before="0" w:after="120"/>
        <w:ind w:left="0" w:right="0" w:hanging="0"/>
        <w:rPr>
          <w:rFonts w:ascii="Times New Roman" w:hAnsi="Times New Roman"/>
          <w:sz w:val="24"/>
        </w:rPr>
      </w:pPr>
      <w:r>
        <w:rPr>
          <w:rFonts w:ascii="Times New Roman" w:hAnsi="Times New Roman"/>
          <w:sz w:val="24"/>
        </w:rPr>
        <w:t>Таблица Б.3 – Периодичность проведения инструментальный наблюдений в строительный период за состоянием сооружений станционного узла Загорской ГАЭС-2</w:t>
      </w:r>
    </w:p>
    <w:tbl>
      <w:tblPr>
        <w:tblW w:w="5000" w:type="pct"/>
        <w:jc w:val="left"/>
        <w:tblInd w:w="0" w:type="dxa"/>
        <w:tblLayout w:type="fixed"/>
        <w:tblCellMar>
          <w:top w:w="15" w:type="dxa"/>
          <w:left w:w="15" w:type="dxa"/>
          <w:bottom w:w="0" w:type="dxa"/>
          <w:right w:w="15" w:type="dxa"/>
        </w:tblCellMar>
      </w:tblPr>
      <w:tblGrid>
        <w:gridCol w:w="1882"/>
        <w:gridCol w:w="2493"/>
        <w:gridCol w:w="2059"/>
        <w:gridCol w:w="1616"/>
        <w:gridCol w:w="1476"/>
        <w:gridCol w:w="1766"/>
        <w:gridCol w:w="1616"/>
        <w:gridCol w:w="1478"/>
        <w:gridCol w:w="1163"/>
        <w:gridCol w:w="1323"/>
        <w:gridCol w:w="1611"/>
        <w:gridCol w:w="1474"/>
        <w:gridCol w:w="1585"/>
      </w:tblGrid>
      <w:tr>
        <w:trPr>
          <w:trHeight w:val="1096" w:hRule="atLeast"/>
        </w:trPr>
        <w:tc>
          <w:tcPr>
            <w:tcW w:w="18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Вид наблюдений</w:t>
            </w:r>
          </w:p>
        </w:tc>
        <w:tc>
          <w:tcPr>
            <w:tcW w:w="2493"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Наименование КИА</w:t>
            </w:r>
          </w:p>
        </w:tc>
        <w:tc>
          <w:tcPr>
            <w:tcW w:w="2059"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Служебно-производственный корпус</w:t>
            </w:r>
          </w:p>
        </w:tc>
        <w:tc>
          <w:tcPr>
            <w:tcW w:w="1616" w:type="dxa"/>
            <w:tcBorders>
              <w:top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Монтажная  площадка</w:t>
            </w:r>
          </w:p>
        </w:tc>
        <w:tc>
          <w:tcPr>
            <w:tcW w:w="1476" w:type="dxa"/>
            <w:tcBorders>
              <w:top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Здание ГАЭС</w:t>
            </w:r>
          </w:p>
        </w:tc>
        <w:tc>
          <w:tcPr>
            <w:tcW w:w="1766" w:type="dxa"/>
            <w:tcBorders>
              <w:top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Подпорные стены ПС-3, ПС-4, ПС-5, ПС-9, ПС-10</w:t>
            </w:r>
          </w:p>
        </w:tc>
        <w:tc>
          <w:tcPr>
            <w:tcW w:w="1616" w:type="dxa"/>
            <w:tcBorders>
              <w:top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Подпорные стены</w:t>
            </w:r>
          </w:p>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Calibri" w:cs="Times New Roman" w:ascii="Times New Roman" w:hAnsi="Times New Roman"/>
                <w:sz w:val="24"/>
                <w:szCs w:val="24"/>
              </w:rPr>
              <w:t>ЛВ-1 – ЛВ-6</w:t>
            </w:r>
          </w:p>
        </w:tc>
        <w:tc>
          <w:tcPr>
            <w:tcW w:w="1478" w:type="dxa"/>
            <w:tcBorders>
              <w:top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Подпорные стены</w:t>
            </w:r>
          </w:p>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Calibri" w:cs="Times New Roman" w:ascii="Times New Roman" w:hAnsi="Times New Roman"/>
                <w:sz w:val="24"/>
                <w:szCs w:val="24"/>
              </w:rPr>
              <w:t>ПВ-1 – ПВ-6</w:t>
            </w:r>
          </w:p>
        </w:tc>
        <w:tc>
          <w:tcPr>
            <w:tcW w:w="1163" w:type="dxa"/>
            <w:tcBorders>
              <w:top w:val="single" w:sz="4" w:space="0" w:color="000000"/>
              <w:left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Calibri" w:cs="Times New Roman" w:ascii="Times New Roman" w:hAnsi="Times New Roman"/>
                <w:sz w:val="24"/>
                <w:szCs w:val="24"/>
              </w:rPr>
              <w:t>ППТУ-4</w:t>
            </w:r>
          </w:p>
        </w:tc>
        <w:tc>
          <w:tcPr>
            <w:tcW w:w="1323" w:type="dxa"/>
            <w:tcBorders>
              <w:top w:val="single" w:sz="4" w:space="0" w:color="000000"/>
              <w:left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Подпорная стена</w:t>
            </w:r>
          </w:p>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ПС-8</w:t>
            </w:r>
          </w:p>
        </w:tc>
        <w:tc>
          <w:tcPr>
            <w:tcW w:w="1611" w:type="dxa"/>
            <w:tcBorders>
              <w:top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Откосы и прилегающая территория</w:t>
            </w:r>
          </w:p>
        </w:tc>
        <w:tc>
          <w:tcPr>
            <w:tcW w:w="1474" w:type="dxa"/>
            <w:tcBorders>
              <w:top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Площадка размещения</w:t>
            </w:r>
          </w:p>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КРУЭ</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Перемычка</w:t>
            </w:r>
          </w:p>
        </w:tc>
      </w:tr>
      <w:tr>
        <w:trPr>
          <w:trHeight w:val="696" w:hRule="atLeast"/>
        </w:trPr>
        <w:tc>
          <w:tcPr>
            <w:tcW w:w="1882" w:type="dxa"/>
            <w:vMerge w:val="restart"/>
            <w:tcBorders>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Наблюдения за раскрытием трещин</w:t>
            </w:r>
          </w:p>
        </w:tc>
        <w:tc>
          <w:tcPr>
            <w:tcW w:w="2493"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Щелемер одноосный (Щ)</w:t>
            </w:r>
          </w:p>
        </w:tc>
        <w:tc>
          <w:tcPr>
            <w:tcW w:w="3675" w:type="dxa"/>
            <w:gridSpan w:val="2"/>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76" w:type="dxa"/>
            <w:vMerge w:val="restart"/>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р/месяц</w:t>
            </w:r>
          </w:p>
        </w:tc>
        <w:tc>
          <w:tcPr>
            <w:tcW w:w="1766"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616"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78" w:type="dxa"/>
            <w:tcBorders>
              <w:top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163" w:type="dxa"/>
            <w:tcBorders>
              <w:top w:val="single" w:sz="4" w:space="0" w:color="000000"/>
              <w:left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323" w:type="dxa"/>
            <w:tcBorders>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611" w:type="dxa"/>
            <w:tcBorders>
              <w:top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74" w:type="dxa"/>
            <w:tcBorders>
              <w:left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585" w:type="dxa"/>
            <w:tcBorders>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r>
      <w:tr>
        <w:trPr>
          <w:trHeight w:val="848" w:hRule="atLeast"/>
        </w:trPr>
        <w:tc>
          <w:tcPr>
            <w:tcW w:w="1882" w:type="dxa"/>
            <w:vMerge w:val="continue"/>
            <w:tcBorders>
              <w:left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rPr/>
            </w:pPr>
            <w:r>
              <w:rPr/>
            </w:r>
          </w:p>
        </w:tc>
        <w:tc>
          <w:tcPr>
            <w:tcW w:w="2493"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Преобразователь линейных перемещений (ПЛПС)</w:t>
            </w:r>
          </w:p>
        </w:tc>
        <w:tc>
          <w:tcPr>
            <w:tcW w:w="3675" w:type="dxa"/>
            <w:gridSpan w:val="2"/>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76" w:type="dxa"/>
            <w:vMerge w:val="continue"/>
            <w:tcBorders>
              <w:right w:val="single" w:sz="4" w:space="0" w:color="000000"/>
            </w:tcBorders>
            <w:vAlign w:val="center"/>
          </w:tcPr>
          <w:p>
            <w:pPr>
              <w:pStyle w:val="Normal"/>
              <w:widowControl w:val="false"/>
              <w:rPr/>
            </w:pPr>
            <w:r>
              <w:rPr/>
            </w:r>
          </w:p>
        </w:tc>
        <w:tc>
          <w:tcPr>
            <w:tcW w:w="1766"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616"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78" w:type="dxa"/>
            <w:tcBorders>
              <w:top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163" w:type="dxa"/>
            <w:tcBorders>
              <w:top w:val="single" w:sz="4" w:space="0" w:color="000000"/>
              <w:left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323" w:type="dxa"/>
            <w:tcBorders>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611" w:type="dxa"/>
            <w:tcBorders>
              <w:top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74" w:type="dxa"/>
            <w:tcBorders>
              <w:left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585" w:type="dxa"/>
            <w:tcBorders>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r>
      <w:tr>
        <w:trPr>
          <w:trHeight w:val="832" w:hRule="atLeast"/>
        </w:trPr>
        <w:tc>
          <w:tcPr>
            <w:tcW w:w="1882" w:type="dxa"/>
            <w:tcBorders>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Наблюдения за температурным режимом</w:t>
            </w:r>
          </w:p>
        </w:tc>
        <w:tc>
          <w:tcPr>
            <w:tcW w:w="2493"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Преобразователь температуры (ПТС)</w:t>
            </w:r>
          </w:p>
        </w:tc>
        <w:tc>
          <w:tcPr>
            <w:tcW w:w="3675" w:type="dxa"/>
            <w:gridSpan w:val="2"/>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р/неделю</w:t>
            </w:r>
          </w:p>
        </w:tc>
        <w:tc>
          <w:tcPr>
            <w:tcW w:w="1476" w:type="dxa"/>
            <w:vMerge w:val="continue"/>
            <w:tcBorders>
              <w:right w:val="single" w:sz="4" w:space="0" w:color="000000"/>
            </w:tcBorders>
            <w:tcMar>
              <w:top w:w="0" w:type="dxa"/>
              <w:left w:w="5" w:type="dxa"/>
              <w:right w:w="5" w:type="dxa"/>
            </w:tcMar>
            <w:vAlign w:val="center"/>
          </w:tcPr>
          <w:p>
            <w:pPr>
              <w:pStyle w:val="Normal"/>
              <w:widowControl w:val="false"/>
              <w:rPr/>
            </w:pPr>
            <w:r>
              <w:rPr/>
            </w:r>
          </w:p>
        </w:tc>
        <w:tc>
          <w:tcPr>
            <w:tcW w:w="4860" w:type="dxa"/>
            <w:gridSpan w:val="3"/>
            <w:tcBorders>
              <w:top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р/неделю</w:t>
            </w:r>
          </w:p>
        </w:tc>
        <w:tc>
          <w:tcPr>
            <w:tcW w:w="1163" w:type="dxa"/>
            <w:tcBorders>
              <w:top w:val="single" w:sz="4" w:space="0" w:color="000000"/>
              <w:left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323" w:type="dxa"/>
            <w:tcBorders>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611" w:type="dxa"/>
            <w:tcBorders>
              <w:top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74" w:type="dxa"/>
            <w:tcBorders>
              <w:left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585" w:type="dxa"/>
            <w:tcBorders>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r>
      <w:tr>
        <w:trPr>
          <w:trHeight w:val="1835" w:hRule="atLeast"/>
        </w:trPr>
        <w:tc>
          <w:tcPr>
            <w:tcW w:w="1882" w:type="dxa"/>
            <w:tcBorders>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Наблюдения за НДС</w:t>
            </w:r>
          </w:p>
        </w:tc>
        <w:tc>
          <w:tcPr>
            <w:tcW w:w="2493"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Преобразователь линейных перемещений, деформаций и силы арматуры (ПЛПС, ПЛДС, ПСАС)</w:t>
            </w:r>
          </w:p>
        </w:tc>
        <w:tc>
          <w:tcPr>
            <w:tcW w:w="3675" w:type="dxa"/>
            <w:gridSpan w:val="2"/>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р/неделю</w:t>
            </w:r>
          </w:p>
        </w:tc>
        <w:tc>
          <w:tcPr>
            <w:tcW w:w="1476" w:type="dxa"/>
            <w:vMerge w:val="continue"/>
            <w:tcBorders>
              <w:right w:val="single" w:sz="4" w:space="0" w:color="000000"/>
            </w:tcBorders>
            <w:tcMar>
              <w:top w:w="0" w:type="dxa"/>
              <w:left w:w="5" w:type="dxa"/>
              <w:right w:w="5" w:type="dxa"/>
            </w:tcMar>
            <w:vAlign w:val="center"/>
          </w:tcPr>
          <w:p>
            <w:pPr>
              <w:pStyle w:val="Normal"/>
              <w:widowControl w:val="false"/>
              <w:rPr/>
            </w:pPr>
            <w:r>
              <w:rPr/>
            </w:r>
          </w:p>
        </w:tc>
        <w:tc>
          <w:tcPr>
            <w:tcW w:w="4860" w:type="dxa"/>
            <w:gridSpan w:val="3"/>
            <w:tcBorders>
              <w:top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р/неделю</w:t>
            </w:r>
          </w:p>
        </w:tc>
        <w:tc>
          <w:tcPr>
            <w:tcW w:w="1163" w:type="dxa"/>
            <w:tcBorders>
              <w:top w:val="single" w:sz="4" w:space="0" w:color="000000"/>
              <w:left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323" w:type="dxa"/>
            <w:tcBorders>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611" w:type="dxa"/>
            <w:tcBorders>
              <w:top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74" w:type="dxa"/>
            <w:tcBorders>
              <w:left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585" w:type="dxa"/>
            <w:tcBorders>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r>
      <w:tr>
        <w:trPr>
          <w:trHeight w:val="600" w:hRule="atLeast"/>
        </w:trPr>
        <w:tc>
          <w:tcPr>
            <w:tcW w:w="1882" w:type="dxa"/>
            <w:vMerge w:val="restart"/>
            <w:tcBorders>
              <w:left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Наблюдения за фильтрационным режимом</w:t>
            </w:r>
          </w:p>
        </w:tc>
        <w:tc>
          <w:tcPr>
            <w:tcW w:w="2493"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Преобразователь давления (ПДС)</w:t>
            </w:r>
          </w:p>
        </w:tc>
        <w:tc>
          <w:tcPr>
            <w:tcW w:w="2059" w:type="dxa"/>
            <w:tcBorders>
              <w:top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р/неделю</w:t>
            </w:r>
          </w:p>
        </w:tc>
        <w:tc>
          <w:tcPr>
            <w:tcW w:w="1616" w:type="dxa"/>
            <w:tcBorders>
              <w:top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76" w:type="dxa"/>
            <w:vMerge w:val="continue"/>
            <w:tcBorders>
              <w:bottom w:val="single" w:sz="4" w:space="0" w:color="000000"/>
              <w:right w:val="single" w:sz="4" w:space="0" w:color="000000"/>
            </w:tcBorders>
            <w:tcMar>
              <w:top w:w="0" w:type="dxa"/>
              <w:left w:w="5" w:type="dxa"/>
              <w:right w:w="5" w:type="dxa"/>
            </w:tcMar>
            <w:vAlign w:val="center"/>
          </w:tcPr>
          <w:p>
            <w:pPr>
              <w:pStyle w:val="Normal"/>
              <w:widowControl w:val="false"/>
              <w:rPr/>
            </w:pPr>
            <w:r>
              <w:rPr/>
            </w:r>
          </w:p>
        </w:tc>
        <w:tc>
          <w:tcPr>
            <w:tcW w:w="1766" w:type="dxa"/>
            <w:tcBorders>
              <w:top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3094" w:type="dxa"/>
            <w:gridSpan w:val="2"/>
            <w:tcBorders>
              <w:top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р/неделю</w:t>
            </w:r>
          </w:p>
        </w:tc>
        <w:tc>
          <w:tcPr>
            <w:tcW w:w="1163" w:type="dxa"/>
            <w:tcBorders>
              <w:top w:val="single" w:sz="4" w:space="0" w:color="000000"/>
              <w:left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323" w:type="dxa"/>
            <w:tcBorders>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611" w:type="dxa"/>
            <w:tcBorders>
              <w:top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74" w:type="dxa"/>
            <w:tcBorders>
              <w:left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585" w:type="dxa"/>
            <w:tcBorders>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 р/неделю</w:t>
            </w:r>
          </w:p>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(при </w:t>
            </w:r>
            <w:r>
              <w:rPr>
                <w:rFonts w:eastAsia="Times New Roman" w:cs="Times New Roman" w:ascii="Times New Roman" w:hAnsi="Times New Roman"/>
                <w:sz w:val="24"/>
                <w:szCs w:val="24"/>
                <w:lang w:val="en-US" w:eastAsia="ru-RU"/>
              </w:rPr>
              <w:t>max</w:t>
            </w:r>
            <w:r>
              <w:rPr>
                <w:rFonts w:eastAsia="Times New Roman" w:cs="Times New Roman" w:ascii="Times New Roman" w:hAnsi="Times New Roman"/>
                <w:sz w:val="24"/>
                <w:szCs w:val="24"/>
                <w:lang w:eastAsia="ru-RU"/>
              </w:rPr>
              <w:t xml:space="preserve"> уровне в НАБ)</w:t>
            </w:r>
          </w:p>
        </w:tc>
      </w:tr>
      <w:tr>
        <w:trPr>
          <w:trHeight w:val="300" w:hRule="atLeast"/>
        </w:trPr>
        <w:tc>
          <w:tcPr>
            <w:tcW w:w="1882" w:type="dxa"/>
            <w:vMerge w:val="continue"/>
            <w:tcBorders>
              <w:left w:val="single" w:sz="4" w:space="0" w:color="000000"/>
              <w:right w:val="single" w:sz="4" w:space="0" w:color="000000"/>
            </w:tcBorders>
            <w:tcMar>
              <w:top w:w="0" w:type="dxa"/>
              <w:left w:w="5" w:type="dxa"/>
              <w:right w:w="5" w:type="dxa"/>
            </w:tcMar>
            <w:vAlign w:val="center"/>
          </w:tcPr>
          <w:p>
            <w:pPr>
              <w:pStyle w:val="Normal"/>
              <w:widowControl w:val="false"/>
              <w:rPr/>
            </w:pPr>
            <w:r>
              <w:rPr/>
            </w:r>
          </w:p>
        </w:tc>
        <w:tc>
          <w:tcPr>
            <w:tcW w:w="2493"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Пьезометр закладной напорный, боковой (ПЗН, ПЗНБ)</w:t>
            </w:r>
          </w:p>
        </w:tc>
        <w:tc>
          <w:tcPr>
            <w:tcW w:w="2059"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р/неделю</w:t>
            </w:r>
          </w:p>
        </w:tc>
        <w:tc>
          <w:tcPr>
            <w:tcW w:w="1616"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76"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р/неделю</w:t>
            </w:r>
          </w:p>
        </w:tc>
        <w:tc>
          <w:tcPr>
            <w:tcW w:w="1766"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616"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78" w:type="dxa"/>
            <w:tcBorders>
              <w:top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163" w:type="dxa"/>
            <w:tcBorders>
              <w:top w:val="single" w:sz="4" w:space="0" w:color="000000"/>
              <w:left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323" w:type="dxa"/>
            <w:tcBorders>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611" w:type="dxa"/>
            <w:tcBorders>
              <w:top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74" w:type="dxa"/>
            <w:tcBorders>
              <w:left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585" w:type="dxa"/>
            <w:tcBorders>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r>
      <w:tr>
        <w:trPr>
          <w:trHeight w:val="300" w:hRule="atLeast"/>
        </w:trPr>
        <w:tc>
          <w:tcPr>
            <w:tcW w:w="1882" w:type="dxa"/>
            <w:vMerge w:val="continue"/>
            <w:tcBorders>
              <w:left w:val="single" w:sz="4" w:space="0" w:color="000000"/>
              <w:right w:val="single" w:sz="4" w:space="0" w:color="000000"/>
            </w:tcBorders>
            <w:tcMar>
              <w:top w:w="0" w:type="dxa"/>
              <w:left w:w="5" w:type="dxa"/>
              <w:right w:w="5" w:type="dxa"/>
            </w:tcMar>
            <w:vAlign w:val="center"/>
          </w:tcPr>
          <w:p>
            <w:pPr>
              <w:pStyle w:val="Normal"/>
              <w:widowControl w:val="false"/>
              <w:rPr/>
            </w:pPr>
            <w:r>
              <w:rPr/>
            </w:r>
          </w:p>
        </w:tc>
        <w:tc>
          <w:tcPr>
            <w:tcW w:w="2493"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Пьезометр опускной (ПО)</w:t>
            </w:r>
          </w:p>
        </w:tc>
        <w:tc>
          <w:tcPr>
            <w:tcW w:w="2059"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616"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76"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766"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616"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78" w:type="dxa"/>
            <w:tcBorders>
              <w:top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163" w:type="dxa"/>
            <w:tcBorders>
              <w:top w:val="single" w:sz="4" w:space="0" w:color="000000"/>
              <w:left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323" w:type="dxa"/>
            <w:tcBorders>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3085" w:type="dxa"/>
            <w:gridSpan w:val="2"/>
            <w:tcBorders>
              <w:top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р/неделю</w:t>
            </w:r>
          </w:p>
        </w:tc>
        <w:tc>
          <w:tcPr>
            <w:tcW w:w="1585" w:type="dxa"/>
            <w:tcBorders>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 р/неделю</w:t>
            </w:r>
          </w:p>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(при max уровне в НАБ)</w:t>
            </w:r>
          </w:p>
        </w:tc>
      </w:tr>
      <w:tr>
        <w:trPr>
          <w:trHeight w:val="2239" w:hRule="atLeast"/>
        </w:trPr>
        <w:tc>
          <w:tcPr>
            <w:tcW w:w="18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Наблюдения за вертикальными перемещениями</w:t>
            </w:r>
          </w:p>
        </w:tc>
        <w:tc>
          <w:tcPr>
            <w:tcW w:w="2493"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Марка поверхностная грунтовая, марка поверхностная бетонная, марка бетонная стеновая, труба-марка, планово-высотный знак</w:t>
            </w:r>
          </w:p>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(МПГ, МПБ, МСБ, ТМ)</w:t>
            </w:r>
          </w:p>
        </w:tc>
        <w:tc>
          <w:tcPr>
            <w:tcW w:w="2059"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р/квартал</w:t>
            </w:r>
          </w:p>
        </w:tc>
        <w:tc>
          <w:tcPr>
            <w:tcW w:w="1616"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р/месяц</w:t>
            </w:r>
          </w:p>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р/квартал</w:t>
            </w:r>
          </w:p>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(помещение на отм. 149,750 м)</w:t>
            </w:r>
          </w:p>
        </w:tc>
        <w:tc>
          <w:tcPr>
            <w:tcW w:w="1476" w:type="dxa"/>
            <w:tcBorders>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р/месяц</w:t>
            </w:r>
          </w:p>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р/квартал</w:t>
            </w:r>
          </w:p>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(помещения на отм. 149,750, 142,000, 125,000 м)</w:t>
            </w:r>
          </w:p>
        </w:tc>
        <w:tc>
          <w:tcPr>
            <w:tcW w:w="7346" w:type="dxa"/>
            <w:gridSpan w:val="5"/>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р/месяц</w:t>
            </w:r>
          </w:p>
        </w:tc>
        <w:tc>
          <w:tcPr>
            <w:tcW w:w="1611" w:type="dxa"/>
            <w:tcBorders>
              <w:top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р/месяц (МПГв)</w:t>
            </w:r>
          </w:p>
        </w:tc>
        <w:tc>
          <w:tcPr>
            <w:tcW w:w="1474" w:type="dxa"/>
            <w:tcBorders>
              <w:left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585" w:type="dxa"/>
            <w:tcBorders>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р/месяц</w:t>
            </w:r>
          </w:p>
        </w:tc>
      </w:tr>
      <w:tr>
        <w:trPr>
          <w:trHeight w:val="1701" w:hRule="atLeast"/>
        </w:trPr>
        <w:tc>
          <w:tcPr>
            <w:tcW w:w="1882" w:type="dxa"/>
            <w:tcBorders>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Наблюдения за горизонтальными перемещениями</w:t>
            </w:r>
          </w:p>
        </w:tc>
        <w:tc>
          <w:tcPr>
            <w:tcW w:w="2493"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Светодальномерный знак, марка поверхностная бетонная, планово-высотный знак (СДЗ, МПБ, ПВЗ)</w:t>
            </w:r>
          </w:p>
        </w:tc>
        <w:tc>
          <w:tcPr>
            <w:tcW w:w="2059"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3092" w:type="dxa"/>
            <w:gridSpan w:val="2"/>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р/месяц</w:t>
            </w:r>
          </w:p>
        </w:tc>
        <w:tc>
          <w:tcPr>
            <w:tcW w:w="1766" w:type="dxa"/>
            <w:tcBorders>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616"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78" w:type="dxa"/>
            <w:tcBorders>
              <w:top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163" w:type="dxa"/>
            <w:tcBorders>
              <w:top w:val="single" w:sz="4" w:space="0" w:color="000000"/>
              <w:left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323" w:type="dxa"/>
            <w:tcBorders>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р/месяц</w:t>
            </w:r>
          </w:p>
        </w:tc>
        <w:tc>
          <w:tcPr>
            <w:tcW w:w="1611" w:type="dxa"/>
            <w:tcBorders>
              <w:top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74" w:type="dxa"/>
            <w:tcBorders>
              <w:left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585" w:type="dxa"/>
            <w:tcBorders>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r>
      <w:tr>
        <w:trPr>
          <w:trHeight w:val="1151" w:hRule="atLeast"/>
        </w:trPr>
        <w:tc>
          <w:tcPr>
            <w:tcW w:w="1882" w:type="dxa"/>
            <w:tcBorders>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Наблюдения за относительными перемещениями (смещениями)</w:t>
            </w:r>
          </w:p>
        </w:tc>
        <w:tc>
          <w:tcPr>
            <w:tcW w:w="2493"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Трёхмарочный щелемер модернизированный (ЩМ)</w:t>
            </w:r>
          </w:p>
        </w:tc>
        <w:tc>
          <w:tcPr>
            <w:tcW w:w="2059"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616"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76"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766" w:type="dxa"/>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3094" w:type="dxa"/>
            <w:gridSpan w:val="2"/>
            <w:tcBorders>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р/месяц</w:t>
            </w:r>
          </w:p>
        </w:tc>
        <w:tc>
          <w:tcPr>
            <w:tcW w:w="1163" w:type="dxa"/>
            <w:tcBorders>
              <w:top w:val="single" w:sz="4" w:space="0" w:color="000000"/>
              <w:left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323" w:type="dxa"/>
            <w:tcBorders>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611" w:type="dxa"/>
            <w:tcBorders>
              <w:top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74" w:type="dxa"/>
            <w:tcBorders>
              <w:left w:val="single" w:sz="4" w:space="0" w:color="000000"/>
              <w:bottom w:val="single" w:sz="4" w:space="0" w:color="000000"/>
              <w:right w:val="single" w:sz="4" w:space="0" w:color="000000"/>
            </w:tcBorders>
            <w:tcMar>
              <w:top w:w="0" w:type="dxa"/>
              <w:left w:w="5" w:type="dxa"/>
              <w:right w:w="5" w:type="dxa"/>
            </w:tcMar>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585" w:type="dxa"/>
            <w:tcBorders>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r>
    </w:tbl>
    <w:p>
      <w:pPr>
        <w:sectPr>
          <w:headerReference w:type="default" r:id="rId99"/>
          <w:headerReference w:type="first" r:id="rId100"/>
          <w:footerReference w:type="default" r:id="rId101"/>
          <w:footerReference w:type="first" r:id="rId102"/>
          <w:type w:val="nextPage"/>
          <w:pgSz w:orient="landscape" w:w="23811" w:h="16838"/>
          <w:pgMar w:left="1134" w:right="1134" w:gutter="0" w:header="397" w:top="1701" w:footer="1" w:bottom="1134"/>
          <w:pgNumType w:fmt="decimal"/>
          <w:formProt w:val="false"/>
          <w:textDirection w:val="lrTb"/>
          <w:docGrid w:type="default" w:linePitch="360" w:charSpace="4096"/>
        </w:sectPr>
      </w:pPr>
    </w:p>
    <w:p>
      <w:pPr>
        <w:pStyle w:val="Normal"/>
        <w:spacing w:lineRule="auto" w:line="240" w:before="0" w:after="120"/>
        <w:ind w:left="0" w:right="0" w:hanging="0"/>
        <w:rPr>
          <w:rFonts w:ascii="Times New Roman" w:hAnsi="Times New Roman"/>
          <w:sz w:val="24"/>
        </w:rPr>
      </w:pPr>
      <w:r>
        <w:rPr>
          <w:rFonts w:ascii="Times New Roman" w:hAnsi="Times New Roman"/>
          <w:sz w:val="24"/>
        </w:rPr>
      </w:r>
    </w:p>
    <w:p>
      <w:pPr>
        <w:pStyle w:val="Normal"/>
        <w:spacing w:lineRule="auto" w:line="240" w:before="0" w:after="120"/>
        <w:ind w:left="0" w:right="0" w:hanging="0"/>
        <w:rPr>
          <w:rFonts w:ascii="Times New Roman" w:hAnsi="Times New Roman"/>
          <w:sz w:val="24"/>
        </w:rPr>
      </w:pPr>
      <w:r>
        <w:rPr>
          <w:rFonts w:ascii="Times New Roman" w:hAnsi="Times New Roman"/>
          <w:sz w:val="24"/>
        </w:rPr>
        <w:t>Таблица Б.4 – Периодичность проведения наблюдений специального контроля за пространственным положением здания ГАЭС в строительный период</w:t>
      </w:r>
    </w:p>
    <w:tbl>
      <w:tblPr>
        <w:tblW w:w="5000" w:type="pct"/>
        <w:jc w:val="left"/>
        <w:tblInd w:w="0" w:type="dxa"/>
        <w:tblLayout w:type="fixed"/>
        <w:tblCellMar>
          <w:top w:w="0" w:type="dxa"/>
          <w:left w:w="40" w:type="dxa"/>
          <w:bottom w:w="0" w:type="dxa"/>
          <w:right w:w="40" w:type="dxa"/>
        </w:tblCellMar>
      </w:tblPr>
      <w:tblGrid>
        <w:gridCol w:w="2425"/>
        <w:gridCol w:w="3484"/>
        <w:gridCol w:w="3134"/>
        <w:gridCol w:w="27"/>
      </w:tblGrid>
      <w:tr>
        <w:trPr>
          <w:trHeight w:val="1707" w:hRule="atLeast"/>
        </w:trPr>
        <w:tc>
          <w:tcPr>
            <w:tcW w:w="2425" w:type="dxa"/>
            <w:tcBorders>
              <w:top w:val="single" w:sz="6" w:space="0" w:color="000000"/>
              <w:left w:val="single" w:sz="6" w:space="0" w:color="000000"/>
              <w:right w:val="single" w:sz="6"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Контролируемые параметры</w:t>
            </w:r>
          </w:p>
        </w:tc>
        <w:tc>
          <w:tcPr>
            <w:tcW w:w="3484" w:type="dxa"/>
            <w:tcBorders>
              <w:top w:val="single" w:sz="6" w:space="0" w:color="000000"/>
              <w:left w:val="single" w:sz="6" w:space="0" w:color="000000"/>
              <w:right w:val="single" w:sz="6"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Методы наблюдений</w:t>
            </w:r>
          </w:p>
        </w:tc>
        <w:tc>
          <w:tcPr>
            <w:tcW w:w="3134" w:type="dxa"/>
            <w:tcBorders>
              <w:top w:val="single" w:sz="6" w:space="0" w:color="000000"/>
              <w:left w:val="single" w:sz="6" w:space="0" w:color="000000"/>
              <w:right w:val="single" w:sz="6"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Периодичность фиксации контролируемых параметров</w:t>
            </w:r>
          </w:p>
        </w:tc>
        <w:tc>
          <w:tcPr>
            <w:tcW w:w="27" w:type="dxa"/>
            <w:tcBorders/>
          </w:tcPr>
          <w:p>
            <w:pPr>
              <w:pStyle w:val="Normal"/>
              <w:widowControl w:val="false"/>
              <w:rPr/>
            </w:pPr>
            <w:r>
              <w:rPr/>
            </w:r>
          </w:p>
        </w:tc>
      </w:tr>
      <w:tr>
        <w:trPr>
          <w:trHeight w:val="1292" w:hRule="atLeast"/>
        </w:trPr>
        <w:tc>
          <w:tcPr>
            <w:tcW w:w="2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hd w:val="clear" w:fill="FFFFFF"/>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Координаты и высоты опорных пунктов</w:t>
            </w:r>
          </w:p>
        </w:tc>
        <w:tc>
          <w:tcPr>
            <w:tcW w:w="34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hd w:val="clear" w:fill="FFFFFF"/>
              <w:tabs>
                <w:tab w:val="clear" w:pos="708"/>
                <w:tab w:val="left" w:pos="1570" w:leader="none"/>
              </w:tabs>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Спутниковые измерения с помощью космических съемок</w:t>
            </w:r>
          </w:p>
        </w:tc>
        <w:tc>
          <w:tcPr>
            <w:tcW w:w="316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Каждый час в автоматическом режиме.</w:t>
            </w:r>
          </w:p>
          <w:p>
            <w:pPr>
              <w:pStyle w:val="Normal"/>
              <w:widowControl w:val="false"/>
              <w:shd w:val="clear" w:fill="FFFFFF"/>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Каждые 4 часа в ручном (аварийном) режиме</w:t>
            </w:r>
          </w:p>
        </w:tc>
      </w:tr>
      <w:tr>
        <w:trPr>
          <w:trHeight w:val="1747" w:hRule="atLeast"/>
        </w:trPr>
        <w:tc>
          <w:tcPr>
            <w:tcW w:w="2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Пространственные</w:t>
            </w:r>
          </w:p>
          <w:p>
            <w:pPr>
              <w:pStyle w:val="Normal"/>
              <w:widowControl w:val="false"/>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перемещения станций автоматизированных тахеометров</w:t>
            </w:r>
          </w:p>
        </w:tc>
        <w:tc>
          <w:tcPr>
            <w:tcW w:w="34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Линейно-угловые измерения</w:t>
            </w:r>
          </w:p>
          <w:p>
            <w:pPr>
              <w:pStyle w:val="Normal"/>
              <w:widowControl w:val="false"/>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опорных марок, контроль станций автоматизированных тахеометров</w:t>
            </w:r>
          </w:p>
        </w:tc>
        <w:tc>
          <w:tcPr>
            <w:tcW w:w="316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 xml:space="preserve">Каждые 2 часа в автоматическом режиме. </w:t>
            </w:r>
          </w:p>
          <w:p>
            <w:pPr>
              <w:pStyle w:val="Normal"/>
              <w:widowControl w:val="false"/>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Каждые 4 часа в ручном (аварийном) режиме</w:t>
            </w:r>
          </w:p>
        </w:tc>
      </w:tr>
      <w:tr>
        <w:trPr>
          <w:trHeight w:val="1314" w:hRule="atLeast"/>
        </w:trPr>
        <w:tc>
          <w:tcPr>
            <w:tcW w:w="2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Пространственные</w:t>
            </w:r>
          </w:p>
          <w:p>
            <w:pPr>
              <w:pStyle w:val="Normal"/>
              <w:widowControl w:val="false"/>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перемещения зданий и сооружений</w:t>
            </w:r>
          </w:p>
        </w:tc>
        <w:tc>
          <w:tcPr>
            <w:tcW w:w="34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Геодезические методы (фиксация перемещений марок) с применением автоматизированных тахеометров</w:t>
            </w:r>
          </w:p>
        </w:tc>
        <w:tc>
          <w:tcPr>
            <w:tcW w:w="316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Каждый час в автоматическом режиме.</w:t>
            </w:r>
          </w:p>
          <w:p>
            <w:pPr>
              <w:pStyle w:val="Normal"/>
              <w:widowControl w:val="false"/>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Каждые 4 часа в ручном (аварийном) режиме</w:t>
            </w:r>
          </w:p>
        </w:tc>
      </w:tr>
      <w:tr>
        <w:trPr>
          <w:trHeight w:val="1314" w:hRule="atLeast"/>
        </w:trPr>
        <w:tc>
          <w:tcPr>
            <w:tcW w:w="2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Пространственные</w:t>
            </w:r>
          </w:p>
          <w:p>
            <w:pPr>
              <w:pStyle w:val="Normal"/>
              <w:widowControl w:val="false"/>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перемещения планово-высотных знаков на склонах</w:t>
            </w:r>
          </w:p>
        </w:tc>
        <w:tc>
          <w:tcPr>
            <w:tcW w:w="34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Геодезические методы (фиксация перемещений марок) с применением автоматизированных тахеометров</w:t>
            </w:r>
          </w:p>
        </w:tc>
        <w:tc>
          <w:tcPr>
            <w:tcW w:w="316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Каждый час в автоматическом режиме.</w:t>
            </w:r>
          </w:p>
          <w:p>
            <w:pPr>
              <w:pStyle w:val="Normal"/>
              <w:widowControl w:val="false"/>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Каждые 4 часа в ручном (аварийном) режиме</w:t>
            </w:r>
          </w:p>
        </w:tc>
      </w:tr>
      <w:tr>
        <w:trPr>
          <w:trHeight w:val="1304" w:hRule="atLeast"/>
        </w:trPr>
        <w:tc>
          <w:tcPr>
            <w:tcW w:w="2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Пространственные</w:t>
            </w:r>
          </w:p>
          <w:p>
            <w:pPr>
              <w:pStyle w:val="Normal"/>
              <w:widowControl w:val="false"/>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перемещения основания здания ГАЭС (отм. 125,200 м)</w:t>
            </w:r>
          </w:p>
        </w:tc>
        <w:tc>
          <w:tcPr>
            <w:tcW w:w="34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Измерения при помощи датчиков гидростатического нивелирования</w:t>
            </w:r>
          </w:p>
        </w:tc>
        <w:tc>
          <w:tcPr>
            <w:tcW w:w="316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Каждый час в автоматическом режиме.</w:t>
            </w:r>
          </w:p>
          <w:p>
            <w:pPr>
              <w:pStyle w:val="Normal"/>
              <w:widowControl w:val="false"/>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Каждые 4 часа в ручном (аварийном) режиме</w:t>
            </w:r>
          </w:p>
        </w:tc>
      </w:tr>
      <w:tr>
        <w:trPr>
          <w:trHeight w:val="1305" w:hRule="atLeast"/>
        </w:trPr>
        <w:tc>
          <w:tcPr>
            <w:tcW w:w="2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Метеоданные</w:t>
            </w:r>
          </w:p>
        </w:tc>
        <w:tc>
          <w:tcPr>
            <w:tcW w:w="34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Температура и атмосферное давление</w:t>
            </w:r>
          </w:p>
        </w:tc>
        <w:tc>
          <w:tcPr>
            <w:tcW w:w="316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Каждый час в автоматическом режиме.</w:t>
            </w:r>
          </w:p>
          <w:p>
            <w:pPr>
              <w:pStyle w:val="Normal"/>
              <w:widowControl w:val="false"/>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Каждые 4 часа в ручном (аварийном) режиме</w:t>
            </w:r>
          </w:p>
        </w:tc>
      </w:tr>
    </w:tbl>
    <w:p>
      <w:pPr>
        <w:sectPr>
          <w:headerReference w:type="default" r:id="rId103"/>
          <w:headerReference w:type="first" r:id="rId104"/>
          <w:footerReference w:type="default" r:id="rId105"/>
          <w:footerReference w:type="first" r:id="rId106"/>
          <w:type w:val="nextPage"/>
          <w:pgSz w:w="11906" w:h="16838"/>
          <w:pgMar w:left="1701" w:right="1134" w:gutter="0" w:header="397" w:top="1134" w:footer="1" w:bottom="1134"/>
          <w:pgNumType w:fmt="decimal"/>
          <w:formProt w:val="false"/>
          <w:textDirection w:val="lrTb"/>
          <w:docGrid w:type="default" w:linePitch="360" w:charSpace="4096"/>
        </w:sectPr>
      </w:pPr>
    </w:p>
    <w:p>
      <w:pPr>
        <w:pStyle w:val="Heading1"/>
        <w:numPr>
          <w:ilvl w:val="0"/>
        </w:numPr>
        <w:spacing w:lineRule="auto" w:line="240" w:before="0" w:after="120"/>
        <w:ind w:left="0" w:right="0" w:hanging="0"/>
        <w:jc w:val="center"/>
        <w:rPr>
          <w:rFonts w:ascii="Times New Roman" w:hAnsi="Times New Roman" w:eastAsia="Times New Roman" w:cs="Times New Roman"/>
          <w:szCs w:val="32"/>
          <w:lang w:eastAsia="ru-RU"/>
        </w:rPr>
      </w:pPr>
      <w:bookmarkStart w:id="261" w:name="__RefHeading___Toc40026_2889022187"/>
      <w:bookmarkStart w:id="262" w:name="_Toc215650250"/>
      <w:bookmarkEnd w:id="261"/>
      <w:r>
        <w:rPr>
          <w:rFonts w:cs="Times New Roman" w:ascii="Times New Roman" w:hAnsi="Times New Roman"/>
          <w:szCs w:val="32"/>
        </w:rPr>
        <w:t xml:space="preserve">Приложение В. </w:t>
      </w:r>
      <w:r>
        <w:rPr>
          <w:rFonts w:eastAsia="Times New Roman" w:cs="Times New Roman" w:ascii="Times New Roman" w:hAnsi="Times New Roman"/>
          <w:szCs w:val="32"/>
          <w:lang w:eastAsia="ru-RU"/>
        </w:rPr>
        <w:t>Ведомость объёмов работ по проведению инструментальных наблюдений за контролируемыми ГТС Загорской ГАЭС-2 на один год</w:t>
      </w:r>
      <w:bookmarkEnd w:id="262"/>
    </w:p>
    <w:p>
      <w:pPr>
        <w:pStyle w:val="Normal"/>
        <w:spacing w:lineRule="auto" w:line="240" w:before="0" w:after="120"/>
        <w:ind w:left="0" w:right="0" w:hanging="0"/>
        <w:rPr>
          <w:rFonts w:ascii="Times New Roman" w:hAnsi="Times New Roman"/>
          <w:sz w:val="24"/>
        </w:rPr>
      </w:pPr>
      <w:r>
        <w:rPr>
          <w:rFonts w:ascii="Times New Roman" w:hAnsi="Times New Roman"/>
          <w:sz w:val="24"/>
        </w:rPr>
        <w:t>Таблица В.1 – Ведомость объёмов работ по проведению инструментальных наблюдений в строительный период за состоянием дамбы верхнего бассейна, водоприёмника, напорных водоводов, склона расположения напорных водоводов Загорской ГАЭС-2</w:t>
      </w:r>
    </w:p>
    <w:tbl>
      <w:tblPr>
        <w:tblW w:w="21545" w:type="dxa"/>
        <w:jc w:val="left"/>
        <w:tblInd w:w="0" w:type="dxa"/>
        <w:tblLayout w:type="fixed"/>
        <w:tblCellMar>
          <w:top w:w="0" w:type="dxa"/>
          <w:left w:w="108" w:type="dxa"/>
          <w:bottom w:w="0" w:type="dxa"/>
          <w:right w:w="108" w:type="dxa"/>
        </w:tblCellMar>
      </w:tblPr>
      <w:tblGrid>
        <w:gridCol w:w="4037"/>
        <w:gridCol w:w="2411"/>
        <w:gridCol w:w="7370"/>
        <w:gridCol w:w="2112"/>
        <w:gridCol w:w="1424"/>
        <w:gridCol w:w="1469"/>
        <w:gridCol w:w="1487"/>
        <w:gridCol w:w="1232"/>
      </w:tblGrid>
      <w:tr>
        <w:trPr>
          <w:tblHeader w:val="true"/>
          <w:trHeight w:val="492" w:hRule="atLeast"/>
        </w:trPr>
        <w:tc>
          <w:tcPr>
            <w:tcW w:w="403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Наименование работ</w:t>
            </w:r>
          </w:p>
        </w:tc>
        <w:tc>
          <w:tcPr>
            <w:tcW w:w="241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Ед. изм.</w:t>
            </w:r>
          </w:p>
        </w:tc>
        <w:tc>
          <w:tcPr>
            <w:tcW w:w="737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Наименование КИА</w:t>
            </w:r>
          </w:p>
        </w:tc>
        <w:tc>
          <w:tcPr>
            <w:tcW w:w="7724" w:type="dxa"/>
            <w:gridSpan w:val="5"/>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Все контролируемые ГТС</w:t>
            </w:r>
          </w:p>
        </w:tc>
      </w:tr>
      <w:tr>
        <w:trPr>
          <w:tblHeader w:val="true"/>
          <w:trHeight w:val="480" w:hRule="atLeast"/>
        </w:trPr>
        <w:tc>
          <w:tcPr>
            <w:tcW w:w="40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4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37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1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Всего на год</w:t>
            </w:r>
          </w:p>
        </w:tc>
        <w:tc>
          <w:tcPr>
            <w:tcW w:w="14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кв.</w:t>
            </w:r>
          </w:p>
        </w:tc>
        <w:tc>
          <w:tcPr>
            <w:tcW w:w="14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 кв.</w:t>
            </w:r>
          </w:p>
        </w:tc>
        <w:tc>
          <w:tcPr>
            <w:tcW w:w="14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 кв.</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4 кв.</w:t>
            </w:r>
          </w:p>
        </w:tc>
      </w:tr>
      <w:tr>
        <w:trPr>
          <w:trHeight w:val="240" w:hRule="atLeast"/>
        </w:trPr>
        <w:tc>
          <w:tcPr>
            <w:tcW w:w="403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Проведение наблюдений по закладной «струнной» КИА</w:t>
            </w:r>
          </w:p>
        </w:tc>
        <w:tc>
          <w:tcPr>
            <w:tcW w:w="241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точек</w:t>
            </w:r>
          </w:p>
        </w:tc>
        <w:tc>
          <w:tcPr>
            <w:tcW w:w="73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ПДС</w:t>
            </w:r>
          </w:p>
        </w:tc>
        <w:tc>
          <w:tcPr>
            <w:tcW w:w="21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6728</w:t>
            </w:r>
          </w:p>
        </w:tc>
        <w:tc>
          <w:tcPr>
            <w:tcW w:w="14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1682</w:t>
            </w:r>
          </w:p>
        </w:tc>
        <w:tc>
          <w:tcPr>
            <w:tcW w:w="14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1682</w:t>
            </w:r>
          </w:p>
        </w:tc>
        <w:tc>
          <w:tcPr>
            <w:tcW w:w="14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1682</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1682</w:t>
            </w:r>
          </w:p>
        </w:tc>
      </w:tr>
      <w:tr>
        <w:trPr>
          <w:trHeight w:val="240" w:hRule="atLeast"/>
        </w:trPr>
        <w:tc>
          <w:tcPr>
            <w:tcW w:w="40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4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3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ПTC</w:t>
            </w:r>
          </w:p>
        </w:tc>
        <w:tc>
          <w:tcPr>
            <w:tcW w:w="21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12124</w:t>
            </w:r>
          </w:p>
        </w:tc>
        <w:tc>
          <w:tcPr>
            <w:tcW w:w="14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3031</w:t>
            </w:r>
          </w:p>
        </w:tc>
        <w:tc>
          <w:tcPr>
            <w:tcW w:w="14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3031</w:t>
            </w:r>
          </w:p>
        </w:tc>
        <w:tc>
          <w:tcPr>
            <w:tcW w:w="14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3031</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3031</w:t>
            </w:r>
          </w:p>
        </w:tc>
      </w:tr>
      <w:tr>
        <w:trPr>
          <w:trHeight w:val="240" w:hRule="atLeast"/>
        </w:trPr>
        <w:tc>
          <w:tcPr>
            <w:tcW w:w="40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4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3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ПЛПС</w:t>
            </w:r>
          </w:p>
        </w:tc>
        <w:tc>
          <w:tcPr>
            <w:tcW w:w="21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1720</w:t>
            </w:r>
          </w:p>
        </w:tc>
        <w:tc>
          <w:tcPr>
            <w:tcW w:w="14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430</w:t>
            </w:r>
          </w:p>
        </w:tc>
        <w:tc>
          <w:tcPr>
            <w:tcW w:w="14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430</w:t>
            </w:r>
          </w:p>
        </w:tc>
        <w:tc>
          <w:tcPr>
            <w:tcW w:w="14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430</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430</w:t>
            </w:r>
          </w:p>
        </w:tc>
      </w:tr>
      <w:tr>
        <w:trPr>
          <w:trHeight w:val="240" w:hRule="atLeast"/>
        </w:trPr>
        <w:tc>
          <w:tcPr>
            <w:tcW w:w="40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4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3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ПCAC</w:t>
            </w:r>
          </w:p>
        </w:tc>
        <w:tc>
          <w:tcPr>
            <w:tcW w:w="21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13384</w:t>
            </w:r>
          </w:p>
        </w:tc>
        <w:tc>
          <w:tcPr>
            <w:tcW w:w="14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3346</w:t>
            </w:r>
          </w:p>
        </w:tc>
        <w:tc>
          <w:tcPr>
            <w:tcW w:w="14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3346</w:t>
            </w:r>
          </w:p>
        </w:tc>
        <w:tc>
          <w:tcPr>
            <w:tcW w:w="14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3346</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3346</w:t>
            </w:r>
          </w:p>
        </w:tc>
      </w:tr>
      <w:tr>
        <w:trPr>
          <w:trHeight w:val="240" w:hRule="atLeast"/>
        </w:trPr>
        <w:tc>
          <w:tcPr>
            <w:tcW w:w="40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4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3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ПЛДС</w:t>
            </w:r>
          </w:p>
        </w:tc>
        <w:tc>
          <w:tcPr>
            <w:tcW w:w="21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7536</w:t>
            </w:r>
          </w:p>
        </w:tc>
        <w:tc>
          <w:tcPr>
            <w:tcW w:w="14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1884</w:t>
            </w:r>
          </w:p>
        </w:tc>
        <w:tc>
          <w:tcPr>
            <w:tcW w:w="14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1884</w:t>
            </w:r>
          </w:p>
        </w:tc>
        <w:tc>
          <w:tcPr>
            <w:tcW w:w="14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1884</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1884</w:t>
            </w:r>
          </w:p>
        </w:tc>
      </w:tr>
      <w:tr>
        <w:trPr>
          <w:trHeight w:val="240" w:hRule="atLeast"/>
        </w:trPr>
        <w:tc>
          <w:tcPr>
            <w:tcW w:w="40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4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3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left="0" w:right="0" w:hanging="0"/>
              <w:jc w:val="right"/>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Итого</w:t>
            </w:r>
          </w:p>
        </w:tc>
        <w:tc>
          <w:tcPr>
            <w:tcW w:w="21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41492</w:t>
            </w:r>
          </w:p>
        </w:tc>
        <w:tc>
          <w:tcPr>
            <w:tcW w:w="14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10373</w:t>
            </w:r>
          </w:p>
        </w:tc>
        <w:tc>
          <w:tcPr>
            <w:tcW w:w="14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10373</w:t>
            </w:r>
          </w:p>
        </w:tc>
        <w:tc>
          <w:tcPr>
            <w:tcW w:w="14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10373</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10373</w:t>
            </w:r>
          </w:p>
        </w:tc>
      </w:tr>
      <w:tr>
        <w:trPr>
          <w:trHeight w:val="240" w:hRule="atLeast"/>
        </w:trPr>
        <w:tc>
          <w:tcPr>
            <w:tcW w:w="403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Проведение наблюдений за фильтрационным режимом</w:t>
            </w:r>
          </w:p>
        </w:tc>
        <w:tc>
          <w:tcPr>
            <w:tcW w:w="241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firstLine="24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точек</w:t>
            </w:r>
          </w:p>
        </w:tc>
        <w:tc>
          <w:tcPr>
            <w:tcW w:w="73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left="0" w:right="0" w:hanging="0"/>
              <w:jc w:val="left"/>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Пьезометр опускной (ПО и ПЗ)</w:t>
            </w:r>
          </w:p>
        </w:tc>
        <w:tc>
          <w:tcPr>
            <w:tcW w:w="21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firstLine="24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4452</w:t>
            </w:r>
          </w:p>
        </w:tc>
        <w:tc>
          <w:tcPr>
            <w:tcW w:w="14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1113</w:t>
            </w:r>
          </w:p>
        </w:tc>
        <w:tc>
          <w:tcPr>
            <w:tcW w:w="14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1113</w:t>
            </w:r>
          </w:p>
        </w:tc>
        <w:tc>
          <w:tcPr>
            <w:tcW w:w="14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firstLine="24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1113</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1113</w:t>
            </w:r>
          </w:p>
        </w:tc>
      </w:tr>
      <w:tr>
        <w:trPr>
          <w:trHeight w:val="240" w:hRule="atLeast"/>
        </w:trPr>
        <w:tc>
          <w:tcPr>
            <w:tcW w:w="40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4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3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left="0" w:right="0" w:hanging="0"/>
              <w:jc w:val="left"/>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Пьезометр закладной напорный</w:t>
            </w:r>
          </w:p>
        </w:tc>
        <w:tc>
          <w:tcPr>
            <w:tcW w:w="21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firstLine="24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1260</w:t>
            </w:r>
          </w:p>
        </w:tc>
        <w:tc>
          <w:tcPr>
            <w:tcW w:w="14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315</w:t>
            </w:r>
          </w:p>
        </w:tc>
        <w:tc>
          <w:tcPr>
            <w:tcW w:w="14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315</w:t>
            </w:r>
          </w:p>
        </w:tc>
        <w:tc>
          <w:tcPr>
            <w:tcW w:w="14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firstLine="24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315</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315</w:t>
            </w:r>
          </w:p>
        </w:tc>
      </w:tr>
      <w:tr>
        <w:trPr>
          <w:trHeight w:val="240" w:hRule="atLeast"/>
        </w:trPr>
        <w:tc>
          <w:tcPr>
            <w:tcW w:w="40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4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3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left="0" w:right="0" w:hanging="0"/>
              <w:jc w:val="left"/>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Расходомер (мерный водослив)</w:t>
            </w:r>
          </w:p>
        </w:tc>
        <w:tc>
          <w:tcPr>
            <w:tcW w:w="21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84</w:t>
            </w:r>
          </w:p>
        </w:tc>
        <w:tc>
          <w:tcPr>
            <w:tcW w:w="14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21</w:t>
            </w:r>
          </w:p>
        </w:tc>
        <w:tc>
          <w:tcPr>
            <w:tcW w:w="14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21</w:t>
            </w:r>
          </w:p>
        </w:tc>
        <w:tc>
          <w:tcPr>
            <w:tcW w:w="14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21</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21</w:t>
            </w:r>
          </w:p>
        </w:tc>
      </w:tr>
      <w:tr>
        <w:trPr>
          <w:trHeight w:val="240" w:hRule="atLeast"/>
        </w:trPr>
        <w:tc>
          <w:tcPr>
            <w:tcW w:w="40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4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3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left="0" w:right="0" w:hanging="0"/>
              <w:jc w:val="left"/>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Водомерная рейка</w:t>
            </w:r>
          </w:p>
        </w:tc>
        <w:tc>
          <w:tcPr>
            <w:tcW w:w="21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firstLine="24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156</w:t>
            </w:r>
          </w:p>
        </w:tc>
        <w:tc>
          <w:tcPr>
            <w:tcW w:w="14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39</w:t>
            </w:r>
          </w:p>
        </w:tc>
        <w:tc>
          <w:tcPr>
            <w:tcW w:w="14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39</w:t>
            </w:r>
          </w:p>
        </w:tc>
        <w:tc>
          <w:tcPr>
            <w:tcW w:w="14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39</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39</w:t>
            </w:r>
          </w:p>
        </w:tc>
      </w:tr>
      <w:tr>
        <w:trPr>
          <w:trHeight w:val="240" w:hRule="atLeast"/>
        </w:trPr>
        <w:tc>
          <w:tcPr>
            <w:tcW w:w="40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4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3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left="0" w:right="0" w:hanging="0"/>
              <w:jc w:val="right"/>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Итого</w:t>
            </w:r>
          </w:p>
        </w:tc>
        <w:tc>
          <w:tcPr>
            <w:tcW w:w="21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left="0" w:right="0" w:firstLine="240"/>
              <w:jc w:val="left"/>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6480</w:t>
            </w:r>
          </w:p>
        </w:tc>
        <w:tc>
          <w:tcPr>
            <w:tcW w:w="14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1620</w:t>
            </w:r>
          </w:p>
        </w:tc>
        <w:tc>
          <w:tcPr>
            <w:tcW w:w="14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1620</w:t>
            </w:r>
          </w:p>
        </w:tc>
        <w:tc>
          <w:tcPr>
            <w:tcW w:w="14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1620</w:t>
            </w:r>
          </w:p>
        </w:tc>
        <w:tc>
          <w:tcPr>
            <w:tcW w:w="12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1620</w:t>
            </w:r>
          </w:p>
        </w:tc>
      </w:tr>
      <w:tr>
        <w:trPr>
          <w:trHeight w:val="240" w:hRule="atLeast"/>
        </w:trPr>
        <w:tc>
          <w:tcPr>
            <w:tcW w:w="403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Проведение нивелирования</w:t>
            </w:r>
          </w:p>
        </w:tc>
        <w:tc>
          <w:tcPr>
            <w:tcW w:w="241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станция</w:t>
            </w:r>
          </w:p>
        </w:tc>
        <w:tc>
          <w:tcPr>
            <w:tcW w:w="73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left="0" w:right="0" w:hanging="0"/>
              <w:jc w:val="left"/>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Рекогносцировка</w:t>
            </w:r>
          </w:p>
        </w:tc>
        <w:tc>
          <w:tcPr>
            <w:tcW w:w="21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2042</w:t>
            </w:r>
          </w:p>
        </w:tc>
        <w:tc>
          <w:tcPr>
            <w:tcW w:w="14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w:t>
            </w:r>
          </w:p>
        </w:tc>
        <w:tc>
          <w:tcPr>
            <w:tcW w:w="14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1021</w:t>
            </w:r>
          </w:p>
        </w:tc>
        <w:tc>
          <w:tcPr>
            <w:tcW w:w="14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1021</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w:t>
            </w:r>
          </w:p>
        </w:tc>
      </w:tr>
      <w:tr>
        <w:trPr>
          <w:trHeight w:val="126" w:hRule="atLeast"/>
        </w:trPr>
        <w:tc>
          <w:tcPr>
            <w:tcW w:w="40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4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3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left="0" w:right="0" w:hanging="0"/>
              <w:jc w:val="left"/>
              <w:rPr>
                <w:rFonts w:ascii="Times New Roman" w:hAnsi="Times New Roman" w:eastAsia="Times New Roman" w:cs="Times New Roman"/>
                <w:color w:val="000000"/>
                <w:sz w:val="24"/>
                <w:szCs w:val="24"/>
                <w:lang w:eastAsia="ru-RU"/>
              </w:rPr>
            </w:pPr>
            <w:r>
              <w:rPr>
                <w:rFonts w:eastAsia="Times New Roman" w:cs="Times New Roman" w:ascii="Times New Roman" w:hAnsi="Times New Roman"/>
                <w:sz w:val="24"/>
                <w:szCs w:val="24"/>
                <w:lang w:eastAsia="ru-RU"/>
              </w:rPr>
              <w:t>Рекогносцировка, неблагоприятный период</w:t>
            </w:r>
          </w:p>
        </w:tc>
        <w:tc>
          <w:tcPr>
            <w:tcW w:w="21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2042</w:t>
            </w:r>
          </w:p>
        </w:tc>
        <w:tc>
          <w:tcPr>
            <w:tcW w:w="14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1021</w:t>
            </w:r>
          </w:p>
        </w:tc>
        <w:tc>
          <w:tcPr>
            <w:tcW w:w="14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w:t>
            </w:r>
          </w:p>
        </w:tc>
        <w:tc>
          <w:tcPr>
            <w:tcW w:w="14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1021</w:t>
            </w:r>
          </w:p>
        </w:tc>
      </w:tr>
      <w:tr>
        <w:trPr>
          <w:trHeight w:val="240" w:hRule="atLeast"/>
        </w:trPr>
        <w:tc>
          <w:tcPr>
            <w:tcW w:w="40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41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штатив</w:t>
            </w:r>
          </w:p>
        </w:tc>
        <w:tc>
          <w:tcPr>
            <w:tcW w:w="73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left="0" w:right="0" w:hanging="0"/>
              <w:jc w:val="left"/>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Ход нивелирования 2 класса</w:t>
            </w:r>
          </w:p>
        </w:tc>
        <w:tc>
          <w:tcPr>
            <w:tcW w:w="21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1462</w:t>
            </w:r>
          </w:p>
        </w:tc>
        <w:tc>
          <w:tcPr>
            <w:tcW w:w="14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w:t>
            </w:r>
          </w:p>
        </w:tc>
        <w:tc>
          <w:tcPr>
            <w:tcW w:w="14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731</w:t>
            </w:r>
          </w:p>
        </w:tc>
        <w:tc>
          <w:tcPr>
            <w:tcW w:w="14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731</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w:t>
            </w:r>
          </w:p>
        </w:tc>
      </w:tr>
      <w:tr>
        <w:trPr>
          <w:trHeight w:val="88" w:hRule="atLeast"/>
        </w:trPr>
        <w:tc>
          <w:tcPr>
            <w:tcW w:w="40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4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3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left="0" w:right="0" w:hanging="0"/>
              <w:jc w:val="left"/>
              <w:rPr>
                <w:rFonts w:ascii="Times New Roman" w:hAnsi="Times New Roman" w:eastAsia="Times New Roman" w:cs="Times New Roman"/>
                <w:color w:val="000000"/>
                <w:sz w:val="24"/>
                <w:szCs w:val="24"/>
                <w:lang w:eastAsia="ru-RU"/>
              </w:rPr>
            </w:pPr>
            <w:r>
              <w:rPr>
                <w:rFonts w:eastAsia="Times New Roman" w:cs="Times New Roman" w:ascii="Times New Roman" w:hAnsi="Times New Roman"/>
                <w:sz w:val="24"/>
                <w:szCs w:val="24"/>
                <w:lang w:eastAsia="ru-RU"/>
              </w:rPr>
              <w:t>Ход нивелирования 2 класса, неблагоприятный период</w:t>
            </w:r>
          </w:p>
        </w:tc>
        <w:tc>
          <w:tcPr>
            <w:tcW w:w="21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1462</w:t>
            </w:r>
          </w:p>
        </w:tc>
        <w:tc>
          <w:tcPr>
            <w:tcW w:w="14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731</w:t>
            </w:r>
          </w:p>
        </w:tc>
        <w:tc>
          <w:tcPr>
            <w:tcW w:w="14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w:t>
            </w:r>
          </w:p>
        </w:tc>
        <w:tc>
          <w:tcPr>
            <w:tcW w:w="14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731</w:t>
            </w:r>
          </w:p>
        </w:tc>
      </w:tr>
      <w:tr>
        <w:trPr>
          <w:trHeight w:val="240" w:hRule="atLeast"/>
        </w:trPr>
        <w:tc>
          <w:tcPr>
            <w:tcW w:w="40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4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3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left="0" w:right="0" w:hanging="0"/>
              <w:jc w:val="left"/>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Ход нивелирования 3 класса</w:t>
            </w:r>
          </w:p>
        </w:tc>
        <w:tc>
          <w:tcPr>
            <w:tcW w:w="21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580</w:t>
            </w:r>
          </w:p>
        </w:tc>
        <w:tc>
          <w:tcPr>
            <w:tcW w:w="14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w:t>
            </w:r>
          </w:p>
        </w:tc>
        <w:tc>
          <w:tcPr>
            <w:tcW w:w="14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290</w:t>
            </w:r>
          </w:p>
        </w:tc>
        <w:tc>
          <w:tcPr>
            <w:tcW w:w="14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290</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w:t>
            </w:r>
          </w:p>
        </w:tc>
      </w:tr>
      <w:tr>
        <w:trPr>
          <w:trHeight w:val="231" w:hRule="atLeast"/>
        </w:trPr>
        <w:tc>
          <w:tcPr>
            <w:tcW w:w="40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4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3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left="0" w:right="0" w:hanging="0"/>
              <w:jc w:val="left"/>
              <w:rPr>
                <w:rFonts w:ascii="Times New Roman" w:hAnsi="Times New Roman" w:eastAsia="Times New Roman" w:cs="Times New Roman"/>
                <w:color w:val="000000"/>
                <w:sz w:val="24"/>
                <w:szCs w:val="24"/>
                <w:lang w:eastAsia="ru-RU"/>
              </w:rPr>
            </w:pPr>
            <w:r>
              <w:rPr>
                <w:rFonts w:eastAsia="Times New Roman" w:cs="Times New Roman" w:ascii="Times New Roman" w:hAnsi="Times New Roman"/>
                <w:sz w:val="24"/>
                <w:szCs w:val="24"/>
                <w:lang w:eastAsia="ru-RU"/>
              </w:rPr>
              <w:t>Ход нивелирования 3 класса, неблагоприятный период</w:t>
            </w:r>
          </w:p>
        </w:tc>
        <w:tc>
          <w:tcPr>
            <w:tcW w:w="21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580</w:t>
            </w:r>
          </w:p>
        </w:tc>
        <w:tc>
          <w:tcPr>
            <w:tcW w:w="14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290</w:t>
            </w:r>
          </w:p>
        </w:tc>
        <w:tc>
          <w:tcPr>
            <w:tcW w:w="14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w:t>
            </w:r>
          </w:p>
        </w:tc>
        <w:tc>
          <w:tcPr>
            <w:tcW w:w="14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290</w:t>
            </w:r>
          </w:p>
        </w:tc>
      </w:tr>
      <w:tr>
        <w:trPr>
          <w:trHeight w:val="240" w:hRule="atLeast"/>
        </w:trPr>
        <w:tc>
          <w:tcPr>
            <w:tcW w:w="403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Проведение наблюдений за высотной опорной сетью</w:t>
            </w:r>
          </w:p>
        </w:tc>
        <w:tc>
          <w:tcPr>
            <w:tcW w:w="241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w:t>
            </w:r>
          </w:p>
        </w:tc>
        <w:tc>
          <w:tcPr>
            <w:tcW w:w="73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left="0" w:right="0" w:hanging="0"/>
              <w:jc w:val="left"/>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Рекогносцировка</w:t>
            </w:r>
          </w:p>
        </w:tc>
        <w:tc>
          <w:tcPr>
            <w:tcW w:w="21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725</w:t>
            </w:r>
          </w:p>
        </w:tc>
        <w:tc>
          <w:tcPr>
            <w:tcW w:w="14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w:t>
            </w:r>
          </w:p>
        </w:tc>
        <w:tc>
          <w:tcPr>
            <w:tcW w:w="14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725</w:t>
            </w:r>
          </w:p>
        </w:tc>
        <w:tc>
          <w:tcPr>
            <w:tcW w:w="14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w:t>
            </w:r>
          </w:p>
        </w:tc>
      </w:tr>
      <w:tr>
        <w:trPr>
          <w:trHeight w:val="268" w:hRule="atLeast"/>
        </w:trPr>
        <w:tc>
          <w:tcPr>
            <w:tcW w:w="40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4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3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left="0" w:right="0" w:hanging="0"/>
              <w:jc w:val="left"/>
              <w:rPr>
                <w:rFonts w:ascii="Times New Roman" w:hAnsi="Times New Roman" w:eastAsia="Times New Roman" w:cs="Times New Roman"/>
                <w:color w:val="000000"/>
                <w:sz w:val="24"/>
                <w:szCs w:val="24"/>
                <w:lang w:eastAsia="ru-RU"/>
              </w:rPr>
            </w:pPr>
            <w:r>
              <w:rPr>
                <w:rFonts w:eastAsia="Times New Roman" w:cs="Times New Roman" w:ascii="Times New Roman" w:hAnsi="Times New Roman"/>
                <w:sz w:val="24"/>
                <w:szCs w:val="24"/>
                <w:lang w:eastAsia="ru-RU"/>
              </w:rPr>
              <w:t>Рекогносцировка, неблагоприятный период</w:t>
            </w:r>
          </w:p>
        </w:tc>
        <w:tc>
          <w:tcPr>
            <w:tcW w:w="21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750</w:t>
            </w:r>
          </w:p>
        </w:tc>
        <w:tc>
          <w:tcPr>
            <w:tcW w:w="14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w:t>
            </w:r>
          </w:p>
        </w:tc>
        <w:tc>
          <w:tcPr>
            <w:tcW w:w="14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w:t>
            </w:r>
          </w:p>
        </w:tc>
        <w:tc>
          <w:tcPr>
            <w:tcW w:w="14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750</w:t>
            </w:r>
          </w:p>
        </w:tc>
      </w:tr>
      <w:tr>
        <w:trPr>
          <w:trHeight w:val="240" w:hRule="atLeast"/>
        </w:trPr>
        <w:tc>
          <w:tcPr>
            <w:tcW w:w="40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4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3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left="0" w:right="0" w:hanging="0"/>
              <w:jc w:val="left"/>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Нивелирование I класса</w:t>
            </w:r>
          </w:p>
        </w:tc>
        <w:tc>
          <w:tcPr>
            <w:tcW w:w="21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475</w:t>
            </w:r>
          </w:p>
        </w:tc>
        <w:tc>
          <w:tcPr>
            <w:tcW w:w="14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w:t>
            </w:r>
          </w:p>
        </w:tc>
        <w:tc>
          <w:tcPr>
            <w:tcW w:w="14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475</w:t>
            </w:r>
          </w:p>
        </w:tc>
        <w:tc>
          <w:tcPr>
            <w:tcW w:w="14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w:t>
            </w:r>
          </w:p>
        </w:tc>
      </w:tr>
      <w:tr>
        <w:trPr>
          <w:trHeight w:val="317" w:hRule="atLeast"/>
        </w:trPr>
        <w:tc>
          <w:tcPr>
            <w:tcW w:w="40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4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3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left="0" w:right="0" w:hanging="0"/>
              <w:jc w:val="left"/>
              <w:rPr>
                <w:rFonts w:ascii="Times New Roman" w:hAnsi="Times New Roman" w:eastAsia="Times New Roman" w:cs="Times New Roman"/>
                <w:color w:val="000000"/>
                <w:sz w:val="24"/>
                <w:szCs w:val="24"/>
                <w:lang w:eastAsia="ru-RU"/>
              </w:rPr>
            </w:pPr>
            <w:r>
              <w:rPr>
                <w:rFonts w:eastAsia="Times New Roman" w:cs="Times New Roman" w:ascii="Times New Roman" w:hAnsi="Times New Roman"/>
                <w:sz w:val="24"/>
                <w:szCs w:val="24"/>
                <w:lang w:eastAsia="ru-RU"/>
              </w:rPr>
              <w:t>Нивелирование I класса, неблагоприятный период</w:t>
            </w:r>
          </w:p>
        </w:tc>
        <w:tc>
          <w:tcPr>
            <w:tcW w:w="21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490</w:t>
            </w:r>
          </w:p>
        </w:tc>
        <w:tc>
          <w:tcPr>
            <w:tcW w:w="14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w:t>
            </w:r>
          </w:p>
        </w:tc>
        <w:tc>
          <w:tcPr>
            <w:tcW w:w="14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w:t>
            </w:r>
          </w:p>
        </w:tc>
        <w:tc>
          <w:tcPr>
            <w:tcW w:w="14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490</w:t>
            </w:r>
          </w:p>
        </w:tc>
      </w:tr>
      <w:tr>
        <w:trPr>
          <w:trHeight w:val="244" w:hRule="atLeast"/>
        </w:trPr>
        <w:tc>
          <w:tcPr>
            <w:tcW w:w="40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4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3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left="0" w:right="0" w:hanging="0"/>
              <w:jc w:val="left"/>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Нивелирование II класса</w:t>
            </w:r>
          </w:p>
        </w:tc>
        <w:tc>
          <w:tcPr>
            <w:tcW w:w="21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250</w:t>
            </w:r>
          </w:p>
        </w:tc>
        <w:tc>
          <w:tcPr>
            <w:tcW w:w="14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w:t>
            </w:r>
          </w:p>
        </w:tc>
        <w:tc>
          <w:tcPr>
            <w:tcW w:w="14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250</w:t>
            </w:r>
          </w:p>
        </w:tc>
        <w:tc>
          <w:tcPr>
            <w:tcW w:w="14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w:t>
            </w:r>
          </w:p>
        </w:tc>
      </w:tr>
      <w:tr>
        <w:trPr>
          <w:trHeight w:val="99" w:hRule="atLeast"/>
        </w:trPr>
        <w:tc>
          <w:tcPr>
            <w:tcW w:w="40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4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3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left="0" w:right="0" w:hanging="0"/>
              <w:jc w:val="left"/>
              <w:rPr>
                <w:rFonts w:ascii="Times New Roman" w:hAnsi="Times New Roman" w:eastAsia="Times New Roman" w:cs="Times New Roman"/>
                <w:color w:val="000000"/>
                <w:sz w:val="24"/>
                <w:szCs w:val="24"/>
                <w:lang w:eastAsia="ru-RU"/>
              </w:rPr>
            </w:pPr>
            <w:r>
              <w:rPr>
                <w:rFonts w:eastAsia="Times New Roman" w:cs="Times New Roman" w:ascii="Times New Roman" w:hAnsi="Times New Roman"/>
                <w:sz w:val="24"/>
                <w:szCs w:val="24"/>
                <w:lang w:eastAsia="ru-RU"/>
              </w:rPr>
              <w:t>Нивелирование II класса, неблагоприятный период</w:t>
            </w:r>
          </w:p>
        </w:tc>
        <w:tc>
          <w:tcPr>
            <w:tcW w:w="21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250</w:t>
            </w:r>
          </w:p>
        </w:tc>
        <w:tc>
          <w:tcPr>
            <w:tcW w:w="14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w:t>
            </w:r>
          </w:p>
        </w:tc>
        <w:tc>
          <w:tcPr>
            <w:tcW w:w="14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w:t>
            </w:r>
          </w:p>
        </w:tc>
        <w:tc>
          <w:tcPr>
            <w:tcW w:w="14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260</w:t>
            </w:r>
          </w:p>
        </w:tc>
      </w:tr>
      <w:tr>
        <w:trPr>
          <w:trHeight w:val="286" w:hRule="atLeast"/>
        </w:trPr>
        <w:tc>
          <w:tcPr>
            <w:tcW w:w="403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Проведение наблюдений за плановой опорной сетью</w:t>
            </w:r>
          </w:p>
        </w:tc>
        <w:tc>
          <w:tcPr>
            <w:tcW w:w="241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w:t>
            </w:r>
          </w:p>
        </w:tc>
        <w:tc>
          <w:tcPr>
            <w:tcW w:w="73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left="0" w:right="0" w:hanging="0"/>
              <w:jc w:val="left"/>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Развитие плановой сети 4 класса спутниковыми методами</w:t>
            </w:r>
          </w:p>
        </w:tc>
        <w:tc>
          <w:tcPr>
            <w:tcW w:w="21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18</w:t>
            </w:r>
          </w:p>
        </w:tc>
        <w:tc>
          <w:tcPr>
            <w:tcW w:w="14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w:t>
            </w:r>
          </w:p>
        </w:tc>
        <w:tc>
          <w:tcPr>
            <w:tcW w:w="14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18</w:t>
            </w:r>
          </w:p>
        </w:tc>
        <w:tc>
          <w:tcPr>
            <w:tcW w:w="14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w:t>
            </w:r>
          </w:p>
        </w:tc>
      </w:tr>
      <w:tr>
        <w:trPr>
          <w:trHeight w:val="537" w:hRule="atLeast"/>
        </w:trPr>
        <w:tc>
          <w:tcPr>
            <w:tcW w:w="40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4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3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left="0" w:right="0" w:hanging="0"/>
              <w:jc w:val="left"/>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Развитие плановой сети 4 класса спутниковыми методами,</w:t>
              <w:br/>
              <w:t>неблагоприятный период</w:t>
            </w:r>
          </w:p>
        </w:tc>
        <w:tc>
          <w:tcPr>
            <w:tcW w:w="21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18</w:t>
            </w:r>
          </w:p>
        </w:tc>
        <w:tc>
          <w:tcPr>
            <w:tcW w:w="14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w:t>
            </w:r>
          </w:p>
        </w:tc>
        <w:tc>
          <w:tcPr>
            <w:tcW w:w="14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w:t>
            </w:r>
          </w:p>
        </w:tc>
        <w:tc>
          <w:tcPr>
            <w:tcW w:w="14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18</w:t>
            </w:r>
          </w:p>
        </w:tc>
      </w:tr>
      <w:tr>
        <w:trPr>
          <w:trHeight w:val="177" w:hRule="atLeast"/>
        </w:trPr>
        <w:tc>
          <w:tcPr>
            <w:tcW w:w="40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4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3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left="0" w:right="0" w:hanging="0"/>
              <w:jc w:val="left"/>
              <w:rPr>
                <w:rFonts w:ascii="Times New Roman" w:hAnsi="Times New Roman" w:eastAsia="Times New Roman" w:cs="Times New Roman"/>
                <w:color w:val="000000"/>
                <w:sz w:val="24"/>
                <w:szCs w:val="24"/>
                <w:lang w:eastAsia="ru-RU"/>
              </w:rPr>
            </w:pPr>
            <w:r>
              <w:rPr>
                <w:rFonts w:eastAsia="Times New Roman" w:cs="Times New Roman" w:ascii="Times New Roman" w:hAnsi="Times New Roman"/>
                <w:sz w:val="24"/>
                <w:szCs w:val="24"/>
                <w:lang w:eastAsia="ru-RU"/>
              </w:rPr>
              <w:t>Развитие плановой сети 4 класса, линейно-угловыми измерениями</w:t>
            </w:r>
          </w:p>
        </w:tc>
        <w:tc>
          <w:tcPr>
            <w:tcW w:w="21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5</w:t>
            </w:r>
          </w:p>
        </w:tc>
        <w:tc>
          <w:tcPr>
            <w:tcW w:w="14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w:t>
            </w:r>
          </w:p>
        </w:tc>
        <w:tc>
          <w:tcPr>
            <w:tcW w:w="14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5</w:t>
            </w:r>
          </w:p>
        </w:tc>
        <w:tc>
          <w:tcPr>
            <w:tcW w:w="14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w:t>
            </w:r>
          </w:p>
        </w:tc>
      </w:tr>
      <w:tr>
        <w:trPr>
          <w:trHeight w:val="368" w:hRule="atLeast"/>
        </w:trPr>
        <w:tc>
          <w:tcPr>
            <w:tcW w:w="40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4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3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left="0" w:right="0" w:hanging="0"/>
              <w:jc w:val="left"/>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Развитие плановой сети 4 класса, линейно-угловыми измерениями, благоприятный период</w:t>
            </w:r>
          </w:p>
        </w:tc>
        <w:tc>
          <w:tcPr>
            <w:tcW w:w="21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5</w:t>
            </w:r>
          </w:p>
        </w:tc>
        <w:tc>
          <w:tcPr>
            <w:tcW w:w="14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w:t>
            </w:r>
          </w:p>
        </w:tc>
        <w:tc>
          <w:tcPr>
            <w:tcW w:w="14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w:t>
            </w:r>
          </w:p>
        </w:tc>
        <w:tc>
          <w:tcPr>
            <w:tcW w:w="14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5</w:t>
            </w:r>
          </w:p>
        </w:tc>
      </w:tr>
      <w:tr>
        <w:trPr>
          <w:trHeight w:val="300" w:hRule="atLeast"/>
        </w:trPr>
        <w:tc>
          <w:tcPr>
            <w:tcW w:w="403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left="0" w:right="0" w:hanging="0"/>
              <w:jc w:val="left"/>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Наблюдения</w:t>
              <w:br/>
              <w:t>обратных отвесов</w:t>
            </w:r>
          </w:p>
        </w:tc>
        <w:tc>
          <w:tcPr>
            <w:tcW w:w="241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точек</w:t>
            </w:r>
          </w:p>
        </w:tc>
        <w:tc>
          <w:tcPr>
            <w:tcW w:w="73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left="0" w:right="0" w:hanging="0"/>
              <w:jc w:val="left"/>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Обратный отвес</w:t>
            </w:r>
          </w:p>
        </w:tc>
        <w:tc>
          <w:tcPr>
            <w:tcW w:w="21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416</w:t>
            </w:r>
          </w:p>
        </w:tc>
        <w:tc>
          <w:tcPr>
            <w:tcW w:w="14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130</w:t>
            </w:r>
          </w:p>
        </w:tc>
        <w:tc>
          <w:tcPr>
            <w:tcW w:w="14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130</w:t>
            </w:r>
          </w:p>
        </w:tc>
        <w:tc>
          <w:tcPr>
            <w:tcW w:w="14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130</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130</w:t>
            </w:r>
          </w:p>
        </w:tc>
      </w:tr>
      <w:tr>
        <w:trPr>
          <w:trHeight w:val="152" w:hRule="atLeast"/>
        </w:trPr>
        <w:tc>
          <w:tcPr>
            <w:tcW w:w="40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4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3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left="0" w:right="0" w:hanging="0"/>
              <w:jc w:val="right"/>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Итого</w:t>
            </w:r>
          </w:p>
        </w:tc>
        <w:tc>
          <w:tcPr>
            <w:tcW w:w="21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416</w:t>
            </w:r>
          </w:p>
        </w:tc>
        <w:tc>
          <w:tcPr>
            <w:tcW w:w="14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130</w:t>
            </w:r>
          </w:p>
        </w:tc>
        <w:tc>
          <w:tcPr>
            <w:tcW w:w="14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130</w:t>
            </w:r>
          </w:p>
        </w:tc>
        <w:tc>
          <w:tcPr>
            <w:tcW w:w="14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130</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130</w:t>
            </w:r>
          </w:p>
        </w:tc>
      </w:tr>
      <w:tr>
        <w:trPr>
          <w:trHeight w:val="240" w:hRule="atLeast"/>
        </w:trPr>
        <w:tc>
          <w:tcPr>
            <w:tcW w:w="403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left="0" w:right="0" w:hanging="0"/>
              <w:jc w:val="left"/>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Наблюдения одно- </w:t>
              <w:br/>
              <w:t>трёхосных щелемеров</w:t>
            </w:r>
          </w:p>
        </w:tc>
        <w:tc>
          <w:tcPr>
            <w:tcW w:w="241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точек</w:t>
            </w:r>
          </w:p>
        </w:tc>
        <w:tc>
          <w:tcPr>
            <w:tcW w:w="73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left="0" w:right="0" w:hanging="0"/>
              <w:jc w:val="left"/>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Щелемер одноосный</w:t>
            </w:r>
          </w:p>
        </w:tc>
        <w:tc>
          <w:tcPr>
            <w:tcW w:w="21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1560</w:t>
            </w:r>
          </w:p>
        </w:tc>
        <w:tc>
          <w:tcPr>
            <w:tcW w:w="14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390</w:t>
            </w:r>
          </w:p>
        </w:tc>
        <w:tc>
          <w:tcPr>
            <w:tcW w:w="14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390</w:t>
            </w:r>
          </w:p>
        </w:tc>
        <w:tc>
          <w:tcPr>
            <w:tcW w:w="14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390</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390</w:t>
            </w:r>
          </w:p>
        </w:tc>
      </w:tr>
      <w:tr>
        <w:trPr>
          <w:trHeight w:val="385" w:hRule="atLeast"/>
        </w:trPr>
        <w:tc>
          <w:tcPr>
            <w:tcW w:w="40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4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3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left="0" w:right="0" w:hanging="0"/>
              <w:jc w:val="left"/>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Щелемер 3-x марочный и щелемер</w:t>
              <w:br/>
              <w:t>одноосный</w:t>
            </w:r>
          </w:p>
        </w:tc>
        <w:tc>
          <w:tcPr>
            <w:tcW w:w="21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1276</w:t>
            </w:r>
          </w:p>
        </w:tc>
        <w:tc>
          <w:tcPr>
            <w:tcW w:w="14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319</w:t>
            </w:r>
          </w:p>
        </w:tc>
        <w:tc>
          <w:tcPr>
            <w:tcW w:w="14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319</w:t>
            </w:r>
          </w:p>
        </w:tc>
        <w:tc>
          <w:tcPr>
            <w:tcW w:w="14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319</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319</w:t>
            </w:r>
          </w:p>
        </w:tc>
      </w:tr>
      <w:tr>
        <w:trPr>
          <w:trHeight w:val="240" w:hRule="atLeast"/>
        </w:trPr>
        <w:tc>
          <w:tcPr>
            <w:tcW w:w="40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4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3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left="0" w:right="0" w:hanging="0"/>
              <w:jc w:val="right"/>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Итого</w:t>
            </w:r>
          </w:p>
        </w:tc>
        <w:tc>
          <w:tcPr>
            <w:tcW w:w="21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left="0" w:right="0" w:firstLine="240"/>
              <w:jc w:val="left"/>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2836</w:t>
            </w:r>
          </w:p>
        </w:tc>
        <w:tc>
          <w:tcPr>
            <w:tcW w:w="14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709</w:t>
            </w:r>
          </w:p>
        </w:tc>
        <w:tc>
          <w:tcPr>
            <w:tcW w:w="146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709</w:t>
            </w:r>
          </w:p>
        </w:tc>
        <w:tc>
          <w:tcPr>
            <w:tcW w:w="14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709</w:t>
            </w:r>
          </w:p>
        </w:tc>
        <w:tc>
          <w:tcPr>
            <w:tcW w:w="12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709</w:t>
            </w:r>
          </w:p>
        </w:tc>
      </w:tr>
      <w:tr>
        <w:trPr>
          <w:trHeight w:val="367" w:hRule="atLeast"/>
        </w:trPr>
        <w:tc>
          <w:tcPr>
            <w:tcW w:w="403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ind w:left="0" w:right="0" w:hanging="0"/>
              <w:jc w:val="left"/>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Наблюдения за подвижками точек</w:t>
              <w:br/>
              <w:t>склона и деформациями зданий и сооружений</w:t>
            </w:r>
          </w:p>
        </w:tc>
        <w:tc>
          <w:tcPr>
            <w:tcW w:w="241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firstLine="24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точек</w:t>
            </w:r>
          </w:p>
        </w:tc>
        <w:tc>
          <w:tcPr>
            <w:tcW w:w="73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СДЗ, ПВЗ, МБ, МГ</w:t>
            </w:r>
          </w:p>
        </w:tc>
        <w:tc>
          <w:tcPr>
            <w:tcW w:w="21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288</w:t>
            </w:r>
          </w:p>
        </w:tc>
        <w:tc>
          <w:tcPr>
            <w:tcW w:w="14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72</w:t>
            </w:r>
          </w:p>
        </w:tc>
        <w:tc>
          <w:tcPr>
            <w:tcW w:w="14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72</w:t>
            </w:r>
          </w:p>
        </w:tc>
        <w:tc>
          <w:tcPr>
            <w:tcW w:w="14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72</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72</w:t>
            </w:r>
          </w:p>
        </w:tc>
      </w:tr>
      <w:tr>
        <w:trPr>
          <w:trHeight w:val="258" w:hRule="atLeast"/>
        </w:trPr>
        <w:tc>
          <w:tcPr>
            <w:tcW w:w="40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4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73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right"/>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Итого</w:t>
            </w:r>
          </w:p>
        </w:tc>
        <w:tc>
          <w:tcPr>
            <w:tcW w:w="21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288</w:t>
            </w:r>
          </w:p>
        </w:tc>
        <w:tc>
          <w:tcPr>
            <w:tcW w:w="14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72</w:t>
            </w:r>
          </w:p>
        </w:tc>
        <w:tc>
          <w:tcPr>
            <w:tcW w:w="14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72</w:t>
            </w:r>
          </w:p>
        </w:tc>
        <w:tc>
          <w:tcPr>
            <w:tcW w:w="14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72</w:t>
            </w:r>
          </w:p>
        </w:tc>
        <w:tc>
          <w:tcPr>
            <w:tcW w:w="12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72</w:t>
            </w:r>
          </w:p>
        </w:tc>
      </w:tr>
    </w:tbl>
    <w:p>
      <w:pPr>
        <w:sectPr>
          <w:headerReference w:type="default" r:id="rId107"/>
          <w:headerReference w:type="first" r:id="rId108"/>
          <w:footerReference w:type="default" r:id="rId109"/>
          <w:footerReference w:type="first" r:id="rId110"/>
          <w:type w:val="nextPage"/>
          <w:pgSz w:orient="landscape" w:w="23811" w:h="16838"/>
          <w:pgMar w:left="1134" w:right="1134" w:gutter="0" w:header="397" w:top="1701" w:footer="2" w:bottom="851"/>
          <w:pgNumType w:fmt="decimal"/>
          <w:formProt w:val="false"/>
          <w:textDirection w:val="lrTb"/>
          <w:docGrid w:type="default" w:linePitch="360" w:charSpace="4096"/>
        </w:sectPr>
      </w:pPr>
    </w:p>
    <w:p>
      <w:pPr>
        <w:pStyle w:val="Normal"/>
        <w:spacing w:lineRule="auto" w:line="240" w:before="0" w:after="120"/>
        <w:ind w:left="0" w:right="0" w:hanging="0"/>
        <w:jc w:val="center"/>
        <w:rPr>
          <w:rFonts w:ascii="Times New Roman" w:hAnsi="Times New Roman" w:cs="Times New Roman"/>
          <w:lang w:eastAsia="ru-RU"/>
        </w:rPr>
      </w:pPr>
      <w:r>
        <w:rPr>
          <w:rFonts w:cs="Times New Roman" w:ascii="Times New Roman" w:hAnsi="Times New Roman"/>
          <w:lang w:eastAsia="ru-RU"/>
        </w:rPr>
      </w:r>
    </w:p>
    <w:p>
      <w:pPr>
        <w:pStyle w:val="Normal"/>
        <w:spacing w:lineRule="auto" w:line="240" w:before="0" w:after="120"/>
        <w:ind w:left="0" w:right="0" w:hanging="0"/>
        <w:rPr>
          <w:rFonts w:ascii="Times New Roman" w:hAnsi="Times New Roman"/>
          <w:sz w:val="24"/>
        </w:rPr>
      </w:pPr>
      <w:r>
        <w:rPr>
          <w:rFonts w:ascii="Times New Roman" w:hAnsi="Times New Roman"/>
          <w:sz w:val="24"/>
        </w:rPr>
        <w:t>Таблица В.2 – Объём работ при проведении специального контроля за пространственным положением здания ГАЭС</w:t>
      </w:r>
    </w:p>
    <w:tbl>
      <w:tblPr>
        <w:tblW w:w="5000" w:type="pct"/>
        <w:jc w:val="center"/>
        <w:tblInd w:w="0" w:type="dxa"/>
        <w:tblLayout w:type="fixed"/>
        <w:tblCellMar>
          <w:top w:w="0" w:type="dxa"/>
          <w:left w:w="40" w:type="dxa"/>
          <w:bottom w:w="0" w:type="dxa"/>
          <w:right w:w="40" w:type="dxa"/>
        </w:tblCellMar>
      </w:tblPr>
      <w:tblGrid>
        <w:gridCol w:w="1952"/>
        <w:gridCol w:w="1562"/>
        <w:gridCol w:w="1924"/>
        <w:gridCol w:w="1552"/>
        <w:gridCol w:w="2081"/>
      </w:tblGrid>
      <w:tr>
        <w:trPr>
          <w:trHeight w:val="1649" w:hRule="atLeast"/>
        </w:trPr>
        <w:tc>
          <w:tcPr>
            <w:tcW w:w="19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Контролируемые параметры</w:t>
            </w:r>
          </w:p>
        </w:tc>
        <w:tc>
          <w:tcPr>
            <w:tcW w:w="15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Срок</w:t>
            </w:r>
          </w:p>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выполнения</w:t>
            </w:r>
          </w:p>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работ</w:t>
            </w:r>
          </w:p>
        </w:tc>
        <w:tc>
          <w:tcPr>
            <w:tcW w:w="19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Методы</w:t>
            </w:r>
          </w:p>
        </w:tc>
        <w:tc>
          <w:tcPr>
            <w:tcW w:w="15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Количество измеряемых точек</w:t>
            </w:r>
          </w:p>
        </w:tc>
        <w:tc>
          <w:tcPr>
            <w:tcW w:w="2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Периодичность фиксации контролируемых</w:t>
            </w:r>
          </w:p>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параметров</w:t>
            </w:r>
          </w:p>
        </w:tc>
      </w:tr>
      <w:tr>
        <w:trPr>
          <w:trHeight w:val="2548" w:hRule="atLeast"/>
        </w:trPr>
        <w:tc>
          <w:tcPr>
            <w:tcW w:w="19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Горизонтальные</w:t>
            </w:r>
          </w:p>
          <w:p>
            <w:pPr>
              <w:pStyle w:val="Normal"/>
              <w:widowControl w:val="false"/>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и вертикальные перемещения конструкций сооружений, планово-высотных знаков на склонах</w:t>
            </w:r>
          </w:p>
        </w:tc>
        <w:tc>
          <w:tcPr>
            <w:tcW w:w="15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Один год</w:t>
            </w:r>
          </w:p>
        </w:tc>
        <w:tc>
          <w:tcPr>
            <w:tcW w:w="19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Геодезические</w:t>
            </w:r>
          </w:p>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методы (фиксация</w:t>
            </w:r>
          </w:p>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перемещений марок)</w:t>
            </w:r>
          </w:p>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с применением</w:t>
            </w:r>
          </w:p>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автоматизирован-ных тахеометров</w:t>
            </w:r>
          </w:p>
        </w:tc>
        <w:tc>
          <w:tcPr>
            <w:tcW w:w="15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89</w:t>
            </w:r>
          </w:p>
        </w:tc>
        <w:tc>
          <w:tcPr>
            <w:tcW w:w="2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Каждый час в автоматическом режиме</w:t>
            </w:r>
          </w:p>
        </w:tc>
      </w:tr>
      <w:tr>
        <w:trPr>
          <w:trHeight w:val="2527" w:hRule="exact"/>
        </w:trPr>
        <w:tc>
          <w:tcPr>
            <w:tcW w:w="19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Горизонтальные и вертикальные перемещения базовых станций</w:t>
            </w:r>
          </w:p>
        </w:tc>
        <w:tc>
          <w:tcPr>
            <w:tcW w:w="15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Один год</w:t>
            </w:r>
          </w:p>
        </w:tc>
        <w:tc>
          <w:tcPr>
            <w:tcW w:w="19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Геодезические</w:t>
            </w:r>
          </w:p>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методы (фиксация</w:t>
            </w:r>
          </w:p>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перемещений марок) с применением</w:t>
            </w:r>
          </w:p>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автоматизирован-ных тахеометров</w:t>
            </w:r>
          </w:p>
        </w:tc>
        <w:tc>
          <w:tcPr>
            <w:tcW w:w="15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9</w:t>
            </w:r>
          </w:p>
        </w:tc>
        <w:tc>
          <w:tcPr>
            <w:tcW w:w="2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Каждые 2 часа в автоматическом режиме</w:t>
            </w:r>
          </w:p>
        </w:tc>
      </w:tr>
      <w:tr>
        <w:trPr>
          <w:trHeight w:val="1429" w:hRule="exact"/>
        </w:trPr>
        <w:tc>
          <w:tcPr>
            <w:tcW w:w="19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Горизонтальные и вертикальные перемещения базовых станций</w:t>
            </w:r>
          </w:p>
        </w:tc>
        <w:tc>
          <w:tcPr>
            <w:tcW w:w="15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Один год</w:t>
            </w:r>
          </w:p>
        </w:tc>
        <w:tc>
          <w:tcPr>
            <w:tcW w:w="19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Геодезические методы (спутниковые измерения)</w:t>
            </w:r>
          </w:p>
        </w:tc>
        <w:tc>
          <w:tcPr>
            <w:tcW w:w="15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9</w:t>
            </w:r>
          </w:p>
        </w:tc>
        <w:tc>
          <w:tcPr>
            <w:tcW w:w="2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Каждый час в автоматическом режиме</w:t>
            </w:r>
          </w:p>
        </w:tc>
      </w:tr>
    </w:tbl>
    <w:p>
      <w:pPr>
        <w:pStyle w:val="Normal"/>
        <w:spacing w:lineRule="auto" w:line="240"/>
        <w:ind w:left="0" w:right="0" w:hanging="0"/>
        <w:jc w:val="center"/>
        <w:rPr>
          <w:rFonts w:ascii="Times New Roman" w:hAnsi="Times New Roman" w:cs="Times New Roman"/>
          <w:lang w:eastAsia="ru-RU"/>
        </w:rPr>
      </w:pPr>
      <w:r>
        <w:rPr>
          <w:rFonts w:cs="Times New Roman" w:ascii="Times New Roman" w:hAnsi="Times New Roman"/>
          <w:lang w:eastAsia="ru-RU"/>
        </w:rPr>
      </w:r>
    </w:p>
    <w:p>
      <w:pPr>
        <w:pStyle w:val="Normal"/>
        <w:spacing w:lineRule="auto" w:line="276" w:before="0" w:after="200"/>
        <w:ind w:left="0" w:right="0" w:hanging="0"/>
        <w:jc w:val="left"/>
        <w:rPr>
          <w:rFonts w:ascii="Times New Roman" w:hAnsi="Times New Roman" w:cs="Times New Roman"/>
          <w:lang w:eastAsia="ru-RU"/>
        </w:rPr>
      </w:pPr>
      <w:r>
        <w:rPr>
          <w:rFonts w:cs="Times New Roman" w:ascii="Times New Roman" w:hAnsi="Times New Roman"/>
          <w:lang w:eastAsia="ru-RU"/>
        </w:rPr>
      </w:r>
      <w:r>
        <w:br w:type="page"/>
      </w:r>
    </w:p>
    <w:p>
      <w:pPr>
        <w:pStyle w:val="Normal"/>
        <w:spacing w:lineRule="auto" w:line="240"/>
        <w:ind w:left="0" w:right="0" w:hanging="0"/>
        <w:jc w:val="center"/>
        <w:rPr>
          <w:rFonts w:ascii="Times New Roman" w:hAnsi="Times New Roman" w:cs="Times New Roman"/>
          <w:lang w:eastAsia="ru-RU"/>
        </w:rPr>
      </w:pPr>
      <w:r>
        <w:rPr>
          <w:rFonts w:cs="Times New Roman" w:ascii="Times New Roman" w:hAnsi="Times New Roman"/>
          <w:lang w:eastAsia="ru-RU"/>
        </w:rPr>
      </w:r>
    </w:p>
    <w:p>
      <w:pPr>
        <w:pStyle w:val="Normal"/>
        <w:spacing w:lineRule="auto" w:line="240" w:before="0" w:after="120"/>
        <w:ind w:left="0" w:right="0" w:hanging="0"/>
        <w:rPr>
          <w:rFonts w:ascii="Times New Roman" w:hAnsi="Times New Roman"/>
          <w:sz w:val="24"/>
        </w:rPr>
      </w:pPr>
      <w:r>
        <w:rPr>
          <w:rFonts w:ascii="Times New Roman" w:hAnsi="Times New Roman"/>
          <w:sz w:val="24"/>
        </w:rPr>
        <w:t>Таблица В.3 – Состав и объём работ по обеспечению работоспособности системы специального контроля пространственного положения сроком на один год</w:t>
      </w:r>
    </w:p>
    <w:tbl>
      <w:tblPr>
        <w:tblW w:w="5000" w:type="pct"/>
        <w:jc w:val="left"/>
        <w:tblInd w:w="0" w:type="dxa"/>
        <w:tblLayout w:type="fixed"/>
        <w:tblCellMar>
          <w:top w:w="0" w:type="dxa"/>
          <w:left w:w="108" w:type="dxa"/>
          <w:bottom w:w="0" w:type="dxa"/>
          <w:right w:w="108" w:type="dxa"/>
        </w:tblCellMar>
      </w:tblPr>
      <w:tblGrid>
        <w:gridCol w:w="6384"/>
        <w:gridCol w:w="1309"/>
        <w:gridCol w:w="1378"/>
      </w:tblGrid>
      <w:tr>
        <w:trPr>
          <w:trHeight w:val="672" w:hRule="atLeast"/>
        </w:trPr>
        <w:tc>
          <w:tcPr>
            <w:tcW w:w="638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Наименование работ</w:t>
            </w:r>
          </w:p>
        </w:tc>
        <w:tc>
          <w:tcPr>
            <w:tcW w:w="268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Объём работ</w:t>
            </w:r>
          </w:p>
        </w:tc>
      </w:tr>
      <w:tr>
        <w:trPr>
          <w:trHeight w:val="757" w:hRule="atLeast"/>
        </w:trPr>
        <w:tc>
          <w:tcPr>
            <w:tcW w:w="638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3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ед. изм.</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количество</w:t>
            </w:r>
          </w:p>
        </w:tc>
      </w:tr>
      <w:tr>
        <w:trPr>
          <w:trHeight w:val="851" w:hRule="atLeast"/>
        </w:trPr>
        <w:tc>
          <w:tcPr>
            <w:tcW w:w="63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Проверка отражательной способности отражателей на знаках мониторинга</w:t>
            </w:r>
          </w:p>
        </w:tc>
        <w:tc>
          <w:tcPr>
            <w:tcW w:w="13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ч/день</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22</w:t>
            </w:r>
          </w:p>
        </w:tc>
      </w:tr>
      <w:tr>
        <w:trPr>
          <w:trHeight w:val="851" w:hRule="atLeast"/>
        </w:trPr>
        <w:tc>
          <w:tcPr>
            <w:tcW w:w="63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Проверка работоспособности оборудования станции автоматизированного тахеометра</w:t>
            </w:r>
          </w:p>
        </w:tc>
        <w:tc>
          <w:tcPr>
            <w:tcW w:w="13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ч/день</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33</w:t>
            </w:r>
          </w:p>
        </w:tc>
      </w:tr>
      <w:tr>
        <w:trPr>
          <w:trHeight w:val="851" w:hRule="atLeast"/>
        </w:trPr>
        <w:tc>
          <w:tcPr>
            <w:tcW w:w="63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 xml:space="preserve">Проверка работоспособности оборудования </w:t>
              <w:br/>
              <w:t>ГНСС-приёмников</w:t>
            </w:r>
          </w:p>
        </w:tc>
        <w:tc>
          <w:tcPr>
            <w:tcW w:w="13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ч/день</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22</w:t>
            </w:r>
          </w:p>
        </w:tc>
      </w:tr>
      <w:tr>
        <w:trPr>
          <w:trHeight w:val="851" w:hRule="atLeast"/>
        </w:trPr>
        <w:tc>
          <w:tcPr>
            <w:tcW w:w="63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Проверка работоспособности оборудования системы метеорологического обеспечения</w:t>
            </w:r>
          </w:p>
        </w:tc>
        <w:tc>
          <w:tcPr>
            <w:tcW w:w="13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ч/день</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11</w:t>
            </w:r>
          </w:p>
        </w:tc>
      </w:tr>
      <w:tr>
        <w:trPr>
          <w:trHeight w:val="1191" w:hRule="atLeast"/>
        </w:trPr>
        <w:tc>
          <w:tcPr>
            <w:tcW w:w="63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Контроль и обеспечение бесперебойной работы системы сбора и передачи данных, периодический перезапуск отдельных её элементов</w:t>
            </w:r>
          </w:p>
        </w:tc>
        <w:tc>
          <w:tcPr>
            <w:tcW w:w="13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ч/день</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44</w:t>
            </w:r>
          </w:p>
        </w:tc>
      </w:tr>
      <w:tr>
        <w:trPr>
          <w:trHeight w:val="846" w:hRule="atLeast"/>
        </w:trPr>
        <w:tc>
          <w:tcPr>
            <w:tcW w:w="63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 xml:space="preserve">Контроль и обеспечение бесперебойной работы системы хранения данных и их архивации, чистка карт памяти </w:t>
            </w:r>
          </w:p>
        </w:tc>
        <w:tc>
          <w:tcPr>
            <w:tcW w:w="13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ч/день</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22</w:t>
            </w:r>
          </w:p>
        </w:tc>
      </w:tr>
      <w:tr>
        <w:trPr>
          <w:trHeight w:val="1191" w:hRule="atLeast"/>
        </w:trPr>
        <w:tc>
          <w:tcPr>
            <w:tcW w:w="63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Контроль и обеспечение бесперебойной работы программного модуля сбора и предварительной обработки измерительной информации</w:t>
            </w:r>
          </w:p>
        </w:tc>
        <w:tc>
          <w:tcPr>
            <w:tcW w:w="13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ч/день</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44</w:t>
            </w:r>
          </w:p>
        </w:tc>
      </w:tr>
      <w:tr>
        <w:trPr>
          <w:trHeight w:val="833" w:hRule="atLeast"/>
        </w:trPr>
        <w:tc>
          <w:tcPr>
            <w:tcW w:w="63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Контроль и обеспечение бесперебойной работы программного модуля вычисления смещений</w:t>
            </w:r>
          </w:p>
        </w:tc>
        <w:tc>
          <w:tcPr>
            <w:tcW w:w="13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ч/день</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44</w:t>
            </w:r>
          </w:p>
        </w:tc>
      </w:tr>
      <w:tr>
        <w:trPr>
          <w:trHeight w:val="1191" w:hRule="atLeast"/>
        </w:trPr>
        <w:tc>
          <w:tcPr>
            <w:tcW w:w="63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Контроль и обеспечение бесперебойной работы программного модуля оценки и анализа смещений и деформаций</w:t>
            </w:r>
          </w:p>
        </w:tc>
        <w:tc>
          <w:tcPr>
            <w:tcW w:w="13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ч/день</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44</w:t>
            </w:r>
          </w:p>
        </w:tc>
      </w:tr>
      <w:tr>
        <w:trPr>
          <w:trHeight w:val="862" w:hRule="atLeast"/>
        </w:trPr>
        <w:tc>
          <w:tcPr>
            <w:tcW w:w="63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Выдача промежуточных результатов мониторинга в табличном и графическом виде</w:t>
            </w:r>
          </w:p>
        </w:tc>
        <w:tc>
          <w:tcPr>
            <w:tcW w:w="13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ч/день</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44</w:t>
            </w:r>
          </w:p>
        </w:tc>
      </w:tr>
      <w:tr>
        <w:trPr>
          <w:trHeight w:val="567" w:hRule="atLeast"/>
        </w:trPr>
        <w:tc>
          <w:tcPr>
            <w:tcW w:w="63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Анализ промежуточных результатов</w:t>
            </w:r>
          </w:p>
        </w:tc>
        <w:tc>
          <w:tcPr>
            <w:tcW w:w="13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ч/день</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44</w:t>
            </w:r>
          </w:p>
        </w:tc>
      </w:tr>
      <w:tr>
        <w:trPr>
          <w:trHeight w:val="567" w:hRule="atLeast"/>
        </w:trPr>
        <w:tc>
          <w:tcPr>
            <w:tcW w:w="63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left"/>
              <w:rPr>
                <w:rFonts w:ascii="Times New Roman" w:hAnsi="Times New Roman" w:eastAsia="Calibri" w:cs="Times New Roman"/>
                <w:sz w:val="24"/>
                <w:szCs w:val="24"/>
              </w:rPr>
            </w:pPr>
            <w:r>
              <w:rPr>
                <w:rFonts w:eastAsia="Calibri" w:cs="Times New Roman" w:ascii="Times New Roman" w:hAnsi="Times New Roman"/>
                <w:sz w:val="24"/>
                <w:szCs w:val="24"/>
              </w:rPr>
              <w:t>Контроль достоверности промежуточных результатов</w:t>
            </w:r>
          </w:p>
        </w:tc>
        <w:tc>
          <w:tcPr>
            <w:tcW w:w="13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ч/день</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44</w:t>
            </w:r>
          </w:p>
        </w:tc>
      </w:tr>
      <w:tr>
        <w:trPr>
          <w:trHeight w:val="567" w:hRule="atLeast"/>
        </w:trPr>
        <w:tc>
          <w:tcPr>
            <w:tcW w:w="63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right"/>
              <w:rPr>
                <w:rFonts w:ascii="Times New Roman" w:hAnsi="Times New Roman" w:eastAsia="Calibri" w:cs="Times New Roman"/>
                <w:sz w:val="24"/>
                <w:szCs w:val="24"/>
              </w:rPr>
            </w:pPr>
            <w:r>
              <w:rPr>
                <w:rFonts w:eastAsia="Calibri" w:cs="Times New Roman" w:ascii="Times New Roman" w:hAnsi="Times New Roman"/>
                <w:sz w:val="24"/>
                <w:szCs w:val="24"/>
              </w:rPr>
              <w:t>ВСЕГО</w:t>
            </w:r>
          </w:p>
        </w:tc>
        <w:tc>
          <w:tcPr>
            <w:tcW w:w="13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ч/день</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right="0" w:hanging="0"/>
              <w:jc w:val="center"/>
              <w:rPr>
                <w:rFonts w:ascii="Times New Roman" w:hAnsi="Times New Roman" w:eastAsia="Calibri" w:cs="Times New Roman"/>
                <w:sz w:val="24"/>
                <w:szCs w:val="24"/>
              </w:rPr>
            </w:pPr>
            <w:r>
              <w:rPr>
                <w:rFonts w:eastAsia="Calibri" w:cs="Times New Roman" w:ascii="Times New Roman" w:hAnsi="Times New Roman"/>
                <w:sz w:val="24"/>
                <w:szCs w:val="24"/>
              </w:rPr>
              <w:t>418</w:t>
            </w:r>
          </w:p>
        </w:tc>
      </w:tr>
    </w:tbl>
    <w:p>
      <w:pPr>
        <w:sectPr>
          <w:headerReference w:type="default" r:id="rId111"/>
          <w:headerReference w:type="first" r:id="rId112"/>
          <w:footerReference w:type="default" r:id="rId113"/>
          <w:footerReference w:type="first" r:id="rId114"/>
          <w:type w:val="nextPage"/>
          <w:pgSz w:w="11906" w:h="16838"/>
          <w:pgMar w:left="1701" w:right="1134" w:gutter="0" w:header="397" w:top="1134" w:footer="1" w:bottom="1134"/>
          <w:pgNumType w:fmt="decimal"/>
          <w:formProt w:val="false"/>
          <w:textDirection w:val="lrTb"/>
          <w:docGrid w:type="default" w:linePitch="360" w:charSpace="4096"/>
        </w:sectPr>
      </w:pPr>
    </w:p>
    <w:p>
      <w:pPr>
        <w:pStyle w:val="Heading1"/>
        <w:numPr>
          <w:ilvl w:val="0"/>
        </w:numPr>
        <w:spacing w:lineRule="auto" w:line="240" w:before="0" w:after="0"/>
        <w:ind w:left="0" w:right="0" w:hanging="0"/>
        <w:jc w:val="center"/>
        <w:rPr>
          <w:rFonts w:ascii="Times New Roman" w:hAnsi="Times New Roman" w:cs="Times New Roman"/>
          <w:szCs w:val="32"/>
        </w:rPr>
      </w:pPr>
      <w:bookmarkStart w:id="263" w:name="__RefHeading___Toc40028_2889022187"/>
      <w:bookmarkStart w:id="264" w:name="_Toc215650251"/>
      <w:bookmarkEnd w:id="263"/>
      <w:r>
        <w:rPr>
          <w:rFonts w:cs="Times New Roman" w:ascii="Times New Roman" w:hAnsi="Times New Roman"/>
          <w:szCs w:val="32"/>
        </w:rPr>
        <w:t>Приложение Г. Порядок оповещения о превышении критериальных значений на сооружениях Загорской ГАЭС-2</w:t>
      </w:r>
      <w:bookmarkEnd w:id="264"/>
    </w:p>
    <w:p>
      <w:pPr>
        <w:pStyle w:val="Style176"/>
        <w:spacing w:lineRule="auto" w:line="240"/>
        <w:jc w:val="center"/>
        <w:rPr>
          <w:b/>
        </w:rPr>
      </w:pPr>
      <w:r>
        <w:rPr>
          <w:b/>
        </w:rPr>
      </w:r>
    </w:p>
    <w:p>
      <w:pPr>
        <w:pStyle w:val="Style176"/>
        <w:rPr>
          <w:rFonts w:ascii="Times New Roman" w:hAnsi="Times New Roman"/>
        </w:rPr>
      </w:pPr>
      <w:r>
        <w:rPr>
          <w:rFonts w:eastAsia="Calibri" w:cs="Arial"/>
          <w:shd w:fill="auto" w:val="clear"/>
        </w:rPr>
        <w:t>Оповещение о превышении критериальных значений выполняется с целью обеспечения возможности определения порядка корректирующих действий при выявлении превышения критериальных значений на сооружениях Загорской ГАЭС-2.</w:t>
      </w:r>
    </w:p>
    <w:p>
      <w:pPr>
        <w:pStyle w:val="Style176"/>
        <w:rPr>
          <w:rFonts w:ascii="Times New Roman" w:hAnsi="Times New Roman"/>
        </w:rPr>
      </w:pPr>
      <w:r>
        <w:rPr>
          <w:rFonts w:eastAsia="Calibri" w:cs="Arial"/>
          <w:shd w:fill="auto" w:val="clear"/>
        </w:rPr>
        <w:t>В случае выявления превышения наблюдаемых количественных и качественных диагностических показаний относительно критериальных или контрольных значений, уполномоченное лицо Исполнителя работ по мониторингу, в течение 10 минут направляют оповещение в адрес уполномоченных лиц Заказчика и Генпректировщика (таблица Г.1 и Г.2).</w:t>
      </w:r>
    </w:p>
    <w:p>
      <w:pPr>
        <w:pStyle w:val="Style176"/>
        <w:rPr>
          <w:rFonts w:ascii="Times New Roman" w:hAnsi="Times New Roman"/>
        </w:rPr>
      </w:pPr>
      <w:r>
        <w:rPr>
          <w:rFonts w:eastAsia="Calibri" w:cs="Arial"/>
          <w:shd w:fill="auto" w:val="clear"/>
        </w:rPr>
        <w:t>Оповещение о превышении критериальных значений на сооружениях Загорской ГАЭС-2 выполняется способом, позволяющим сохранить отчёт о времени и дате оповещения (письмом с уведомлением, электронным письмом или СМС-сообщением). В обязательном порядке оповещение сопровождается телефонным звонком уполномоченному лицу.</w:t>
      </w:r>
    </w:p>
    <w:p>
      <w:pPr>
        <w:pStyle w:val="Style176"/>
        <w:rPr>
          <w:rFonts w:ascii="Times New Roman" w:hAnsi="Times New Roman"/>
        </w:rPr>
      </w:pPr>
      <w:r>
        <w:rPr>
          <w:rFonts w:eastAsia="Calibri" w:cs="Arial"/>
          <w:shd w:fill="auto" w:val="clear"/>
        </w:rPr>
        <w:t>Ниже приведен список должностных лиц (ответственных за проведение мониторинга ГТС) организации Генпроектировщика (см. таблицу Г.1). Данный список с указанием ФИО сотрудников, а также контактная информация, заполняется и предоставляется Генпроектировщиком для Исполнителя работ по мониторингу и для Заказчика перед началом непосредственных работ, путём официальной отправки.</w:t>
      </w:r>
    </w:p>
    <w:p>
      <w:pPr>
        <w:pStyle w:val="Style176"/>
        <w:rPr>
          <w:rFonts w:eastAsia="Calibri" w:cs="Arial"/>
          <w:shd w:fill="auto" w:val="clear"/>
        </w:rPr>
      </w:pPr>
      <w:r>
        <w:rPr>
          <w:rFonts w:eastAsia="Calibri" w:cs="Arial"/>
          <w:shd w:fill="auto" w:val="clear"/>
        </w:rPr>
      </w:r>
    </w:p>
    <w:p>
      <w:pPr>
        <w:pStyle w:val="Normal"/>
        <w:spacing w:lineRule="auto" w:line="240"/>
        <w:ind w:left="0" w:right="0" w:hanging="0"/>
        <w:rPr>
          <w:highlight w:val="none"/>
          <w:shd w:fill="auto" w:val="clear"/>
        </w:rPr>
      </w:pPr>
      <w:r>
        <w:rPr>
          <w:rFonts w:ascii="Times New Roman" w:hAnsi="Times New Roman"/>
          <w:sz w:val="24"/>
          <w:shd w:fill="auto" w:val="clear"/>
        </w:rPr>
        <w:t>Таблица Г.1 – Список должностей Генпроектировщика</w:t>
      </w:r>
    </w:p>
    <w:p>
      <w:pPr>
        <w:pStyle w:val="Normal"/>
        <w:spacing w:lineRule="auto" w:line="240"/>
        <w:ind w:left="0" w:right="0" w:hanging="0"/>
        <w:rPr>
          <w:highlight w:val="none"/>
          <w:shd w:fill="auto" w:val="clear"/>
        </w:rPr>
      </w:pPr>
      <w:r>
        <w:rPr>
          <w:shd w:fill="auto" w:val="clear"/>
        </w:rPr>
      </w:r>
    </w:p>
    <w:tbl>
      <w:tblPr>
        <w:tblW w:w="4700" w:type="pct"/>
        <w:jc w:val="left"/>
        <w:tblInd w:w="0" w:type="dxa"/>
        <w:tblLayout w:type="fixed"/>
        <w:tblCellMar>
          <w:top w:w="0" w:type="dxa"/>
          <w:left w:w="108" w:type="dxa"/>
          <w:bottom w:w="0" w:type="dxa"/>
          <w:right w:w="108" w:type="dxa"/>
        </w:tblCellMar>
      </w:tblPr>
      <w:tblGrid>
        <w:gridCol w:w="3487"/>
        <w:gridCol w:w="1690"/>
        <w:gridCol w:w="1689"/>
        <w:gridCol w:w="1659"/>
      </w:tblGrid>
      <w:tr>
        <w:trPr/>
        <w:tc>
          <w:tcPr>
            <w:tcW w:w="3487" w:type="dxa"/>
            <w:tcBorders>
              <w:top w:val="single" w:sz="4" w:space="0" w:color="000000"/>
              <w:left w:val="single" w:sz="4" w:space="0" w:color="000000"/>
              <w:bottom w:val="single" w:sz="4" w:space="0" w:color="000000"/>
              <w:right w:val="single" w:sz="4" w:space="0" w:color="000000"/>
            </w:tcBorders>
            <w:vAlign w:val="center"/>
          </w:tcPr>
          <w:p>
            <w:pPr>
              <w:pStyle w:val="Style176"/>
              <w:widowControl w:val="false"/>
              <w:suppressAutoHyphens w:val="true"/>
              <w:spacing w:lineRule="auto" w:line="240" w:before="0" w:after="0"/>
              <w:ind w:left="0" w:right="0" w:hanging="0"/>
              <w:jc w:val="center"/>
              <w:rPr>
                <w:highlight w:val="none"/>
                <w:shd w:fill="auto" w:val="clear"/>
              </w:rPr>
            </w:pPr>
            <w:r>
              <w:rPr>
                <w:kern w:val="0"/>
                <w:szCs w:val="22"/>
                <w:shd w:fill="auto" w:val="clear"/>
                <w:lang w:val="ru-RU" w:eastAsia="ru-RU" w:bidi="ar-SA"/>
              </w:rPr>
              <w:t>Должность</w:t>
            </w:r>
          </w:p>
        </w:tc>
        <w:tc>
          <w:tcPr>
            <w:tcW w:w="1690" w:type="dxa"/>
            <w:tcBorders>
              <w:top w:val="single" w:sz="4" w:space="0" w:color="000000"/>
              <w:left w:val="single" w:sz="4" w:space="0" w:color="000000"/>
              <w:bottom w:val="single" w:sz="4" w:space="0" w:color="000000"/>
              <w:right w:val="single" w:sz="4" w:space="0" w:color="000000"/>
            </w:tcBorders>
            <w:vAlign w:val="center"/>
          </w:tcPr>
          <w:p>
            <w:pPr>
              <w:pStyle w:val="Style176"/>
              <w:widowControl w:val="false"/>
              <w:suppressAutoHyphens w:val="true"/>
              <w:spacing w:lineRule="auto" w:line="240" w:before="0" w:after="0"/>
              <w:ind w:left="0" w:right="0" w:hanging="0"/>
              <w:jc w:val="center"/>
              <w:rPr>
                <w:highlight w:val="none"/>
                <w:shd w:fill="auto" w:val="clear"/>
              </w:rPr>
            </w:pPr>
            <w:r>
              <w:rPr>
                <w:kern w:val="0"/>
                <w:szCs w:val="22"/>
                <w:shd w:fill="auto" w:val="clear"/>
                <w:lang w:val="ru-RU" w:eastAsia="ru-RU" w:bidi="ar-SA"/>
              </w:rPr>
              <w:t>ФИО</w:t>
            </w:r>
          </w:p>
        </w:tc>
        <w:tc>
          <w:tcPr>
            <w:tcW w:w="1689" w:type="dxa"/>
            <w:tcBorders>
              <w:top w:val="single" w:sz="4" w:space="0" w:color="000000"/>
              <w:left w:val="single" w:sz="4" w:space="0" w:color="000000"/>
              <w:bottom w:val="single" w:sz="4" w:space="0" w:color="000000"/>
              <w:right w:val="single" w:sz="4" w:space="0" w:color="000000"/>
            </w:tcBorders>
            <w:vAlign w:val="center"/>
          </w:tcPr>
          <w:p>
            <w:pPr>
              <w:pStyle w:val="Style176"/>
              <w:widowControl w:val="false"/>
              <w:suppressAutoHyphens w:val="true"/>
              <w:spacing w:lineRule="auto" w:line="240" w:before="0" w:after="0"/>
              <w:ind w:left="0" w:right="0" w:hanging="0"/>
              <w:jc w:val="center"/>
              <w:rPr>
                <w:highlight w:val="none"/>
                <w:shd w:fill="auto" w:val="clear"/>
              </w:rPr>
            </w:pPr>
            <w:r>
              <w:rPr>
                <w:kern w:val="0"/>
                <w:szCs w:val="22"/>
                <w:shd w:fill="auto" w:val="clear"/>
                <w:lang w:val="ru-RU" w:eastAsia="ru-RU" w:bidi="ar-SA"/>
              </w:rPr>
              <w:t>Контактный телефон</w:t>
            </w:r>
          </w:p>
        </w:tc>
        <w:tc>
          <w:tcPr>
            <w:tcW w:w="1659" w:type="dxa"/>
            <w:tcBorders>
              <w:top w:val="single" w:sz="4" w:space="0" w:color="000000"/>
              <w:left w:val="single" w:sz="4" w:space="0" w:color="000000"/>
              <w:bottom w:val="single" w:sz="4" w:space="0" w:color="000000"/>
              <w:right w:val="single" w:sz="4" w:space="0" w:color="000000"/>
            </w:tcBorders>
            <w:vAlign w:val="center"/>
          </w:tcPr>
          <w:p>
            <w:pPr>
              <w:pStyle w:val="Style176"/>
              <w:widowControl w:val="false"/>
              <w:suppressAutoHyphens w:val="true"/>
              <w:spacing w:lineRule="auto" w:line="240" w:before="0" w:after="0"/>
              <w:ind w:left="0" w:right="0" w:hanging="0"/>
              <w:jc w:val="center"/>
              <w:rPr>
                <w:highlight w:val="none"/>
                <w:shd w:fill="auto" w:val="clear"/>
              </w:rPr>
            </w:pPr>
            <w:r>
              <w:rPr>
                <w:kern w:val="0"/>
                <w:szCs w:val="22"/>
                <w:shd w:fill="auto" w:val="clear"/>
                <w:lang w:val="ru-RU" w:eastAsia="ru-RU" w:bidi="ar-SA"/>
              </w:rPr>
              <w:t>Адрес электронной почты</w:t>
            </w:r>
          </w:p>
        </w:tc>
      </w:tr>
      <w:tr>
        <w:trPr/>
        <w:tc>
          <w:tcPr>
            <w:tcW w:w="3487" w:type="dxa"/>
            <w:tcBorders>
              <w:top w:val="single" w:sz="4" w:space="0" w:color="000000"/>
              <w:left w:val="single" w:sz="4" w:space="0" w:color="000000"/>
              <w:bottom w:val="single" w:sz="4" w:space="0" w:color="000000"/>
              <w:right w:val="single" w:sz="4" w:space="0" w:color="000000"/>
            </w:tcBorders>
            <w:vAlign w:val="center"/>
          </w:tcPr>
          <w:p>
            <w:pPr>
              <w:pStyle w:val="Style176"/>
              <w:widowControl w:val="false"/>
              <w:suppressAutoHyphens w:val="true"/>
              <w:spacing w:lineRule="auto" w:line="240" w:before="0" w:after="0"/>
              <w:ind w:left="0" w:right="0" w:hanging="0"/>
              <w:rPr>
                <w:highlight w:val="none"/>
                <w:shd w:fill="auto" w:val="clear"/>
              </w:rPr>
            </w:pPr>
            <w:r>
              <w:rPr>
                <w:kern w:val="0"/>
                <w:szCs w:val="22"/>
                <w:shd w:fill="auto" w:val="clear"/>
                <w:lang w:val="ru-RU" w:eastAsia="ru-RU" w:bidi="ar-SA"/>
              </w:rPr>
              <w:t>ГИП по восстановлению Загорской ГАЭС-2/ ГИП по основному строительству*</w:t>
            </w:r>
          </w:p>
        </w:tc>
        <w:tc>
          <w:tcPr>
            <w:tcW w:w="1690" w:type="dxa"/>
            <w:tcBorders>
              <w:top w:val="single" w:sz="4" w:space="0" w:color="000000"/>
              <w:left w:val="single" w:sz="4" w:space="0" w:color="000000"/>
              <w:bottom w:val="single" w:sz="4" w:space="0" w:color="000000"/>
              <w:right w:val="single" w:sz="4" w:space="0" w:color="000000"/>
            </w:tcBorders>
            <w:vAlign w:val="center"/>
          </w:tcPr>
          <w:p>
            <w:pPr>
              <w:pStyle w:val="Style176"/>
              <w:widowControl w:val="false"/>
              <w:suppressAutoHyphens w:val="true"/>
              <w:spacing w:lineRule="auto" w:line="240" w:before="0" w:after="0"/>
              <w:ind w:left="0" w:right="0" w:hanging="0"/>
              <w:rPr>
                <w:szCs w:val="22"/>
                <w:highlight w:val="none"/>
                <w:shd w:fill="auto" w:val="clear"/>
              </w:rPr>
            </w:pPr>
            <w:r>
              <w:rPr>
                <w:szCs w:val="22"/>
                <w:shd w:fill="auto" w:val="clear"/>
              </w:rPr>
            </w:r>
          </w:p>
        </w:tc>
        <w:tc>
          <w:tcPr>
            <w:tcW w:w="1689" w:type="dxa"/>
            <w:tcBorders>
              <w:top w:val="single" w:sz="4" w:space="0" w:color="000000"/>
              <w:left w:val="single" w:sz="4" w:space="0" w:color="000000"/>
              <w:bottom w:val="single" w:sz="4" w:space="0" w:color="000000"/>
              <w:right w:val="single" w:sz="4" w:space="0" w:color="000000"/>
            </w:tcBorders>
            <w:vAlign w:val="center"/>
          </w:tcPr>
          <w:p>
            <w:pPr>
              <w:pStyle w:val="Style176"/>
              <w:widowControl w:val="false"/>
              <w:suppressAutoHyphens w:val="true"/>
              <w:spacing w:lineRule="auto" w:line="240" w:before="0" w:after="0"/>
              <w:ind w:left="0" w:right="0" w:hanging="0"/>
              <w:rPr>
                <w:szCs w:val="22"/>
                <w:highlight w:val="none"/>
                <w:shd w:fill="auto" w:val="clear"/>
              </w:rPr>
            </w:pPr>
            <w:r>
              <w:rPr>
                <w:szCs w:val="22"/>
                <w:shd w:fill="auto" w:val="clear"/>
              </w:rPr>
            </w:r>
          </w:p>
        </w:tc>
        <w:tc>
          <w:tcPr>
            <w:tcW w:w="1659" w:type="dxa"/>
            <w:tcBorders>
              <w:top w:val="single" w:sz="4" w:space="0" w:color="000000"/>
              <w:left w:val="single" w:sz="4" w:space="0" w:color="000000"/>
              <w:bottom w:val="single" w:sz="4" w:space="0" w:color="000000"/>
              <w:right w:val="single" w:sz="4" w:space="0" w:color="000000"/>
            </w:tcBorders>
            <w:vAlign w:val="center"/>
          </w:tcPr>
          <w:p>
            <w:pPr>
              <w:pStyle w:val="Style176"/>
              <w:widowControl w:val="false"/>
              <w:suppressAutoHyphens w:val="true"/>
              <w:spacing w:lineRule="auto" w:line="240" w:before="0" w:after="0"/>
              <w:ind w:left="0" w:right="0" w:hanging="0"/>
              <w:rPr>
                <w:szCs w:val="22"/>
                <w:highlight w:val="none"/>
                <w:shd w:fill="auto" w:val="clear"/>
              </w:rPr>
            </w:pPr>
            <w:r>
              <w:rPr>
                <w:szCs w:val="22"/>
                <w:shd w:fill="auto" w:val="clear"/>
              </w:rPr>
            </w:r>
          </w:p>
        </w:tc>
      </w:tr>
      <w:tr>
        <w:trPr>
          <w:trHeight w:val="397" w:hRule="atLeast"/>
        </w:trPr>
        <w:tc>
          <w:tcPr>
            <w:tcW w:w="3487" w:type="dxa"/>
            <w:tcBorders>
              <w:top w:val="single" w:sz="4" w:space="0" w:color="000000"/>
              <w:left w:val="single" w:sz="4" w:space="0" w:color="000000"/>
              <w:bottom w:val="single" w:sz="4" w:space="0" w:color="000000"/>
              <w:right w:val="single" w:sz="4" w:space="0" w:color="000000"/>
            </w:tcBorders>
            <w:vAlign w:val="center"/>
          </w:tcPr>
          <w:p>
            <w:pPr>
              <w:pStyle w:val="Style176"/>
              <w:widowControl w:val="false"/>
              <w:suppressAutoHyphens w:val="true"/>
              <w:spacing w:lineRule="auto" w:line="240" w:before="0" w:after="0"/>
              <w:ind w:left="0" w:right="0" w:hanging="0"/>
              <w:rPr>
                <w:highlight w:val="none"/>
                <w:shd w:fill="auto" w:val="clear"/>
              </w:rPr>
            </w:pPr>
            <w:r>
              <w:rPr>
                <w:kern w:val="0"/>
                <w:szCs w:val="22"/>
                <w:shd w:fill="auto" w:val="clear"/>
                <w:lang w:val="ru-RU" w:eastAsia="ru-RU" w:bidi="ar-SA"/>
              </w:rPr>
              <w:t>Заместители ГИПов</w:t>
            </w:r>
          </w:p>
        </w:tc>
        <w:tc>
          <w:tcPr>
            <w:tcW w:w="1690" w:type="dxa"/>
            <w:tcBorders>
              <w:top w:val="single" w:sz="4" w:space="0" w:color="000000"/>
              <w:left w:val="single" w:sz="4" w:space="0" w:color="000000"/>
              <w:bottom w:val="single" w:sz="4" w:space="0" w:color="000000"/>
              <w:right w:val="single" w:sz="4" w:space="0" w:color="000000"/>
            </w:tcBorders>
            <w:vAlign w:val="center"/>
          </w:tcPr>
          <w:p>
            <w:pPr>
              <w:pStyle w:val="Style176"/>
              <w:widowControl w:val="false"/>
              <w:suppressAutoHyphens w:val="true"/>
              <w:spacing w:lineRule="auto" w:line="240" w:before="0" w:after="0"/>
              <w:ind w:left="0" w:right="0" w:hanging="0"/>
              <w:rPr>
                <w:szCs w:val="22"/>
                <w:highlight w:val="none"/>
                <w:shd w:fill="auto" w:val="clear"/>
              </w:rPr>
            </w:pPr>
            <w:r>
              <w:rPr>
                <w:szCs w:val="22"/>
                <w:shd w:fill="auto" w:val="clear"/>
              </w:rPr>
            </w:r>
          </w:p>
        </w:tc>
        <w:tc>
          <w:tcPr>
            <w:tcW w:w="1689" w:type="dxa"/>
            <w:tcBorders>
              <w:top w:val="single" w:sz="4" w:space="0" w:color="000000"/>
              <w:left w:val="single" w:sz="4" w:space="0" w:color="000000"/>
              <w:bottom w:val="single" w:sz="4" w:space="0" w:color="000000"/>
              <w:right w:val="single" w:sz="4" w:space="0" w:color="000000"/>
            </w:tcBorders>
            <w:vAlign w:val="center"/>
          </w:tcPr>
          <w:p>
            <w:pPr>
              <w:pStyle w:val="Style176"/>
              <w:widowControl w:val="false"/>
              <w:suppressAutoHyphens w:val="true"/>
              <w:spacing w:lineRule="auto" w:line="240" w:before="0" w:after="0"/>
              <w:ind w:left="0" w:right="0" w:hanging="0"/>
              <w:rPr>
                <w:szCs w:val="22"/>
                <w:highlight w:val="none"/>
                <w:shd w:fill="auto" w:val="clear"/>
              </w:rPr>
            </w:pPr>
            <w:r>
              <w:rPr>
                <w:szCs w:val="22"/>
                <w:shd w:fill="auto" w:val="clear"/>
              </w:rPr>
            </w:r>
          </w:p>
        </w:tc>
        <w:tc>
          <w:tcPr>
            <w:tcW w:w="1659" w:type="dxa"/>
            <w:tcBorders>
              <w:top w:val="single" w:sz="4" w:space="0" w:color="000000"/>
              <w:left w:val="single" w:sz="4" w:space="0" w:color="000000"/>
              <w:bottom w:val="single" w:sz="4" w:space="0" w:color="000000"/>
              <w:right w:val="single" w:sz="4" w:space="0" w:color="000000"/>
            </w:tcBorders>
            <w:vAlign w:val="center"/>
          </w:tcPr>
          <w:p>
            <w:pPr>
              <w:pStyle w:val="Style176"/>
              <w:widowControl w:val="false"/>
              <w:suppressAutoHyphens w:val="true"/>
              <w:spacing w:lineRule="auto" w:line="240" w:before="0" w:after="0"/>
              <w:ind w:left="0" w:right="0" w:hanging="0"/>
              <w:rPr>
                <w:szCs w:val="22"/>
                <w:highlight w:val="none"/>
                <w:shd w:fill="auto" w:val="clear"/>
              </w:rPr>
            </w:pPr>
            <w:r>
              <w:rPr>
                <w:szCs w:val="22"/>
                <w:shd w:fill="auto" w:val="clear"/>
              </w:rPr>
            </w:r>
          </w:p>
        </w:tc>
      </w:tr>
      <w:tr>
        <w:trPr>
          <w:trHeight w:val="617" w:hRule="atLeast"/>
        </w:trPr>
        <w:tc>
          <w:tcPr>
            <w:tcW w:w="3487" w:type="dxa"/>
            <w:tcBorders>
              <w:top w:val="single" w:sz="4" w:space="0" w:color="000000"/>
              <w:left w:val="single" w:sz="4" w:space="0" w:color="000000"/>
              <w:bottom w:val="single" w:sz="4" w:space="0" w:color="000000"/>
              <w:right w:val="single" w:sz="4" w:space="0" w:color="000000"/>
            </w:tcBorders>
            <w:vAlign w:val="center"/>
          </w:tcPr>
          <w:p>
            <w:pPr>
              <w:pStyle w:val="Style176"/>
              <w:widowControl w:val="false"/>
              <w:suppressAutoHyphens w:val="true"/>
              <w:spacing w:lineRule="auto" w:line="240" w:before="0" w:after="0"/>
              <w:ind w:left="0" w:right="0" w:hanging="0"/>
              <w:rPr>
                <w:highlight w:val="none"/>
                <w:shd w:fill="auto" w:val="clear"/>
              </w:rPr>
            </w:pPr>
            <w:r>
              <w:rPr>
                <w:kern w:val="0"/>
                <w:szCs w:val="22"/>
                <w:shd w:fill="auto" w:val="clear"/>
                <w:lang w:val="ru-RU" w:eastAsia="ru-RU" w:bidi="ar-SA"/>
              </w:rPr>
              <w:t>Куратор работ по мониторингу от Генпроектировщика</w:t>
            </w:r>
          </w:p>
        </w:tc>
        <w:tc>
          <w:tcPr>
            <w:tcW w:w="1690" w:type="dxa"/>
            <w:tcBorders>
              <w:top w:val="single" w:sz="4" w:space="0" w:color="000000"/>
              <w:left w:val="single" w:sz="4" w:space="0" w:color="000000"/>
              <w:bottom w:val="single" w:sz="4" w:space="0" w:color="000000"/>
              <w:right w:val="single" w:sz="4" w:space="0" w:color="000000"/>
            </w:tcBorders>
            <w:vAlign w:val="center"/>
          </w:tcPr>
          <w:p>
            <w:pPr>
              <w:pStyle w:val="Style176"/>
              <w:widowControl w:val="false"/>
              <w:suppressAutoHyphens w:val="true"/>
              <w:spacing w:lineRule="auto" w:line="240" w:before="0" w:after="0"/>
              <w:ind w:left="0" w:right="0" w:hanging="0"/>
              <w:rPr>
                <w:szCs w:val="22"/>
                <w:highlight w:val="none"/>
                <w:shd w:fill="auto" w:val="clear"/>
              </w:rPr>
            </w:pPr>
            <w:r>
              <w:rPr>
                <w:szCs w:val="22"/>
                <w:shd w:fill="auto" w:val="clear"/>
              </w:rPr>
            </w:r>
          </w:p>
        </w:tc>
        <w:tc>
          <w:tcPr>
            <w:tcW w:w="1689" w:type="dxa"/>
            <w:tcBorders>
              <w:top w:val="single" w:sz="4" w:space="0" w:color="000000"/>
              <w:left w:val="single" w:sz="4" w:space="0" w:color="000000"/>
              <w:bottom w:val="single" w:sz="4" w:space="0" w:color="000000"/>
              <w:right w:val="single" w:sz="4" w:space="0" w:color="000000"/>
            </w:tcBorders>
            <w:vAlign w:val="center"/>
          </w:tcPr>
          <w:p>
            <w:pPr>
              <w:pStyle w:val="Style176"/>
              <w:widowControl w:val="false"/>
              <w:suppressAutoHyphens w:val="true"/>
              <w:spacing w:lineRule="auto" w:line="240" w:before="0" w:after="0"/>
              <w:ind w:left="0" w:right="0" w:hanging="0"/>
              <w:rPr>
                <w:szCs w:val="22"/>
                <w:highlight w:val="none"/>
                <w:shd w:fill="auto" w:val="clear"/>
              </w:rPr>
            </w:pPr>
            <w:r>
              <w:rPr>
                <w:szCs w:val="22"/>
                <w:shd w:fill="auto" w:val="clear"/>
              </w:rPr>
            </w:r>
          </w:p>
        </w:tc>
        <w:tc>
          <w:tcPr>
            <w:tcW w:w="1659" w:type="dxa"/>
            <w:tcBorders>
              <w:top w:val="single" w:sz="4" w:space="0" w:color="000000"/>
              <w:left w:val="single" w:sz="4" w:space="0" w:color="000000"/>
              <w:bottom w:val="single" w:sz="4" w:space="0" w:color="000000"/>
              <w:right w:val="single" w:sz="4" w:space="0" w:color="000000"/>
            </w:tcBorders>
            <w:vAlign w:val="center"/>
          </w:tcPr>
          <w:p>
            <w:pPr>
              <w:pStyle w:val="Style176"/>
              <w:widowControl w:val="false"/>
              <w:suppressAutoHyphens w:val="true"/>
              <w:spacing w:lineRule="auto" w:line="240" w:before="0" w:after="0"/>
              <w:ind w:left="0" w:right="0" w:hanging="0"/>
              <w:rPr>
                <w:szCs w:val="22"/>
                <w:highlight w:val="none"/>
                <w:shd w:fill="auto" w:val="clear"/>
              </w:rPr>
            </w:pPr>
            <w:r>
              <w:rPr>
                <w:szCs w:val="22"/>
                <w:shd w:fill="auto" w:val="clear"/>
              </w:rPr>
            </w:r>
          </w:p>
        </w:tc>
      </w:tr>
      <w:tr>
        <w:trPr>
          <w:trHeight w:val="397" w:hRule="atLeast"/>
        </w:trPr>
        <w:tc>
          <w:tcPr>
            <w:tcW w:w="3487" w:type="dxa"/>
            <w:tcBorders>
              <w:top w:val="single" w:sz="4" w:space="0" w:color="000000"/>
              <w:left w:val="single" w:sz="4" w:space="0" w:color="000000"/>
              <w:bottom w:val="single" w:sz="4" w:space="0" w:color="000000"/>
              <w:right w:val="single" w:sz="4" w:space="0" w:color="000000"/>
            </w:tcBorders>
            <w:vAlign w:val="center"/>
          </w:tcPr>
          <w:p>
            <w:pPr>
              <w:pStyle w:val="Style176"/>
              <w:widowControl w:val="false"/>
              <w:suppressAutoHyphens w:val="true"/>
              <w:spacing w:lineRule="auto" w:line="240" w:before="0" w:after="0"/>
              <w:ind w:left="0" w:right="0" w:hanging="0"/>
              <w:rPr>
                <w:highlight w:val="none"/>
                <w:shd w:fill="auto" w:val="clear"/>
              </w:rPr>
            </w:pPr>
            <w:r>
              <w:rPr>
                <w:kern w:val="0"/>
                <w:szCs w:val="22"/>
                <w:shd w:fill="auto" w:val="clear"/>
                <w:lang w:val="ru-RU" w:eastAsia="ru-RU" w:bidi="ar-SA"/>
              </w:rPr>
              <w:t>Начальник ГРП ЗаГАЭС-2</w:t>
            </w:r>
          </w:p>
        </w:tc>
        <w:tc>
          <w:tcPr>
            <w:tcW w:w="1690" w:type="dxa"/>
            <w:tcBorders>
              <w:top w:val="single" w:sz="4" w:space="0" w:color="000000"/>
              <w:left w:val="single" w:sz="4" w:space="0" w:color="000000"/>
              <w:bottom w:val="single" w:sz="4" w:space="0" w:color="000000"/>
              <w:right w:val="single" w:sz="4" w:space="0" w:color="000000"/>
            </w:tcBorders>
            <w:vAlign w:val="center"/>
          </w:tcPr>
          <w:p>
            <w:pPr>
              <w:pStyle w:val="Style176"/>
              <w:widowControl w:val="false"/>
              <w:suppressAutoHyphens w:val="true"/>
              <w:spacing w:lineRule="auto" w:line="240" w:before="0" w:after="0"/>
              <w:ind w:left="0" w:right="0" w:hanging="0"/>
              <w:rPr>
                <w:szCs w:val="22"/>
                <w:highlight w:val="none"/>
                <w:shd w:fill="auto" w:val="clear"/>
              </w:rPr>
            </w:pPr>
            <w:r>
              <w:rPr>
                <w:szCs w:val="22"/>
                <w:shd w:fill="auto" w:val="clear"/>
              </w:rPr>
            </w:r>
          </w:p>
        </w:tc>
        <w:tc>
          <w:tcPr>
            <w:tcW w:w="1689" w:type="dxa"/>
            <w:tcBorders>
              <w:top w:val="single" w:sz="4" w:space="0" w:color="000000"/>
              <w:left w:val="single" w:sz="4" w:space="0" w:color="000000"/>
              <w:bottom w:val="single" w:sz="4" w:space="0" w:color="000000"/>
              <w:right w:val="single" w:sz="4" w:space="0" w:color="000000"/>
            </w:tcBorders>
            <w:vAlign w:val="center"/>
          </w:tcPr>
          <w:p>
            <w:pPr>
              <w:pStyle w:val="Style176"/>
              <w:widowControl w:val="false"/>
              <w:suppressAutoHyphens w:val="true"/>
              <w:spacing w:lineRule="auto" w:line="240" w:before="0" w:after="0"/>
              <w:ind w:left="0" w:right="0" w:hanging="0"/>
              <w:rPr>
                <w:szCs w:val="22"/>
                <w:highlight w:val="none"/>
                <w:shd w:fill="auto" w:val="clear"/>
              </w:rPr>
            </w:pPr>
            <w:r>
              <w:rPr>
                <w:szCs w:val="22"/>
                <w:shd w:fill="auto" w:val="clear"/>
              </w:rPr>
            </w:r>
          </w:p>
        </w:tc>
        <w:tc>
          <w:tcPr>
            <w:tcW w:w="1659" w:type="dxa"/>
            <w:tcBorders>
              <w:top w:val="single" w:sz="4" w:space="0" w:color="000000"/>
              <w:left w:val="single" w:sz="4" w:space="0" w:color="000000"/>
              <w:bottom w:val="single" w:sz="4" w:space="0" w:color="000000"/>
              <w:right w:val="single" w:sz="4" w:space="0" w:color="000000"/>
            </w:tcBorders>
            <w:vAlign w:val="center"/>
          </w:tcPr>
          <w:p>
            <w:pPr>
              <w:pStyle w:val="Style176"/>
              <w:widowControl w:val="false"/>
              <w:suppressAutoHyphens w:val="true"/>
              <w:spacing w:lineRule="auto" w:line="240" w:before="0" w:after="0"/>
              <w:ind w:left="0" w:right="0" w:hanging="0"/>
              <w:rPr>
                <w:szCs w:val="22"/>
                <w:highlight w:val="none"/>
                <w:shd w:fill="auto" w:val="clear"/>
              </w:rPr>
            </w:pPr>
            <w:r>
              <w:rPr>
                <w:szCs w:val="22"/>
                <w:shd w:fill="auto" w:val="clear"/>
              </w:rPr>
            </w:r>
          </w:p>
        </w:tc>
      </w:tr>
    </w:tbl>
    <w:p>
      <w:pPr>
        <w:pStyle w:val="Style176"/>
        <w:spacing w:lineRule="auto" w:line="240"/>
        <w:rPr>
          <w:highlight w:val="none"/>
          <w:shd w:fill="auto" w:val="clear"/>
        </w:rPr>
      </w:pPr>
      <w:r>
        <w:rPr>
          <w:shd w:fill="auto" w:val="clear"/>
        </w:rPr>
        <w:t>* - ГИП в зависимости от подконтрольного сооружения</w:t>
      </w:r>
    </w:p>
    <w:p>
      <w:pPr>
        <w:pStyle w:val="Style176"/>
        <w:spacing w:lineRule="auto" w:line="240"/>
        <w:rPr>
          <w:highlight w:val="none"/>
          <w:shd w:fill="auto" w:val="clear"/>
        </w:rPr>
      </w:pPr>
      <w:r>
        <w:rPr>
          <w:shd w:fill="auto" w:val="clear"/>
        </w:rPr>
      </w:r>
    </w:p>
    <w:p>
      <w:pPr>
        <w:pStyle w:val="Style176"/>
        <w:rPr>
          <w:rFonts w:ascii="Times New Roman" w:hAnsi="Times New Roman"/>
        </w:rPr>
      </w:pPr>
      <w:r>
        <w:rPr>
          <w:rFonts w:eastAsia="Calibri" w:cs="Arial"/>
          <w:shd w:fill="auto" w:val="clear"/>
        </w:rPr>
        <w:t>Ниже приведен список должностных лиц (ответственных за проведение мониторинга ГТС) АО «Загорская ГАЭС-2» (см. таблицу Г.2). Данный список с указанием ФИО сотрудников, а также контактная информация, заполняется и предоставляется Заказчиком для Исполнителя работ по мониторингу и для Генпроектировщика перед началом непосредственных работ, путём официальной отправки.</w:t>
      </w:r>
    </w:p>
    <w:p>
      <w:pPr>
        <w:pStyle w:val="Style176"/>
        <w:rPr>
          <w:rFonts w:eastAsia="Calibri" w:cs="Arial"/>
          <w:shd w:fill="auto" w:val="clear"/>
        </w:rPr>
      </w:pPr>
      <w:r>
        <w:rPr>
          <w:rFonts w:eastAsia="Calibri" w:cs="Arial"/>
          <w:shd w:fill="auto" w:val="clear"/>
        </w:rPr>
      </w:r>
    </w:p>
    <w:p>
      <w:pPr>
        <w:pStyle w:val="Style176"/>
        <w:rPr>
          <w:rFonts w:eastAsia="Calibri" w:cs="Arial"/>
          <w:shd w:fill="auto" w:val="clear"/>
        </w:rPr>
      </w:pPr>
      <w:r>
        <w:rPr>
          <w:rFonts w:eastAsia="Calibri" w:cs="Arial"/>
          <w:shd w:fill="auto" w:val="clear"/>
        </w:rPr>
      </w:r>
    </w:p>
    <w:p>
      <w:pPr>
        <w:pStyle w:val="Style176"/>
        <w:rPr>
          <w:rFonts w:eastAsia="Calibri" w:cs="Arial"/>
          <w:shd w:fill="auto" w:val="clear"/>
        </w:rPr>
      </w:pPr>
      <w:r>
        <w:rPr>
          <w:rFonts w:eastAsia="Calibri" w:cs="Arial"/>
          <w:shd w:fill="auto" w:val="clear"/>
        </w:rPr>
      </w:r>
    </w:p>
    <w:p>
      <w:pPr>
        <w:pStyle w:val="Style176"/>
        <w:rPr>
          <w:rFonts w:eastAsia="Calibri" w:cs="Arial"/>
          <w:shd w:fill="auto" w:val="clear"/>
        </w:rPr>
      </w:pPr>
      <w:r>
        <w:rPr>
          <w:rFonts w:eastAsia="Calibri" w:cs="Arial"/>
          <w:shd w:fill="auto" w:val="clear"/>
        </w:rPr>
      </w:r>
    </w:p>
    <w:p>
      <w:pPr>
        <w:pStyle w:val="Normal"/>
        <w:spacing w:lineRule="auto" w:line="240"/>
        <w:ind w:left="0" w:right="0" w:hanging="0"/>
        <w:rPr>
          <w:rFonts w:ascii="Times New Roman" w:hAnsi="Times New Roman"/>
          <w:sz w:val="24"/>
        </w:rPr>
      </w:pPr>
      <w:r>
        <w:rPr>
          <w:rFonts w:ascii="Times New Roman" w:hAnsi="Times New Roman"/>
          <w:sz w:val="24"/>
        </w:rPr>
        <w:t>Таблица Г.2 – Список должностей Заказчика</w:t>
      </w:r>
    </w:p>
    <w:p>
      <w:pPr>
        <w:pStyle w:val="Normal"/>
        <w:spacing w:lineRule="auto" w:line="240"/>
        <w:ind w:left="0" w:right="0" w:hanging="0"/>
        <w:rPr>
          <w:rFonts w:ascii="Times New Roman" w:hAnsi="Times New Roman"/>
          <w:sz w:val="24"/>
        </w:rPr>
      </w:pPr>
      <w:r>
        <w:rPr>
          <w:rFonts w:ascii="Times New Roman" w:hAnsi="Times New Roman"/>
          <w:sz w:val="24"/>
        </w:rPr>
      </w:r>
    </w:p>
    <w:tbl>
      <w:tblPr>
        <w:tblW w:w="4700" w:type="pct"/>
        <w:jc w:val="left"/>
        <w:tblInd w:w="-147" w:type="dxa"/>
        <w:tblLayout w:type="fixed"/>
        <w:tblCellMar>
          <w:top w:w="0" w:type="dxa"/>
          <w:left w:w="108" w:type="dxa"/>
          <w:bottom w:w="0" w:type="dxa"/>
          <w:right w:w="108" w:type="dxa"/>
        </w:tblCellMar>
      </w:tblPr>
      <w:tblGrid>
        <w:gridCol w:w="3491"/>
        <w:gridCol w:w="1687"/>
        <w:gridCol w:w="1688"/>
        <w:gridCol w:w="1659"/>
      </w:tblGrid>
      <w:tr>
        <w:trPr/>
        <w:tc>
          <w:tcPr>
            <w:tcW w:w="3491" w:type="dxa"/>
            <w:tcBorders>
              <w:top w:val="single" w:sz="4" w:space="0" w:color="000000"/>
              <w:left w:val="single" w:sz="4" w:space="0" w:color="000000"/>
              <w:bottom w:val="single" w:sz="4" w:space="0" w:color="000000"/>
              <w:right w:val="single" w:sz="4" w:space="0" w:color="000000"/>
            </w:tcBorders>
            <w:vAlign w:val="center"/>
          </w:tcPr>
          <w:p>
            <w:pPr>
              <w:pStyle w:val="Style176"/>
              <w:widowControl w:val="false"/>
              <w:suppressAutoHyphens w:val="true"/>
              <w:spacing w:lineRule="auto" w:line="240" w:before="0" w:after="0"/>
              <w:ind w:left="0" w:right="0" w:hanging="0"/>
              <w:jc w:val="center"/>
              <w:rPr>
                <w:rFonts w:ascii="Times New Roman" w:hAnsi="Times New Roman" w:cs="Times New Roman"/>
                <w:lang w:eastAsia="ru-RU"/>
              </w:rPr>
            </w:pPr>
            <w:r>
              <w:rPr>
                <w:kern w:val="0"/>
                <w:lang w:val="ru-RU" w:eastAsia="ru-RU" w:bidi="ar-SA"/>
              </w:rPr>
              <w:t>Должность</w:t>
            </w:r>
          </w:p>
        </w:tc>
        <w:tc>
          <w:tcPr>
            <w:tcW w:w="1687" w:type="dxa"/>
            <w:tcBorders>
              <w:top w:val="single" w:sz="4" w:space="0" w:color="000000"/>
              <w:left w:val="single" w:sz="4" w:space="0" w:color="000000"/>
              <w:bottom w:val="single" w:sz="4" w:space="0" w:color="000000"/>
              <w:right w:val="single" w:sz="4" w:space="0" w:color="000000"/>
            </w:tcBorders>
            <w:vAlign w:val="center"/>
          </w:tcPr>
          <w:p>
            <w:pPr>
              <w:pStyle w:val="Style176"/>
              <w:widowControl w:val="false"/>
              <w:suppressAutoHyphens w:val="true"/>
              <w:spacing w:lineRule="auto" w:line="240" w:before="0" w:after="0"/>
              <w:ind w:left="0" w:right="0" w:hanging="0"/>
              <w:jc w:val="center"/>
              <w:rPr>
                <w:rFonts w:ascii="Times New Roman" w:hAnsi="Times New Roman" w:cs="Times New Roman"/>
                <w:lang w:eastAsia="ru-RU"/>
              </w:rPr>
            </w:pPr>
            <w:r>
              <w:rPr>
                <w:kern w:val="0"/>
                <w:lang w:val="ru-RU" w:eastAsia="ru-RU" w:bidi="ar-SA"/>
              </w:rPr>
              <w:t>ФИО</w:t>
            </w:r>
          </w:p>
        </w:tc>
        <w:tc>
          <w:tcPr>
            <w:tcW w:w="1688" w:type="dxa"/>
            <w:tcBorders>
              <w:top w:val="single" w:sz="4" w:space="0" w:color="000000"/>
              <w:left w:val="single" w:sz="4" w:space="0" w:color="000000"/>
              <w:bottom w:val="single" w:sz="4" w:space="0" w:color="000000"/>
              <w:right w:val="single" w:sz="4" w:space="0" w:color="000000"/>
            </w:tcBorders>
            <w:vAlign w:val="center"/>
          </w:tcPr>
          <w:p>
            <w:pPr>
              <w:pStyle w:val="Style176"/>
              <w:widowControl w:val="false"/>
              <w:suppressAutoHyphens w:val="true"/>
              <w:spacing w:lineRule="auto" w:line="240" w:before="0" w:after="0"/>
              <w:ind w:left="0" w:right="0" w:hanging="0"/>
              <w:jc w:val="center"/>
              <w:rPr>
                <w:rFonts w:ascii="Times New Roman" w:hAnsi="Times New Roman" w:cs="Times New Roman"/>
                <w:lang w:eastAsia="ru-RU"/>
              </w:rPr>
            </w:pPr>
            <w:r>
              <w:rPr>
                <w:kern w:val="0"/>
                <w:lang w:val="ru-RU" w:eastAsia="ru-RU" w:bidi="ar-SA"/>
              </w:rPr>
              <w:t>Контактный телефон</w:t>
            </w:r>
          </w:p>
        </w:tc>
        <w:tc>
          <w:tcPr>
            <w:tcW w:w="1659" w:type="dxa"/>
            <w:tcBorders>
              <w:top w:val="single" w:sz="4" w:space="0" w:color="000000"/>
              <w:left w:val="single" w:sz="4" w:space="0" w:color="000000"/>
              <w:bottom w:val="single" w:sz="4" w:space="0" w:color="000000"/>
              <w:right w:val="single" w:sz="4" w:space="0" w:color="000000"/>
            </w:tcBorders>
            <w:vAlign w:val="center"/>
          </w:tcPr>
          <w:p>
            <w:pPr>
              <w:pStyle w:val="Style176"/>
              <w:widowControl w:val="false"/>
              <w:suppressAutoHyphens w:val="true"/>
              <w:spacing w:lineRule="auto" w:line="240" w:before="0" w:after="0"/>
              <w:ind w:left="0" w:right="0" w:hanging="0"/>
              <w:jc w:val="center"/>
              <w:rPr>
                <w:rFonts w:ascii="Times New Roman" w:hAnsi="Times New Roman" w:cs="Times New Roman"/>
                <w:lang w:eastAsia="ru-RU"/>
              </w:rPr>
            </w:pPr>
            <w:r>
              <w:rPr>
                <w:kern w:val="0"/>
                <w:lang w:val="ru-RU" w:eastAsia="ru-RU" w:bidi="ar-SA"/>
              </w:rPr>
              <w:t>Адрес электронной почты</w:t>
            </w:r>
          </w:p>
        </w:tc>
      </w:tr>
      <w:tr>
        <w:trPr>
          <w:trHeight w:val="397" w:hRule="atLeast"/>
        </w:trPr>
        <w:tc>
          <w:tcPr>
            <w:tcW w:w="3491" w:type="dxa"/>
            <w:tcBorders>
              <w:top w:val="single" w:sz="4" w:space="0" w:color="000000"/>
              <w:left w:val="single" w:sz="4" w:space="0" w:color="000000"/>
              <w:bottom w:val="single" w:sz="4" w:space="0" w:color="000000"/>
              <w:right w:val="single" w:sz="4" w:space="0" w:color="000000"/>
            </w:tcBorders>
            <w:vAlign w:val="center"/>
          </w:tcPr>
          <w:p>
            <w:pPr>
              <w:pStyle w:val="Style176"/>
              <w:widowControl w:val="false"/>
              <w:suppressAutoHyphens w:val="true"/>
              <w:spacing w:lineRule="auto" w:line="240" w:before="0" w:after="0"/>
              <w:ind w:left="0" w:right="0" w:hanging="0"/>
              <w:jc w:val="left"/>
              <w:rPr>
                <w:rFonts w:ascii="Times New Roman" w:hAnsi="Times New Roman" w:cs="Times New Roman"/>
                <w:lang w:eastAsia="ru-RU"/>
              </w:rPr>
            </w:pPr>
            <w:r>
              <w:rPr>
                <w:kern w:val="0"/>
                <w:lang w:val="ru-RU" w:eastAsia="ru-RU" w:bidi="ar-SA"/>
              </w:rPr>
              <w:t>Главный инженер</w:t>
            </w:r>
          </w:p>
        </w:tc>
        <w:tc>
          <w:tcPr>
            <w:tcW w:w="1687" w:type="dxa"/>
            <w:tcBorders>
              <w:top w:val="single" w:sz="4" w:space="0" w:color="000000"/>
              <w:left w:val="single" w:sz="4" w:space="0" w:color="000000"/>
              <w:bottom w:val="single" w:sz="4" w:space="0" w:color="000000"/>
              <w:right w:val="single" w:sz="4" w:space="0" w:color="000000"/>
            </w:tcBorders>
            <w:vAlign w:val="center"/>
          </w:tcPr>
          <w:p>
            <w:pPr>
              <w:pStyle w:val="Style176"/>
              <w:widowControl w:val="false"/>
              <w:suppressAutoHyphens w:val="true"/>
              <w:spacing w:lineRule="auto" w:line="240" w:before="0" w:after="0"/>
              <w:rPr>
                <w:rFonts w:ascii="Times New Roman" w:hAnsi="Times New Roman" w:cs="Times New Roman"/>
                <w:lang w:eastAsia="ru-RU"/>
              </w:rPr>
            </w:pPr>
            <w:r>
              <w:rPr>
                <w:rFonts w:cs="Times New Roman"/>
                <w:lang w:eastAsia="ru-RU"/>
              </w:rPr>
            </w:r>
          </w:p>
        </w:tc>
        <w:tc>
          <w:tcPr>
            <w:tcW w:w="1688" w:type="dxa"/>
            <w:tcBorders>
              <w:top w:val="single" w:sz="4" w:space="0" w:color="000000"/>
              <w:left w:val="single" w:sz="4" w:space="0" w:color="000000"/>
              <w:bottom w:val="single" w:sz="4" w:space="0" w:color="000000"/>
              <w:right w:val="single" w:sz="4" w:space="0" w:color="000000"/>
            </w:tcBorders>
            <w:vAlign w:val="center"/>
          </w:tcPr>
          <w:p>
            <w:pPr>
              <w:pStyle w:val="Style176"/>
              <w:widowControl w:val="false"/>
              <w:suppressAutoHyphens w:val="true"/>
              <w:spacing w:lineRule="auto" w:line="240" w:before="0" w:after="0"/>
              <w:rPr>
                <w:rFonts w:ascii="Times New Roman" w:hAnsi="Times New Roman" w:cs="Times New Roman"/>
                <w:lang w:eastAsia="ru-RU"/>
              </w:rPr>
            </w:pPr>
            <w:r>
              <w:rPr>
                <w:rFonts w:cs="Times New Roman"/>
                <w:lang w:eastAsia="ru-RU"/>
              </w:rPr>
            </w:r>
          </w:p>
        </w:tc>
        <w:tc>
          <w:tcPr>
            <w:tcW w:w="1659" w:type="dxa"/>
            <w:tcBorders>
              <w:top w:val="single" w:sz="4" w:space="0" w:color="000000"/>
              <w:left w:val="single" w:sz="4" w:space="0" w:color="000000"/>
              <w:bottom w:val="single" w:sz="4" w:space="0" w:color="000000"/>
              <w:right w:val="single" w:sz="4" w:space="0" w:color="000000"/>
            </w:tcBorders>
            <w:vAlign w:val="center"/>
          </w:tcPr>
          <w:p>
            <w:pPr>
              <w:pStyle w:val="Style176"/>
              <w:widowControl w:val="false"/>
              <w:suppressAutoHyphens w:val="true"/>
              <w:spacing w:lineRule="auto" w:line="240" w:before="0" w:after="0"/>
              <w:rPr>
                <w:rFonts w:ascii="Times New Roman" w:hAnsi="Times New Roman" w:cs="Times New Roman"/>
                <w:lang w:eastAsia="ru-RU"/>
              </w:rPr>
            </w:pPr>
            <w:r>
              <w:rPr>
                <w:rFonts w:cs="Times New Roman"/>
                <w:lang w:eastAsia="ru-RU"/>
              </w:rPr>
            </w:r>
          </w:p>
        </w:tc>
      </w:tr>
      <w:tr>
        <w:trPr>
          <w:trHeight w:val="745" w:hRule="atLeast"/>
        </w:trPr>
        <w:tc>
          <w:tcPr>
            <w:tcW w:w="3491" w:type="dxa"/>
            <w:tcBorders>
              <w:top w:val="single" w:sz="4" w:space="0" w:color="000000"/>
              <w:left w:val="single" w:sz="4" w:space="0" w:color="000000"/>
              <w:bottom w:val="single" w:sz="4" w:space="0" w:color="000000"/>
              <w:right w:val="single" w:sz="4" w:space="0" w:color="000000"/>
            </w:tcBorders>
            <w:vAlign w:val="center"/>
          </w:tcPr>
          <w:p>
            <w:pPr>
              <w:pStyle w:val="Style176"/>
              <w:widowControl w:val="false"/>
              <w:suppressAutoHyphens w:val="true"/>
              <w:spacing w:lineRule="auto" w:line="240" w:before="0" w:after="0"/>
              <w:ind w:left="0" w:right="0" w:hanging="0"/>
              <w:jc w:val="left"/>
              <w:rPr>
                <w:highlight w:val="none"/>
                <w:shd w:fill="auto" w:val="clear"/>
              </w:rPr>
            </w:pPr>
            <w:r>
              <w:rPr>
                <w:kern w:val="0"/>
                <w:shd w:fill="auto" w:val="clear"/>
                <w:lang w:val="ru-RU" w:eastAsia="ru-RU" w:bidi="ar-SA"/>
              </w:rPr>
              <w:t>Заместитель главного инженера</w:t>
            </w:r>
          </w:p>
        </w:tc>
        <w:tc>
          <w:tcPr>
            <w:tcW w:w="1687" w:type="dxa"/>
            <w:tcBorders>
              <w:top w:val="single" w:sz="4" w:space="0" w:color="000000"/>
              <w:left w:val="single" w:sz="4" w:space="0" w:color="000000"/>
              <w:bottom w:val="single" w:sz="4" w:space="0" w:color="000000"/>
              <w:right w:val="single" w:sz="4" w:space="0" w:color="000000"/>
            </w:tcBorders>
            <w:vAlign w:val="center"/>
          </w:tcPr>
          <w:p>
            <w:pPr>
              <w:pStyle w:val="Style176"/>
              <w:widowControl w:val="false"/>
              <w:suppressAutoHyphens w:val="true"/>
              <w:spacing w:lineRule="auto" w:line="240" w:before="0" w:after="0"/>
              <w:rPr>
                <w:rFonts w:ascii="Times New Roman" w:hAnsi="Times New Roman" w:cs="Times New Roman"/>
                <w:lang w:eastAsia="ru-RU"/>
              </w:rPr>
            </w:pPr>
            <w:r>
              <w:rPr>
                <w:rFonts w:cs="Times New Roman"/>
                <w:lang w:eastAsia="ru-RU"/>
              </w:rPr>
            </w:r>
          </w:p>
        </w:tc>
        <w:tc>
          <w:tcPr>
            <w:tcW w:w="1688" w:type="dxa"/>
            <w:tcBorders>
              <w:top w:val="single" w:sz="4" w:space="0" w:color="000000"/>
              <w:left w:val="single" w:sz="4" w:space="0" w:color="000000"/>
              <w:bottom w:val="single" w:sz="4" w:space="0" w:color="000000"/>
              <w:right w:val="single" w:sz="4" w:space="0" w:color="000000"/>
            </w:tcBorders>
            <w:vAlign w:val="center"/>
          </w:tcPr>
          <w:p>
            <w:pPr>
              <w:pStyle w:val="Style176"/>
              <w:widowControl w:val="false"/>
              <w:suppressAutoHyphens w:val="true"/>
              <w:spacing w:lineRule="auto" w:line="240" w:before="0" w:after="0"/>
              <w:rPr>
                <w:rFonts w:ascii="Times New Roman" w:hAnsi="Times New Roman" w:cs="Times New Roman"/>
                <w:lang w:eastAsia="ru-RU"/>
              </w:rPr>
            </w:pPr>
            <w:r>
              <w:rPr>
                <w:rFonts w:cs="Times New Roman"/>
                <w:lang w:eastAsia="ru-RU"/>
              </w:rPr>
            </w:r>
          </w:p>
        </w:tc>
        <w:tc>
          <w:tcPr>
            <w:tcW w:w="1659" w:type="dxa"/>
            <w:tcBorders>
              <w:top w:val="single" w:sz="4" w:space="0" w:color="000000"/>
              <w:left w:val="single" w:sz="4" w:space="0" w:color="000000"/>
              <w:bottom w:val="single" w:sz="4" w:space="0" w:color="000000"/>
              <w:right w:val="single" w:sz="4" w:space="0" w:color="000000"/>
            </w:tcBorders>
            <w:vAlign w:val="center"/>
          </w:tcPr>
          <w:p>
            <w:pPr>
              <w:pStyle w:val="Style176"/>
              <w:widowControl w:val="false"/>
              <w:suppressAutoHyphens w:val="true"/>
              <w:spacing w:lineRule="auto" w:line="240" w:before="0" w:after="0"/>
              <w:rPr>
                <w:rFonts w:ascii="Times New Roman" w:hAnsi="Times New Roman" w:cs="Times New Roman"/>
                <w:lang w:eastAsia="ru-RU"/>
              </w:rPr>
            </w:pPr>
            <w:r>
              <w:rPr>
                <w:rFonts w:cs="Times New Roman"/>
                <w:lang w:eastAsia="ru-RU"/>
              </w:rPr>
            </w:r>
          </w:p>
        </w:tc>
      </w:tr>
      <w:tr>
        <w:trPr>
          <w:trHeight w:val="601" w:hRule="atLeast"/>
        </w:trPr>
        <w:tc>
          <w:tcPr>
            <w:tcW w:w="3491" w:type="dxa"/>
            <w:tcBorders>
              <w:top w:val="single" w:sz="4" w:space="0" w:color="000000"/>
              <w:left w:val="single" w:sz="4" w:space="0" w:color="000000"/>
              <w:bottom w:val="single" w:sz="4" w:space="0" w:color="000000"/>
              <w:right w:val="single" w:sz="4" w:space="0" w:color="000000"/>
            </w:tcBorders>
            <w:vAlign w:val="center"/>
          </w:tcPr>
          <w:p>
            <w:pPr>
              <w:pStyle w:val="Style176"/>
              <w:widowControl w:val="false"/>
              <w:suppressAutoHyphens w:val="true"/>
              <w:spacing w:lineRule="auto" w:line="240" w:before="0" w:after="0"/>
              <w:ind w:left="0" w:right="0" w:hanging="0"/>
              <w:jc w:val="left"/>
              <w:rPr>
                <w:highlight w:val="none"/>
                <w:shd w:fill="auto" w:val="clear"/>
              </w:rPr>
            </w:pPr>
            <w:r>
              <w:rPr>
                <w:kern w:val="0"/>
                <w:shd w:fill="auto" w:val="clear"/>
                <w:lang w:val="ru-RU" w:eastAsia="ru-RU" w:bidi="ar-SA"/>
              </w:rPr>
              <w:t>Начальник ПТО</w:t>
            </w:r>
          </w:p>
        </w:tc>
        <w:tc>
          <w:tcPr>
            <w:tcW w:w="1687" w:type="dxa"/>
            <w:tcBorders>
              <w:top w:val="single" w:sz="4" w:space="0" w:color="000000"/>
              <w:left w:val="single" w:sz="4" w:space="0" w:color="000000"/>
              <w:bottom w:val="single" w:sz="4" w:space="0" w:color="000000"/>
              <w:right w:val="single" w:sz="4" w:space="0" w:color="000000"/>
            </w:tcBorders>
            <w:vAlign w:val="center"/>
          </w:tcPr>
          <w:p>
            <w:pPr>
              <w:pStyle w:val="Style176"/>
              <w:widowControl w:val="false"/>
              <w:suppressAutoHyphens w:val="true"/>
              <w:spacing w:lineRule="auto" w:line="240" w:before="0" w:after="0"/>
              <w:rPr>
                <w:rFonts w:ascii="Times New Roman" w:hAnsi="Times New Roman" w:cs="Times New Roman"/>
                <w:lang w:eastAsia="ru-RU"/>
              </w:rPr>
            </w:pPr>
            <w:r>
              <w:rPr>
                <w:rFonts w:cs="Times New Roman"/>
                <w:lang w:eastAsia="ru-RU"/>
              </w:rPr>
            </w:r>
          </w:p>
        </w:tc>
        <w:tc>
          <w:tcPr>
            <w:tcW w:w="1688" w:type="dxa"/>
            <w:tcBorders>
              <w:top w:val="single" w:sz="4" w:space="0" w:color="000000"/>
              <w:left w:val="single" w:sz="4" w:space="0" w:color="000000"/>
              <w:bottom w:val="single" w:sz="4" w:space="0" w:color="000000"/>
              <w:right w:val="single" w:sz="4" w:space="0" w:color="000000"/>
            </w:tcBorders>
            <w:vAlign w:val="center"/>
          </w:tcPr>
          <w:p>
            <w:pPr>
              <w:pStyle w:val="Style176"/>
              <w:widowControl w:val="false"/>
              <w:suppressAutoHyphens w:val="true"/>
              <w:spacing w:lineRule="auto" w:line="240" w:before="0" w:after="0"/>
              <w:rPr>
                <w:rFonts w:ascii="Times New Roman" w:hAnsi="Times New Roman" w:cs="Times New Roman"/>
                <w:lang w:eastAsia="ru-RU"/>
              </w:rPr>
            </w:pPr>
            <w:r>
              <w:rPr>
                <w:rFonts w:cs="Times New Roman"/>
                <w:lang w:eastAsia="ru-RU"/>
              </w:rPr>
            </w:r>
          </w:p>
        </w:tc>
        <w:tc>
          <w:tcPr>
            <w:tcW w:w="1659" w:type="dxa"/>
            <w:tcBorders>
              <w:top w:val="single" w:sz="4" w:space="0" w:color="000000"/>
              <w:left w:val="single" w:sz="4" w:space="0" w:color="000000"/>
              <w:bottom w:val="single" w:sz="4" w:space="0" w:color="000000"/>
              <w:right w:val="single" w:sz="4" w:space="0" w:color="000000"/>
            </w:tcBorders>
            <w:vAlign w:val="center"/>
          </w:tcPr>
          <w:p>
            <w:pPr>
              <w:pStyle w:val="Style176"/>
              <w:widowControl w:val="false"/>
              <w:suppressAutoHyphens w:val="true"/>
              <w:spacing w:lineRule="auto" w:line="240" w:before="0" w:after="0"/>
              <w:rPr>
                <w:rFonts w:ascii="Times New Roman" w:hAnsi="Times New Roman" w:cs="Times New Roman"/>
                <w:lang w:eastAsia="ru-RU"/>
              </w:rPr>
            </w:pPr>
            <w:r>
              <w:rPr>
                <w:rFonts w:cs="Times New Roman"/>
                <w:lang w:eastAsia="ru-RU"/>
              </w:rPr>
            </w:r>
          </w:p>
        </w:tc>
      </w:tr>
      <w:tr>
        <w:trPr>
          <w:trHeight w:val="609" w:hRule="atLeast"/>
        </w:trPr>
        <w:tc>
          <w:tcPr>
            <w:tcW w:w="3491" w:type="dxa"/>
            <w:tcBorders>
              <w:top w:val="single" w:sz="4" w:space="0" w:color="000000"/>
              <w:left w:val="single" w:sz="4" w:space="0" w:color="000000"/>
              <w:bottom w:val="single" w:sz="4" w:space="0" w:color="000000"/>
              <w:right w:val="single" w:sz="4" w:space="0" w:color="000000"/>
            </w:tcBorders>
            <w:vAlign w:val="center"/>
          </w:tcPr>
          <w:p>
            <w:pPr>
              <w:pStyle w:val="Style176"/>
              <w:widowControl w:val="false"/>
              <w:suppressAutoHyphens w:val="true"/>
              <w:spacing w:lineRule="auto" w:line="240" w:before="0" w:after="0"/>
              <w:ind w:left="0" w:right="0" w:hanging="0"/>
              <w:jc w:val="left"/>
              <w:rPr>
                <w:rFonts w:ascii="Times New Roman" w:hAnsi="Times New Roman" w:cs="Times New Roman"/>
                <w:lang w:eastAsia="ru-RU"/>
              </w:rPr>
            </w:pPr>
            <w:r>
              <w:rPr>
                <w:kern w:val="0"/>
                <w:lang w:val="ru-RU" w:eastAsia="ru-RU" w:bidi="ar-SA"/>
              </w:rPr>
              <w:t>Куратор работ по мониторингу от Заказчика</w:t>
            </w:r>
          </w:p>
        </w:tc>
        <w:tc>
          <w:tcPr>
            <w:tcW w:w="1687" w:type="dxa"/>
            <w:tcBorders>
              <w:top w:val="single" w:sz="4" w:space="0" w:color="000000"/>
              <w:left w:val="single" w:sz="4" w:space="0" w:color="000000"/>
              <w:bottom w:val="single" w:sz="4" w:space="0" w:color="000000"/>
              <w:right w:val="single" w:sz="4" w:space="0" w:color="000000"/>
            </w:tcBorders>
            <w:vAlign w:val="center"/>
          </w:tcPr>
          <w:p>
            <w:pPr>
              <w:pStyle w:val="Style176"/>
              <w:widowControl w:val="false"/>
              <w:suppressAutoHyphens w:val="true"/>
              <w:spacing w:lineRule="auto" w:line="240" w:before="0" w:after="0"/>
              <w:rPr>
                <w:rFonts w:ascii="Times New Roman" w:hAnsi="Times New Roman" w:cs="Times New Roman"/>
                <w:lang w:eastAsia="ru-RU"/>
              </w:rPr>
            </w:pPr>
            <w:r>
              <w:rPr>
                <w:rFonts w:cs="Times New Roman"/>
                <w:lang w:eastAsia="ru-RU"/>
              </w:rPr>
            </w:r>
          </w:p>
        </w:tc>
        <w:tc>
          <w:tcPr>
            <w:tcW w:w="1688" w:type="dxa"/>
            <w:tcBorders>
              <w:top w:val="single" w:sz="4" w:space="0" w:color="000000"/>
              <w:left w:val="single" w:sz="4" w:space="0" w:color="000000"/>
              <w:bottom w:val="single" w:sz="4" w:space="0" w:color="000000"/>
              <w:right w:val="single" w:sz="4" w:space="0" w:color="000000"/>
            </w:tcBorders>
            <w:vAlign w:val="center"/>
          </w:tcPr>
          <w:p>
            <w:pPr>
              <w:pStyle w:val="Style176"/>
              <w:widowControl w:val="false"/>
              <w:suppressAutoHyphens w:val="true"/>
              <w:spacing w:lineRule="auto" w:line="240" w:before="0" w:after="0"/>
              <w:rPr>
                <w:rFonts w:ascii="Times New Roman" w:hAnsi="Times New Roman" w:cs="Times New Roman"/>
                <w:lang w:eastAsia="ru-RU"/>
              </w:rPr>
            </w:pPr>
            <w:r>
              <w:rPr>
                <w:rFonts w:cs="Times New Roman"/>
                <w:lang w:eastAsia="ru-RU"/>
              </w:rPr>
            </w:r>
          </w:p>
        </w:tc>
        <w:tc>
          <w:tcPr>
            <w:tcW w:w="1659" w:type="dxa"/>
            <w:tcBorders>
              <w:top w:val="single" w:sz="4" w:space="0" w:color="000000"/>
              <w:left w:val="single" w:sz="4" w:space="0" w:color="000000"/>
              <w:bottom w:val="single" w:sz="4" w:space="0" w:color="000000"/>
              <w:right w:val="single" w:sz="4" w:space="0" w:color="000000"/>
            </w:tcBorders>
            <w:vAlign w:val="center"/>
          </w:tcPr>
          <w:p>
            <w:pPr>
              <w:pStyle w:val="Style176"/>
              <w:widowControl w:val="false"/>
              <w:suppressAutoHyphens w:val="true"/>
              <w:spacing w:lineRule="auto" w:line="240" w:before="0" w:after="0"/>
              <w:rPr>
                <w:rFonts w:ascii="Times New Roman" w:hAnsi="Times New Roman" w:cs="Times New Roman"/>
                <w:lang w:eastAsia="ru-RU"/>
              </w:rPr>
            </w:pPr>
            <w:r>
              <w:rPr>
                <w:rFonts w:cs="Times New Roman"/>
                <w:lang w:eastAsia="ru-RU"/>
              </w:rPr>
            </w:r>
          </w:p>
        </w:tc>
      </w:tr>
    </w:tbl>
    <w:p>
      <w:pPr>
        <w:pStyle w:val="Style176"/>
        <w:spacing w:lineRule="auto" w:line="240"/>
        <w:rPr>
          <w:rFonts w:ascii="Times New Roman" w:hAnsi="Times New Roman" w:cs="Times New Roman"/>
          <w:lang w:eastAsia="ru-RU"/>
        </w:rPr>
      </w:pPr>
      <w:r>
        <w:rPr>
          <w:rFonts w:cs="Times New Roman"/>
          <w:lang w:eastAsia="ru-RU"/>
        </w:rPr>
      </w:r>
    </w:p>
    <w:p>
      <w:pPr>
        <w:pStyle w:val="Style176"/>
        <w:spacing w:lineRule="auto" w:line="240"/>
        <w:rPr>
          <w:rFonts w:ascii="Times New Roman" w:hAnsi="Times New Roman" w:cs="Times New Roman"/>
          <w:lang w:eastAsia="ru-RU"/>
        </w:rPr>
      </w:pPr>
      <w:r>
        <w:rPr>
          <w:rFonts w:cs="Times New Roman"/>
          <w:lang w:eastAsia="ru-RU"/>
        </w:rPr>
      </w:r>
    </w:p>
    <w:p>
      <w:pPr>
        <w:pStyle w:val="Style176"/>
        <w:spacing w:lineRule="auto" w:line="240"/>
        <w:rPr>
          <w:rFonts w:ascii="Times New Roman" w:hAnsi="Times New Roman" w:cs="Times New Roman"/>
          <w:lang w:eastAsia="ru-RU"/>
        </w:rPr>
      </w:pPr>
      <w:r>
        <w:rPr>
          <w:rFonts w:cs="Times New Roman"/>
          <w:lang w:eastAsia="ru-RU"/>
        </w:rPr>
      </w:r>
    </w:p>
    <w:p>
      <w:pPr>
        <w:pStyle w:val="Style176"/>
        <w:spacing w:lineRule="auto" w:line="240"/>
        <w:rPr>
          <w:rFonts w:ascii="Times New Roman" w:hAnsi="Times New Roman" w:cs="Times New Roman"/>
          <w:lang w:eastAsia="ru-RU"/>
        </w:rPr>
      </w:pPr>
      <w:r>
        <w:rPr>
          <w:rFonts w:cs="Times New Roman"/>
          <w:lang w:eastAsia="ru-RU"/>
        </w:rPr>
      </w:r>
    </w:p>
    <w:p>
      <w:pPr>
        <w:pStyle w:val="Heading1"/>
        <w:numPr>
          <w:ilvl w:val="0"/>
        </w:numPr>
        <w:spacing w:lineRule="auto" w:line="240" w:before="0" w:after="0"/>
        <w:ind w:left="0" w:right="0" w:hanging="0"/>
        <w:jc w:val="center"/>
        <w:rPr>
          <w:rFonts w:ascii="Times New Roman" w:hAnsi="Times New Roman" w:cs="Times New Roman"/>
          <w:szCs w:val="32"/>
        </w:rPr>
      </w:pPr>
      <w:bookmarkStart w:id="265" w:name="__RefHeading___Toc40028_2889022187_Копия"/>
      <w:bookmarkStart w:id="266" w:name="_Toc215650251_Копия_1"/>
      <w:bookmarkEnd w:id="265"/>
      <w:r>
        <w:rPr>
          <w:rFonts w:cs="Times New Roman" w:ascii="Times New Roman" w:hAnsi="Times New Roman"/>
          <w:szCs w:val="32"/>
        </w:rPr>
        <w:t xml:space="preserve">Приложение Г. </w:t>
      </w:r>
      <w:bookmarkEnd w:id="266"/>
      <w:r>
        <w:rPr>
          <w:rFonts w:cs="Times New Roman" w:ascii="Times New Roman" w:hAnsi="Times New Roman"/>
          <w:szCs w:val="32"/>
        </w:rPr>
        <w:t>Формы полевых журналов</w:t>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b/>
          <w:bCs/>
        </w:rPr>
      </w:pPr>
      <w:r>
        <w:rPr>
          <w:rFonts w:cs="Times New Roman" w:ascii="Times New Roman" w:hAnsi="Times New Roman"/>
          <w:b/>
          <w:bCs/>
          <w:szCs w:val="32"/>
        </w:rPr>
        <w:t>Форма журнала наблюдений по закладной, дистанционной КИА</w:t>
      </w:r>
    </w:p>
    <w:tbl>
      <w:tblPr>
        <w:tblW w:w="5000" w:type="pct"/>
        <w:jc w:val="left"/>
        <w:tblInd w:w="-5" w:type="dxa"/>
        <w:tblLayout w:type="fixed"/>
        <w:tblCellMar>
          <w:top w:w="55" w:type="dxa"/>
          <w:left w:w="55" w:type="dxa"/>
          <w:bottom w:w="55" w:type="dxa"/>
          <w:right w:w="55" w:type="dxa"/>
        </w:tblCellMar>
      </w:tblPr>
      <w:tblGrid>
        <w:gridCol w:w="9071"/>
      </w:tblGrid>
      <w:tr>
        <w:trPr>
          <w:trHeight w:val="9076" w:hRule="atLeast"/>
        </w:trPr>
        <w:tc>
          <w:tcPr>
            <w:tcW w:w="9071" w:type="dxa"/>
            <w:tcBorders>
              <w:top w:val="single" w:sz="4" w:space="0" w:color="000000"/>
              <w:left w:val="single" w:sz="4" w:space="0" w:color="000000"/>
              <w:bottom w:val="single" w:sz="4" w:space="0" w:color="000000"/>
              <w:right w:val="single" w:sz="4" w:space="0" w:color="000000"/>
            </w:tcBorders>
          </w:tcPr>
          <w:p>
            <w:pPr>
              <w:pStyle w:val="Style71"/>
              <w:widowControl w:val="false"/>
              <w:rPr>
                <w:rFonts w:ascii="Times New Roman" w:hAnsi="Times New Roman"/>
              </w:rPr>
            </w:pPr>
            <w:r>
              <w:rPr>
                <w:rFonts w:ascii="Times New Roman" w:hAnsi="Times New Roman"/>
              </w:rPr>
              <w:t>Наименование организации выполняющей наблюдения</w:t>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t>ПОЛЕВОЙ ЖУРНАЛ №___</w:t>
            </w:r>
          </w:p>
          <w:p>
            <w:pPr>
              <w:pStyle w:val="Style71"/>
              <w:widowControl w:val="false"/>
              <w:rPr>
                <w:rFonts w:ascii="Times New Roman" w:hAnsi="Times New Roman"/>
              </w:rPr>
            </w:pPr>
            <w:r>
              <w:rPr>
                <w:rFonts w:ascii="Times New Roman" w:hAnsi="Times New Roman"/>
              </w:rPr>
              <w:t>записи наблюдений за дистанционными преобразователями</w:t>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t>Гидроузел: _________________________________________________________</w:t>
            </w:r>
          </w:p>
          <w:p>
            <w:pPr>
              <w:pStyle w:val="Style71"/>
              <w:widowControl w:val="false"/>
              <w:rPr>
                <w:rFonts w:ascii="Times New Roman" w:hAnsi="Times New Roman"/>
              </w:rPr>
            </w:pPr>
            <w:r>
              <w:rPr>
                <w:rFonts w:ascii="Times New Roman" w:hAnsi="Times New Roman"/>
              </w:rPr>
              <w:t>Сооружение: _______________________________________________________</w:t>
            </w:r>
          </w:p>
          <w:p>
            <w:pPr>
              <w:pStyle w:val="Style71"/>
              <w:widowControl w:val="false"/>
              <w:rPr>
                <w:rFonts w:ascii="Times New Roman" w:hAnsi="Times New Roman"/>
              </w:rPr>
            </w:pPr>
            <w:r>
              <w:rPr>
                <w:rFonts w:ascii="Times New Roman" w:hAnsi="Times New Roman"/>
              </w:rPr>
              <w:t>Конструктивный элемент: ____________________________________________</w:t>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t xml:space="preserve">Начат  «___» _____________ 20   г.   </w:t>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t xml:space="preserve">    </w:t>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t xml:space="preserve">Окончен  «___» _____________ 20   г.                                                                </w:t>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tc>
      </w:tr>
    </w:tbl>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t>ОТВЕТСТВЕННЫЕ ЗА ВЕДЕНИЕ ЖУРНАЛА</w:t>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tbl>
      <w:tblPr>
        <w:tblW w:w="5000" w:type="pct"/>
        <w:jc w:val="left"/>
        <w:tblInd w:w="-5" w:type="dxa"/>
        <w:tblLayout w:type="fixed"/>
        <w:tblCellMar>
          <w:top w:w="55" w:type="dxa"/>
          <w:left w:w="55" w:type="dxa"/>
          <w:bottom w:w="55" w:type="dxa"/>
          <w:right w:w="55" w:type="dxa"/>
        </w:tblCellMar>
      </w:tblPr>
      <w:tblGrid>
        <w:gridCol w:w="2665"/>
        <w:gridCol w:w="1870"/>
        <w:gridCol w:w="2845"/>
        <w:gridCol w:w="1690"/>
      </w:tblGrid>
      <w:tr>
        <w:trPr/>
        <w:tc>
          <w:tcPr>
            <w:tcW w:w="2665" w:type="dxa"/>
            <w:tcBorders>
              <w:top w:val="single" w:sz="4" w:space="0" w:color="000000"/>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ФИО</w:t>
            </w:r>
          </w:p>
        </w:tc>
        <w:tc>
          <w:tcPr>
            <w:tcW w:w="1870" w:type="dxa"/>
            <w:tcBorders>
              <w:top w:val="single" w:sz="4" w:space="0" w:color="000000"/>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Должность</w:t>
            </w:r>
          </w:p>
        </w:tc>
        <w:tc>
          <w:tcPr>
            <w:tcW w:w="2845" w:type="dxa"/>
            <w:tcBorders>
              <w:top w:val="single" w:sz="4" w:space="0" w:color="000000"/>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Дата назначения на должность</w:t>
            </w:r>
          </w:p>
        </w:tc>
        <w:tc>
          <w:tcPr>
            <w:tcW w:w="1690" w:type="dxa"/>
            <w:tcBorders>
              <w:top w:val="single" w:sz="4" w:space="0" w:color="000000"/>
              <w:left w:val="single" w:sz="4" w:space="0" w:color="000000"/>
              <w:bottom w:val="single" w:sz="4" w:space="0" w:color="000000"/>
              <w:right w:val="single" w:sz="4" w:space="0" w:color="000000"/>
            </w:tcBorders>
            <w:vAlign w:val="center"/>
          </w:tcPr>
          <w:p>
            <w:pPr>
              <w:pStyle w:val="Style71"/>
              <w:widowControl w:val="false"/>
              <w:jc w:val="center"/>
              <w:rPr>
                <w:rFonts w:ascii="Times New Roman" w:hAnsi="Times New Roman"/>
              </w:rPr>
            </w:pPr>
            <w:r>
              <w:rPr>
                <w:rFonts w:ascii="Times New Roman" w:hAnsi="Times New Roman"/>
              </w:rPr>
              <w:t>Подпись</w:t>
            </w:r>
          </w:p>
        </w:tc>
      </w:tr>
      <w:tr>
        <w:trPr>
          <w:trHeight w:val="222" w:hRule="atLeast"/>
        </w:trPr>
        <w:tc>
          <w:tcPr>
            <w:tcW w:w="2665" w:type="dxa"/>
            <w:tcBorders>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1</w:t>
            </w:r>
          </w:p>
        </w:tc>
        <w:tc>
          <w:tcPr>
            <w:tcW w:w="1870" w:type="dxa"/>
            <w:tcBorders>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2</w:t>
            </w:r>
          </w:p>
        </w:tc>
        <w:tc>
          <w:tcPr>
            <w:tcW w:w="2845" w:type="dxa"/>
            <w:tcBorders>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3</w:t>
            </w:r>
          </w:p>
        </w:tc>
        <w:tc>
          <w:tcPr>
            <w:tcW w:w="1690" w:type="dxa"/>
            <w:tcBorders>
              <w:left w:val="single" w:sz="4" w:space="0" w:color="000000"/>
              <w:bottom w:val="single" w:sz="4" w:space="0" w:color="000000"/>
              <w:right w:val="single" w:sz="4" w:space="0" w:color="000000"/>
            </w:tcBorders>
            <w:vAlign w:val="center"/>
          </w:tcPr>
          <w:p>
            <w:pPr>
              <w:pStyle w:val="Style71"/>
              <w:widowControl w:val="false"/>
              <w:jc w:val="center"/>
              <w:rPr>
                <w:rFonts w:ascii="Times New Roman" w:hAnsi="Times New Roman"/>
              </w:rPr>
            </w:pPr>
            <w:r>
              <w:rPr>
                <w:rFonts w:ascii="Times New Roman" w:hAnsi="Times New Roman"/>
              </w:rPr>
              <w:t>4</w:t>
            </w:r>
          </w:p>
        </w:tc>
      </w:tr>
      <w:tr>
        <w:trPr/>
        <w:tc>
          <w:tcPr>
            <w:tcW w:w="2665" w:type="dxa"/>
            <w:tcBorders>
              <w:left w:val="single" w:sz="4" w:space="0" w:color="000000"/>
              <w:bottom w:val="single" w:sz="4" w:space="0" w:color="000000"/>
            </w:tcBorders>
            <w:vAlign w:val="center"/>
          </w:tcPr>
          <w:p>
            <w:pPr>
              <w:pStyle w:val="Style71"/>
              <w:widowControl w:val="false"/>
              <w:rPr/>
            </w:pPr>
            <w:r>
              <w:rPr/>
            </w:r>
          </w:p>
        </w:tc>
        <w:tc>
          <w:tcPr>
            <w:tcW w:w="1870" w:type="dxa"/>
            <w:tcBorders>
              <w:left w:val="single" w:sz="4" w:space="0" w:color="000000"/>
              <w:bottom w:val="single" w:sz="4" w:space="0" w:color="000000"/>
            </w:tcBorders>
            <w:vAlign w:val="center"/>
          </w:tcPr>
          <w:p>
            <w:pPr>
              <w:pStyle w:val="Style71"/>
              <w:widowControl w:val="false"/>
              <w:rPr/>
            </w:pPr>
            <w:r>
              <w:rPr/>
            </w:r>
          </w:p>
        </w:tc>
        <w:tc>
          <w:tcPr>
            <w:tcW w:w="2845" w:type="dxa"/>
            <w:tcBorders>
              <w:left w:val="single" w:sz="4" w:space="0" w:color="000000"/>
              <w:bottom w:val="single" w:sz="4" w:space="0" w:color="000000"/>
            </w:tcBorders>
            <w:vAlign w:val="center"/>
          </w:tcPr>
          <w:p>
            <w:pPr>
              <w:pStyle w:val="Style71"/>
              <w:widowControl w:val="false"/>
              <w:rPr/>
            </w:pPr>
            <w:r>
              <w:rPr/>
            </w:r>
          </w:p>
        </w:tc>
        <w:tc>
          <w:tcPr>
            <w:tcW w:w="1690"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2665" w:type="dxa"/>
            <w:tcBorders>
              <w:left w:val="single" w:sz="4" w:space="0" w:color="000000"/>
              <w:bottom w:val="single" w:sz="4" w:space="0" w:color="000000"/>
            </w:tcBorders>
            <w:vAlign w:val="center"/>
          </w:tcPr>
          <w:p>
            <w:pPr>
              <w:pStyle w:val="Style71"/>
              <w:widowControl w:val="false"/>
              <w:rPr/>
            </w:pPr>
            <w:r>
              <w:rPr/>
            </w:r>
          </w:p>
        </w:tc>
        <w:tc>
          <w:tcPr>
            <w:tcW w:w="1870" w:type="dxa"/>
            <w:tcBorders>
              <w:left w:val="single" w:sz="4" w:space="0" w:color="000000"/>
              <w:bottom w:val="single" w:sz="4" w:space="0" w:color="000000"/>
            </w:tcBorders>
            <w:vAlign w:val="center"/>
          </w:tcPr>
          <w:p>
            <w:pPr>
              <w:pStyle w:val="Style71"/>
              <w:widowControl w:val="false"/>
              <w:rPr/>
            </w:pPr>
            <w:r>
              <w:rPr/>
            </w:r>
          </w:p>
        </w:tc>
        <w:tc>
          <w:tcPr>
            <w:tcW w:w="2845" w:type="dxa"/>
            <w:tcBorders>
              <w:left w:val="single" w:sz="4" w:space="0" w:color="000000"/>
              <w:bottom w:val="single" w:sz="4" w:space="0" w:color="000000"/>
            </w:tcBorders>
            <w:vAlign w:val="center"/>
          </w:tcPr>
          <w:p>
            <w:pPr>
              <w:pStyle w:val="Style71"/>
              <w:widowControl w:val="false"/>
              <w:rPr/>
            </w:pPr>
            <w:r>
              <w:rPr/>
            </w:r>
          </w:p>
        </w:tc>
        <w:tc>
          <w:tcPr>
            <w:tcW w:w="1690"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2665" w:type="dxa"/>
            <w:tcBorders>
              <w:left w:val="single" w:sz="4" w:space="0" w:color="000000"/>
              <w:bottom w:val="single" w:sz="4" w:space="0" w:color="000000"/>
            </w:tcBorders>
            <w:vAlign w:val="center"/>
          </w:tcPr>
          <w:p>
            <w:pPr>
              <w:pStyle w:val="Style71"/>
              <w:widowControl w:val="false"/>
              <w:rPr/>
            </w:pPr>
            <w:r>
              <w:rPr/>
            </w:r>
          </w:p>
        </w:tc>
        <w:tc>
          <w:tcPr>
            <w:tcW w:w="1870" w:type="dxa"/>
            <w:tcBorders>
              <w:left w:val="single" w:sz="4" w:space="0" w:color="000000"/>
              <w:bottom w:val="single" w:sz="4" w:space="0" w:color="000000"/>
            </w:tcBorders>
            <w:vAlign w:val="center"/>
          </w:tcPr>
          <w:p>
            <w:pPr>
              <w:pStyle w:val="Style71"/>
              <w:widowControl w:val="false"/>
              <w:rPr/>
            </w:pPr>
            <w:r>
              <w:rPr/>
            </w:r>
          </w:p>
        </w:tc>
        <w:tc>
          <w:tcPr>
            <w:tcW w:w="2845" w:type="dxa"/>
            <w:tcBorders>
              <w:left w:val="single" w:sz="4" w:space="0" w:color="000000"/>
              <w:bottom w:val="single" w:sz="4" w:space="0" w:color="000000"/>
            </w:tcBorders>
            <w:vAlign w:val="center"/>
          </w:tcPr>
          <w:p>
            <w:pPr>
              <w:pStyle w:val="Style71"/>
              <w:widowControl w:val="false"/>
              <w:rPr/>
            </w:pPr>
            <w:r>
              <w:rPr/>
            </w:r>
          </w:p>
        </w:tc>
        <w:tc>
          <w:tcPr>
            <w:tcW w:w="1690"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2665" w:type="dxa"/>
            <w:tcBorders>
              <w:left w:val="single" w:sz="4" w:space="0" w:color="000000"/>
              <w:bottom w:val="single" w:sz="4" w:space="0" w:color="000000"/>
            </w:tcBorders>
            <w:vAlign w:val="center"/>
          </w:tcPr>
          <w:p>
            <w:pPr>
              <w:pStyle w:val="Style71"/>
              <w:widowControl w:val="false"/>
              <w:rPr/>
            </w:pPr>
            <w:r>
              <w:rPr/>
            </w:r>
          </w:p>
        </w:tc>
        <w:tc>
          <w:tcPr>
            <w:tcW w:w="1870" w:type="dxa"/>
            <w:tcBorders>
              <w:left w:val="single" w:sz="4" w:space="0" w:color="000000"/>
              <w:bottom w:val="single" w:sz="4" w:space="0" w:color="000000"/>
            </w:tcBorders>
            <w:vAlign w:val="center"/>
          </w:tcPr>
          <w:p>
            <w:pPr>
              <w:pStyle w:val="Style71"/>
              <w:widowControl w:val="false"/>
              <w:rPr/>
            </w:pPr>
            <w:r>
              <w:rPr/>
            </w:r>
          </w:p>
        </w:tc>
        <w:tc>
          <w:tcPr>
            <w:tcW w:w="2845" w:type="dxa"/>
            <w:tcBorders>
              <w:left w:val="single" w:sz="4" w:space="0" w:color="000000"/>
              <w:bottom w:val="single" w:sz="4" w:space="0" w:color="000000"/>
            </w:tcBorders>
            <w:vAlign w:val="center"/>
          </w:tcPr>
          <w:p>
            <w:pPr>
              <w:pStyle w:val="Style71"/>
              <w:widowControl w:val="false"/>
              <w:rPr/>
            </w:pPr>
            <w:r>
              <w:rPr/>
            </w:r>
          </w:p>
        </w:tc>
        <w:tc>
          <w:tcPr>
            <w:tcW w:w="1690"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2665" w:type="dxa"/>
            <w:tcBorders>
              <w:left w:val="single" w:sz="4" w:space="0" w:color="000000"/>
              <w:bottom w:val="single" w:sz="4" w:space="0" w:color="000000"/>
            </w:tcBorders>
            <w:vAlign w:val="center"/>
          </w:tcPr>
          <w:p>
            <w:pPr>
              <w:pStyle w:val="Style71"/>
              <w:widowControl w:val="false"/>
              <w:rPr/>
            </w:pPr>
            <w:r>
              <w:rPr/>
            </w:r>
          </w:p>
        </w:tc>
        <w:tc>
          <w:tcPr>
            <w:tcW w:w="1870" w:type="dxa"/>
            <w:tcBorders>
              <w:left w:val="single" w:sz="4" w:space="0" w:color="000000"/>
              <w:bottom w:val="single" w:sz="4" w:space="0" w:color="000000"/>
            </w:tcBorders>
            <w:vAlign w:val="center"/>
          </w:tcPr>
          <w:p>
            <w:pPr>
              <w:pStyle w:val="Style71"/>
              <w:widowControl w:val="false"/>
              <w:rPr/>
            </w:pPr>
            <w:r>
              <w:rPr/>
            </w:r>
          </w:p>
        </w:tc>
        <w:tc>
          <w:tcPr>
            <w:tcW w:w="2845" w:type="dxa"/>
            <w:tcBorders>
              <w:left w:val="single" w:sz="4" w:space="0" w:color="000000"/>
              <w:bottom w:val="single" w:sz="4" w:space="0" w:color="000000"/>
            </w:tcBorders>
            <w:vAlign w:val="center"/>
          </w:tcPr>
          <w:p>
            <w:pPr>
              <w:pStyle w:val="Style71"/>
              <w:widowControl w:val="false"/>
              <w:rPr/>
            </w:pPr>
            <w:r>
              <w:rPr/>
            </w:r>
          </w:p>
        </w:tc>
        <w:tc>
          <w:tcPr>
            <w:tcW w:w="1690"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bl>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tbl>
      <w:tblPr>
        <w:tblW w:w="5000" w:type="pct"/>
        <w:jc w:val="left"/>
        <w:tblInd w:w="-5" w:type="dxa"/>
        <w:tblLayout w:type="fixed"/>
        <w:tblCellMar>
          <w:top w:w="55" w:type="dxa"/>
          <w:left w:w="55" w:type="dxa"/>
          <w:bottom w:w="55" w:type="dxa"/>
          <w:right w:w="55" w:type="dxa"/>
        </w:tblCellMar>
      </w:tblPr>
      <w:tblGrid>
        <w:gridCol w:w="2665"/>
        <w:gridCol w:w="1870"/>
        <w:gridCol w:w="2845"/>
        <w:gridCol w:w="1690"/>
      </w:tblGrid>
      <w:tr>
        <w:trPr/>
        <w:tc>
          <w:tcPr>
            <w:tcW w:w="2665" w:type="dxa"/>
            <w:tcBorders>
              <w:top w:val="single" w:sz="4" w:space="0" w:color="000000"/>
              <w:left w:val="single" w:sz="4" w:space="0" w:color="000000"/>
              <w:bottom w:val="single" w:sz="4" w:space="0" w:color="000000"/>
            </w:tcBorders>
            <w:vAlign w:val="center"/>
          </w:tcPr>
          <w:p>
            <w:pPr>
              <w:pStyle w:val="Style71"/>
              <w:widowControl w:val="false"/>
              <w:jc w:val="center"/>
              <w:rPr>
                <w:rFonts w:ascii="Times New Roman" w:hAnsi="Times New Roman"/>
              </w:rPr>
            </w:pPr>
            <w:r>
              <mc:AlternateContent>
                <mc:Choice Requires="wps">
                  <w:drawing>
                    <wp:anchor behindDoc="0" distT="9525" distB="9525" distL="9525" distR="9525" simplePos="0" locked="0" layoutInCell="0" allowOverlap="1" relativeHeight="60">
                      <wp:simplePos x="0" y="0"/>
                      <wp:positionH relativeFrom="column">
                        <wp:posOffset>-29210</wp:posOffset>
                      </wp:positionH>
                      <wp:positionV relativeFrom="paragraph">
                        <wp:posOffset>690245</wp:posOffset>
                      </wp:positionV>
                      <wp:extent cx="1722120" cy="490220"/>
                      <wp:effectExtent l="9525" t="9525" r="9525" b="9525"/>
                      <wp:wrapNone/>
                      <wp:docPr id="59" name="Линия 1"/>
                      <a:graphic xmlns:a="http://schemas.openxmlformats.org/drawingml/2006/main">
                        <a:graphicData uri="http://schemas.microsoft.com/office/word/2010/wordprocessingShape">
                          <wps:wsp>
                            <wps:cNvSpPr/>
                            <wps:spPr>
                              <a:xfrm flipH="1" flipV="1">
                                <a:off x="0" y="0"/>
                                <a:ext cx="1722240" cy="490320"/>
                              </a:xfrm>
                              <a:prstGeom prst="line">
                                <a:avLst/>
                              </a:prstGeom>
                              <a:ln w="18360">
                                <a:solidFill>
                                  <a:srgbClr val="000000"/>
                                </a:solidFill>
                                <a:round/>
                              </a:ln>
                            </wps:spPr>
                            <wps:style>
                              <a:lnRef idx="0"/>
                              <a:fillRef idx="0"/>
                              <a:effectRef idx="0"/>
                              <a:fontRef idx="minor"/>
                            </wps:style>
                            <wps:bodyPr/>
                          </wps:wsp>
                        </a:graphicData>
                      </a:graphic>
                    </wp:anchor>
                  </w:drawing>
                </mc:Choice>
                <mc:Fallback>
                  <w:pict>
                    <v:line id="shape_0" from="-2.3pt,54.35pt" to="133.25pt,92.9pt" ID="Линия 1" stroked="t" o:allowincell="f" style="position:absolute;flip:xy">
                      <v:stroke color="black" weight="18360" joinstyle="round" endcap="flat"/>
                      <v:fill o:detectmouseclick="t" on="false"/>
                      <w10:wrap type="none"/>
                    </v:line>
                  </w:pict>
                </mc:Fallback>
              </mc:AlternateContent>
            </w:r>
            <w:r>
              <w:rPr>
                <w:rFonts w:ascii="Times New Roman" w:hAnsi="Times New Roman"/>
              </w:rPr>
              <w:t>Дата</w:t>
            </w:r>
          </w:p>
        </w:tc>
        <w:tc>
          <w:tcPr>
            <w:tcW w:w="1870" w:type="dxa"/>
            <w:tcBorders>
              <w:top w:val="single" w:sz="4" w:space="0" w:color="000000"/>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r>
          </w:p>
        </w:tc>
        <w:tc>
          <w:tcPr>
            <w:tcW w:w="2845" w:type="dxa"/>
            <w:tcBorders>
              <w:top w:val="single" w:sz="4" w:space="0" w:color="000000"/>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r>
          </w:p>
        </w:tc>
        <w:tc>
          <w:tcPr>
            <w:tcW w:w="1690" w:type="dxa"/>
            <w:tcBorders>
              <w:top w:val="single" w:sz="4" w:space="0" w:color="000000"/>
              <w:left w:val="single" w:sz="4" w:space="0" w:color="000000"/>
              <w:bottom w:val="single" w:sz="4" w:space="0" w:color="000000"/>
              <w:right w:val="single" w:sz="4" w:space="0" w:color="000000"/>
            </w:tcBorders>
            <w:vAlign w:val="center"/>
          </w:tcPr>
          <w:p>
            <w:pPr>
              <w:pStyle w:val="Style71"/>
              <w:widowControl w:val="false"/>
              <w:jc w:val="center"/>
              <w:rPr>
                <w:rFonts w:ascii="Times New Roman" w:hAnsi="Times New Roman"/>
              </w:rPr>
            </w:pPr>
            <w:r>
              <w:rPr>
                <w:rFonts w:ascii="Times New Roman" w:hAnsi="Times New Roman"/>
              </w:rPr>
            </w:r>
          </w:p>
        </w:tc>
      </w:tr>
      <w:tr>
        <w:trPr>
          <w:trHeight w:val="222" w:hRule="atLeast"/>
        </w:trPr>
        <w:tc>
          <w:tcPr>
            <w:tcW w:w="2665" w:type="dxa"/>
            <w:tcBorders>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Температура, С</w:t>
            </w:r>
          </w:p>
        </w:tc>
        <w:tc>
          <w:tcPr>
            <w:tcW w:w="1870" w:type="dxa"/>
            <w:tcBorders>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r>
          </w:p>
        </w:tc>
        <w:tc>
          <w:tcPr>
            <w:tcW w:w="2845" w:type="dxa"/>
            <w:tcBorders>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r>
          </w:p>
        </w:tc>
        <w:tc>
          <w:tcPr>
            <w:tcW w:w="1690" w:type="dxa"/>
            <w:tcBorders>
              <w:left w:val="single" w:sz="4" w:space="0" w:color="000000"/>
              <w:bottom w:val="single" w:sz="4" w:space="0" w:color="000000"/>
              <w:right w:val="single" w:sz="4" w:space="0" w:color="000000"/>
            </w:tcBorders>
            <w:vAlign w:val="center"/>
          </w:tcPr>
          <w:p>
            <w:pPr>
              <w:pStyle w:val="Style71"/>
              <w:widowControl w:val="false"/>
              <w:jc w:val="center"/>
              <w:rPr>
                <w:rFonts w:ascii="Times New Roman" w:hAnsi="Times New Roman"/>
              </w:rPr>
            </w:pPr>
            <w:r>
              <w:rPr>
                <w:rFonts w:ascii="Times New Roman" w:hAnsi="Times New Roman"/>
              </w:rPr>
            </w:r>
          </w:p>
        </w:tc>
      </w:tr>
      <w:tr>
        <w:trPr/>
        <w:tc>
          <w:tcPr>
            <w:tcW w:w="2665" w:type="dxa"/>
            <w:tcBorders>
              <w:left w:val="single" w:sz="4" w:space="0" w:color="000000"/>
              <w:bottom w:val="single" w:sz="4" w:space="0" w:color="000000"/>
            </w:tcBorders>
            <w:vAlign w:val="center"/>
          </w:tcPr>
          <w:p>
            <w:pPr>
              <w:pStyle w:val="Style71"/>
              <w:widowControl w:val="false"/>
              <w:rPr>
                <w:rFonts w:ascii="Times New Roman" w:hAnsi="Times New Roman"/>
              </w:rPr>
            </w:pPr>
            <w:r>
              <w:rPr>
                <w:rFonts w:ascii="Times New Roman" w:hAnsi="Times New Roman"/>
              </w:rPr>
              <w:t xml:space="preserve">№ </w:t>
            </w:r>
            <w:r>
              <w:rPr>
                <w:rFonts w:ascii="Times New Roman" w:hAnsi="Times New Roman"/>
              </w:rPr>
              <w:t>МПП</w:t>
            </w:r>
          </w:p>
        </w:tc>
        <w:tc>
          <w:tcPr>
            <w:tcW w:w="1870" w:type="dxa"/>
            <w:tcBorders>
              <w:left w:val="single" w:sz="4" w:space="0" w:color="000000"/>
              <w:bottom w:val="single" w:sz="4" w:space="0" w:color="000000"/>
            </w:tcBorders>
            <w:vAlign w:val="center"/>
          </w:tcPr>
          <w:p>
            <w:pPr>
              <w:pStyle w:val="Style71"/>
              <w:widowControl w:val="false"/>
              <w:rPr>
                <w:rFonts w:ascii="Times New Roman" w:hAnsi="Times New Roman"/>
              </w:rPr>
            </w:pPr>
            <w:r>
              <w:rPr>
                <w:rFonts w:ascii="Times New Roman" w:hAnsi="Times New Roman"/>
              </w:rPr>
            </w:r>
          </w:p>
        </w:tc>
        <w:tc>
          <w:tcPr>
            <w:tcW w:w="2845" w:type="dxa"/>
            <w:tcBorders>
              <w:left w:val="single" w:sz="4" w:space="0" w:color="000000"/>
              <w:bottom w:val="single" w:sz="4" w:space="0" w:color="000000"/>
            </w:tcBorders>
            <w:vAlign w:val="center"/>
          </w:tcPr>
          <w:p>
            <w:pPr>
              <w:pStyle w:val="Style71"/>
              <w:widowControl w:val="false"/>
              <w:rPr>
                <w:rFonts w:ascii="Times New Roman" w:hAnsi="Times New Roman"/>
              </w:rPr>
            </w:pPr>
            <w:r>
              <w:rPr>
                <w:rFonts w:ascii="Times New Roman" w:hAnsi="Times New Roman"/>
              </w:rPr>
            </w:r>
          </w:p>
        </w:tc>
        <w:tc>
          <w:tcPr>
            <w:tcW w:w="1690"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2665" w:type="dxa"/>
            <w:tcBorders>
              <w:top w:val="single" w:sz="4" w:space="0" w:color="000000"/>
              <w:left w:val="single" w:sz="4" w:space="0" w:color="000000"/>
            </w:tcBorders>
            <w:vAlign w:val="center"/>
          </w:tcPr>
          <w:p>
            <w:pPr>
              <w:pStyle w:val="Style71"/>
              <w:widowControl w:val="false"/>
              <w:jc w:val="right"/>
              <w:rPr>
                <w:rFonts w:ascii="Times New Roman" w:hAnsi="Times New Roman"/>
              </w:rPr>
            </w:pPr>
            <w:r>
              <w:rPr>
                <w:rFonts w:ascii="Times New Roman" w:hAnsi="Times New Roman"/>
              </w:rPr>
              <w:t>ед.изм</w:t>
            </w:r>
          </w:p>
        </w:tc>
        <w:tc>
          <w:tcPr>
            <w:tcW w:w="1870" w:type="dxa"/>
            <w:tcBorders>
              <w:top w:val="single" w:sz="4" w:space="0" w:color="000000"/>
              <w:left w:val="single" w:sz="4" w:space="0" w:color="000000"/>
            </w:tcBorders>
            <w:vAlign w:val="center"/>
          </w:tcPr>
          <w:p>
            <w:pPr>
              <w:pStyle w:val="Style71"/>
              <w:widowControl w:val="false"/>
              <w:rPr>
                <w:rFonts w:ascii="Times New Roman" w:hAnsi="Times New Roman"/>
              </w:rPr>
            </w:pPr>
            <w:r>
              <w:rPr>
                <w:rFonts w:ascii="Times New Roman" w:hAnsi="Times New Roman"/>
              </w:rPr>
            </w:r>
          </w:p>
        </w:tc>
        <w:tc>
          <w:tcPr>
            <w:tcW w:w="2845" w:type="dxa"/>
            <w:tcBorders>
              <w:top w:val="single" w:sz="4" w:space="0" w:color="000000"/>
              <w:left w:val="single" w:sz="4" w:space="0" w:color="000000"/>
            </w:tcBorders>
            <w:vAlign w:val="center"/>
          </w:tcPr>
          <w:p>
            <w:pPr>
              <w:pStyle w:val="Style71"/>
              <w:widowControl w:val="false"/>
              <w:rPr>
                <w:rFonts w:ascii="Times New Roman" w:hAnsi="Times New Roman"/>
              </w:rPr>
            </w:pPr>
            <w:r>
              <w:rPr>
                <w:rFonts w:ascii="Times New Roman" w:hAnsi="Times New Roman"/>
              </w:rPr>
            </w:r>
          </w:p>
        </w:tc>
        <w:tc>
          <w:tcPr>
            <w:tcW w:w="1690" w:type="dxa"/>
            <w:tcBorders>
              <w:top w:val="single" w:sz="4" w:space="0" w:color="000000"/>
              <w:left w:val="single" w:sz="4" w:space="0" w:color="000000"/>
              <w:right w:val="single" w:sz="4" w:space="0" w:color="000000"/>
            </w:tcBorders>
            <w:vAlign w:val="center"/>
          </w:tcPr>
          <w:p>
            <w:pPr>
              <w:pStyle w:val="Style71"/>
              <w:widowControl w:val="false"/>
              <w:rPr/>
            </w:pPr>
            <w:r>
              <w:rPr/>
            </w:r>
          </w:p>
        </w:tc>
      </w:tr>
      <w:tr>
        <w:trPr/>
        <w:tc>
          <w:tcPr>
            <w:tcW w:w="2665" w:type="dxa"/>
            <w:tcBorders>
              <w:left w:val="single" w:sz="4" w:space="0" w:color="000000"/>
              <w:bottom w:val="single" w:sz="4" w:space="0" w:color="000000"/>
            </w:tcBorders>
            <w:vAlign w:val="center"/>
          </w:tcPr>
          <w:p>
            <w:pPr>
              <w:pStyle w:val="Style71"/>
              <w:widowControl w:val="false"/>
              <w:jc w:val="left"/>
              <w:rPr>
                <w:rFonts w:ascii="Times New Roman" w:hAnsi="Times New Roman"/>
              </w:rPr>
            </w:pPr>
            <w:r>
              <w:rPr>
                <w:rFonts w:ascii="Times New Roman" w:hAnsi="Times New Roman"/>
              </w:rPr>
              <w:t>№</w:t>
            </w:r>
            <w:r>
              <w:rPr>
                <w:rFonts w:ascii="Times New Roman" w:hAnsi="Times New Roman"/>
              </w:rPr>
              <w:t>СИП</w:t>
            </w:r>
          </w:p>
        </w:tc>
        <w:tc>
          <w:tcPr>
            <w:tcW w:w="1870" w:type="dxa"/>
            <w:tcBorders>
              <w:left w:val="single" w:sz="4" w:space="0" w:color="000000"/>
              <w:bottom w:val="single" w:sz="4" w:space="0" w:color="000000"/>
            </w:tcBorders>
            <w:vAlign w:val="center"/>
          </w:tcPr>
          <w:p>
            <w:pPr>
              <w:pStyle w:val="Style71"/>
              <w:widowControl w:val="false"/>
              <w:rPr>
                <w:rFonts w:ascii="Times New Roman" w:hAnsi="Times New Roman"/>
              </w:rPr>
            </w:pPr>
            <w:r>
              <w:rPr>
                <w:rFonts w:ascii="Times New Roman" w:hAnsi="Times New Roman"/>
              </w:rPr>
            </w:r>
          </w:p>
        </w:tc>
        <w:tc>
          <w:tcPr>
            <w:tcW w:w="2845" w:type="dxa"/>
            <w:tcBorders>
              <w:left w:val="single" w:sz="4" w:space="0" w:color="000000"/>
              <w:bottom w:val="single" w:sz="4" w:space="0" w:color="000000"/>
            </w:tcBorders>
            <w:vAlign w:val="center"/>
          </w:tcPr>
          <w:p>
            <w:pPr>
              <w:pStyle w:val="Style71"/>
              <w:widowControl w:val="false"/>
              <w:rPr>
                <w:rFonts w:ascii="Times New Roman" w:hAnsi="Times New Roman"/>
              </w:rPr>
            </w:pPr>
            <w:r>
              <w:rPr>
                <w:rFonts w:ascii="Times New Roman" w:hAnsi="Times New Roman"/>
              </w:rPr>
            </w:r>
          </w:p>
        </w:tc>
        <w:tc>
          <w:tcPr>
            <w:tcW w:w="1690"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2665" w:type="dxa"/>
            <w:tcBorders>
              <w:left w:val="single" w:sz="4" w:space="0" w:color="000000"/>
              <w:bottom w:val="single" w:sz="4" w:space="0" w:color="000000"/>
            </w:tcBorders>
            <w:vAlign w:val="center"/>
          </w:tcPr>
          <w:p>
            <w:pPr>
              <w:pStyle w:val="Style71"/>
              <w:widowControl w:val="false"/>
              <w:rPr>
                <w:rFonts w:ascii="Times New Roman" w:hAnsi="Times New Roman"/>
              </w:rPr>
            </w:pPr>
            <w:r>
              <w:rPr>
                <w:rFonts w:ascii="Times New Roman" w:hAnsi="Times New Roman"/>
              </w:rPr>
            </w:r>
          </w:p>
        </w:tc>
        <w:tc>
          <w:tcPr>
            <w:tcW w:w="1870" w:type="dxa"/>
            <w:tcBorders>
              <w:left w:val="single" w:sz="4" w:space="0" w:color="000000"/>
              <w:bottom w:val="single" w:sz="4" w:space="0" w:color="000000"/>
            </w:tcBorders>
            <w:vAlign w:val="center"/>
          </w:tcPr>
          <w:p>
            <w:pPr>
              <w:pStyle w:val="Style71"/>
              <w:widowControl w:val="false"/>
              <w:rPr>
                <w:rFonts w:ascii="Times New Roman" w:hAnsi="Times New Roman"/>
              </w:rPr>
            </w:pPr>
            <w:r>
              <w:rPr>
                <w:rFonts w:ascii="Times New Roman" w:hAnsi="Times New Roman"/>
              </w:rPr>
            </w:r>
          </w:p>
        </w:tc>
        <w:tc>
          <w:tcPr>
            <w:tcW w:w="2845" w:type="dxa"/>
            <w:tcBorders>
              <w:left w:val="single" w:sz="4" w:space="0" w:color="000000"/>
              <w:bottom w:val="single" w:sz="4" w:space="0" w:color="000000"/>
            </w:tcBorders>
            <w:vAlign w:val="center"/>
          </w:tcPr>
          <w:p>
            <w:pPr>
              <w:pStyle w:val="Style71"/>
              <w:widowControl w:val="false"/>
              <w:rPr>
                <w:rFonts w:ascii="Times New Roman" w:hAnsi="Times New Roman"/>
              </w:rPr>
            </w:pPr>
            <w:r>
              <w:rPr>
                <w:rFonts w:ascii="Times New Roman" w:hAnsi="Times New Roman"/>
              </w:rPr>
            </w:r>
          </w:p>
        </w:tc>
        <w:tc>
          <w:tcPr>
            <w:tcW w:w="1690"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2665" w:type="dxa"/>
            <w:tcBorders>
              <w:left w:val="single" w:sz="4" w:space="0" w:color="000000"/>
              <w:bottom w:val="single" w:sz="4" w:space="0" w:color="000000"/>
            </w:tcBorders>
            <w:vAlign w:val="center"/>
          </w:tcPr>
          <w:p>
            <w:pPr>
              <w:pStyle w:val="Style71"/>
              <w:widowControl w:val="false"/>
              <w:rPr>
                <w:rFonts w:ascii="Times New Roman" w:hAnsi="Times New Roman"/>
              </w:rPr>
            </w:pPr>
            <w:r>
              <w:rPr>
                <w:rFonts w:ascii="Times New Roman" w:hAnsi="Times New Roman"/>
              </w:rPr>
            </w:r>
          </w:p>
        </w:tc>
        <w:tc>
          <w:tcPr>
            <w:tcW w:w="1870" w:type="dxa"/>
            <w:tcBorders>
              <w:left w:val="single" w:sz="4" w:space="0" w:color="000000"/>
              <w:bottom w:val="single" w:sz="4" w:space="0" w:color="000000"/>
            </w:tcBorders>
            <w:vAlign w:val="center"/>
          </w:tcPr>
          <w:p>
            <w:pPr>
              <w:pStyle w:val="Style71"/>
              <w:widowControl w:val="false"/>
              <w:rPr>
                <w:rFonts w:ascii="Times New Roman" w:hAnsi="Times New Roman"/>
              </w:rPr>
            </w:pPr>
            <w:r>
              <w:rPr>
                <w:rFonts w:ascii="Times New Roman" w:hAnsi="Times New Roman"/>
              </w:rPr>
            </w:r>
          </w:p>
        </w:tc>
        <w:tc>
          <w:tcPr>
            <w:tcW w:w="2845" w:type="dxa"/>
            <w:tcBorders>
              <w:left w:val="single" w:sz="4" w:space="0" w:color="000000"/>
              <w:bottom w:val="single" w:sz="4" w:space="0" w:color="000000"/>
            </w:tcBorders>
            <w:vAlign w:val="center"/>
          </w:tcPr>
          <w:p>
            <w:pPr>
              <w:pStyle w:val="Style71"/>
              <w:widowControl w:val="false"/>
              <w:rPr>
                <w:rFonts w:ascii="Times New Roman" w:hAnsi="Times New Roman"/>
              </w:rPr>
            </w:pPr>
            <w:r>
              <w:rPr>
                <w:rFonts w:ascii="Times New Roman" w:hAnsi="Times New Roman"/>
              </w:rPr>
            </w:r>
          </w:p>
        </w:tc>
        <w:tc>
          <w:tcPr>
            <w:tcW w:w="1690"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870"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84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870"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84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870"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84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870"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84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870"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84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870"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84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870"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84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870"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84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870"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84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870"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84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870"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84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870"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84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870"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84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870"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84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870"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84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870"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84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870"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84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870"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84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870"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84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870"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84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870"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84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870"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84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870"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84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t>Примечание</w:t>
            </w:r>
          </w:p>
          <w:p>
            <w:pPr>
              <w:pStyle w:val="Style71"/>
              <w:widowControl w:val="false"/>
              <w:rPr>
                <w:rFonts w:ascii="Times New Roman" w:hAnsi="Times New Roman"/>
              </w:rPr>
            </w:pPr>
            <w:r>
              <w:rPr>
                <w:rFonts w:ascii="Times New Roman" w:hAnsi="Times New Roman"/>
              </w:rPr>
            </w:r>
          </w:p>
        </w:tc>
        <w:tc>
          <w:tcPr>
            <w:tcW w:w="1870"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84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t xml:space="preserve">ФИО </w:t>
            </w:r>
          </w:p>
          <w:p>
            <w:pPr>
              <w:pStyle w:val="Style71"/>
              <w:widowControl w:val="false"/>
              <w:rPr>
                <w:rFonts w:ascii="Times New Roman" w:hAnsi="Times New Roman"/>
              </w:rPr>
            </w:pPr>
            <w:r>
              <w:rPr>
                <w:rFonts w:ascii="Times New Roman" w:hAnsi="Times New Roman"/>
              </w:rPr>
              <w:t>подпись</w:t>
            </w:r>
          </w:p>
        </w:tc>
        <w:tc>
          <w:tcPr>
            <w:tcW w:w="1870"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84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bl>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b/>
          <w:bCs/>
        </w:rPr>
      </w:pPr>
      <w:r>
        <w:rPr>
          <w:rFonts w:cs="Times New Roman" w:ascii="Times New Roman" w:hAnsi="Times New Roman"/>
          <w:b/>
          <w:bCs/>
          <w:szCs w:val="32"/>
        </w:rPr>
        <w:t>Форма журнала наблюдений по опускным и закладным безнапорным</w:t>
      </w:r>
    </w:p>
    <w:p>
      <w:pPr>
        <w:pStyle w:val="Normal"/>
        <w:spacing w:lineRule="auto" w:line="240" w:before="0" w:after="0"/>
        <w:jc w:val="center"/>
        <w:rPr>
          <w:b/>
          <w:bCs/>
        </w:rPr>
      </w:pPr>
      <w:r>
        <w:rPr>
          <w:rFonts w:cs="Times New Roman" w:ascii="Times New Roman" w:hAnsi="Times New Roman"/>
          <w:b/>
          <w:bCs/>
          <w:szCs w:val="32"/>
        </w:rPr>
        <w:t>пьезометрам</w:t>
      </w:r>
    </w:p>
    <w:tbl>
      <w:tblPr>
        <w:tblW w:w="5000" w:type="pct"/>
        <w:jc w:val="left"/>
        <w:tblInd w:w="-5" w:type="dxa"/>
        <w:tblLayout w:type="fixed"/>
        <w:tblCellMar>
          <w:top w:w="55" w:type="dxa"/>
          <w:left w:w="55" w:type="dxa"/>
          <w:bottom w:w="55" w:type="dxa"/>
          <w:right w:w="55" w:type="dxa"/>
        </w:tblCellMar>
      </w:tblPr>
      <w:tblGrid>
        <w:gridCol w:w="9071"/>
      </w:tblGrid>
      <w:tr>
        <w:trPr>
          <w:trHeight w:val="9076" w:hRule="atLeast"/>
        </w:trPr>
        <w:tc>
          <w:tcPr>
            <w:tcW w:w="9071" w:type="dxa"/>
            <w:tcBorders>
              <w:top w:val="single" w:sz="4" w:space="0" w:color="000000"/>
              <w:left w:val="single" w:sz="4" w:space="0" w:color="000000"/>
              <w:bottom w:val="single" w:sz="4" w:space="0" w:color="000000"/>
              <w:right w:val="single" w:sz="4" w:space="0" w:color="000000"/>
            </w:tcBorders>
          </w:tcPr>
          <w:p>
            <w:pPr>
              <w:pStyle w:val="Style71"/>
              <w:widowControl w:val="false"/>
              <w:rPr>
                <w:rFonts w:ascii="Times New Roman" w:hAnsi="Times New Roman"/>
              </w:rPr>
            </w:pPr>
            <w:r>
              <w:rPr>
                <w:rFonts w:ascii="Times New Roman" w:hAnsi="Times New Roman"/>
              </w:rPr>
              <w:t>Наименование организации выполняющей наблюдения</w:t>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t>ПОЛЕВОЙ ЖУРНАЛ №___</w:t>
            </w:r>
          </w:p>
          <w:p>
            <w:pPr>
              <w:pStyle w:val="Style71"/>
              <w:widowControl w:val="false"/>
              <w:rPr>
                <w:rFonts w:ascii="Times New Roman" w:hAnsi="Times New Roman"/>
              </w:rPr>
            </w:pPr>
            <w:r>
              <w:rPr>
                <w:rFonts w:ascii="Times New Roman" w:hAnsi="Times New Roman"/>
              </w:rPr>
              <w:t>записи наблюдений за уровнями воды в опускных пьезометрах</w:t>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t>Гидроузел: _________________________________________________________</w:t>
            </w:r>
          </w:p>
          <w:p>
            <w:pPr>
              <w:pStyle w:val="Style71"/>
              <w:widowControl w:val="false"/>
              <w:rPr>
                <w:rFonts w:ascii="Times New Roman" w:hAnsi="Times New Roman"/>
              </w:rPr>
            </w:pPr>
            <w:r>
              <w:rPr>
                <w:rFonts w:ascii="Times New Roman" w:hAnsi="Times New Roman"/>
              </w:rPr>
              <w:t>Сооружение: _______________________________________________________</w:t>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t xml:space="preserve">Начат  «___» _____________ 20   г.   </w:t>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t xml:space="preserve">    </w:t>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t xml:space="preserve">Окончен  «___» _____________ 20   г.                                                                </w:t>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tc>
      </w:tr>
    </w:tbl>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t>ОТВЕТСТВЕННЫЕ ЗА ВЕДЕНИЕ ЖУРНАЛА</w:t>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tbl>
      <w:tblPr>
        <w:tblW w:w="5000" w:type="pct"/>
        <w:jc w:val="left"/>
        <w:tblInd w:w="-5" w:type="dxa"/>
        <w:tblLayout w:type="fixed"/>
        <w:tblCellMar>
          <w:top w:w="55" w:type="dxa"/>
          <w:left w:w="55" w:type="dxa"/>
          <w:bottom w:w="55" w:type="dxa"/>
          <w:right w:w="55" w:type="dxa"/>
        </w:tblCellMar>
      </w:tblPr>
      <w:tblGrid>
        <w:gridCol w:w="2665"/>
        <w:gridCol w:w="1870"/>
        <w:gridCol w:w="2845"/>
        <w:gridCol w:w="1690"/>
      </w:tblGrid>
      <w:tr>
        <w:trPr/>
        <w:tc>
          <w:tcPr>
            <w:tcW w:w="2665" w:type="dxa"/>
            <w:tcBorders>
              <w:top w:val="single" w:sz="4" w:space="0" w:color="000000"/>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ФИО</w:t>
            </w:r>
          </w:p>
        </w:tc>
        <w:tc>
          <w:tcPr>
            <w:tcW w:w="1870" w:type="dxa"/>
            <w:tcBorders>
              <w:top w:val="single" w:sz="4" w:space="0" w:color="000000"/>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Должность</w:t>
            </w:r>
          </w:p>
        </w:tc>
        <w:tc>
          <w:tcPr>
            <w:tcW w:w="2845" w:type="dxa"/>
            <w:tcBorders>
              <w:top w:val="single" w:sz="4" w:space="0" w:color="000000"/>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Дата назначения на должность</w:t>
            </w:r>
          </w:p>
        </w:tc>
        <w:tc>
          <w:tcPr>
            <w:tcW w:w="1690" w:type="dxa"/>
            <w:tcBorders>
              <w:top w:val="single" w:sz="4" w:space="0" w:color="000000"/>
              <w:left w:val="single" w:sz="4" w:space="0" w:color="000000"/>
              <w:bottom w:val="single" w:sz="4" w:space="0" w:color="000000"/>
              <w:right w:val="single" w:sz="4" w:space="0" w:color="000000"/>
            </w:tcBorders>
            <w:vAlign w:val="center"/>
          </w:tcPr>
          <w:p>
            <w:pPr>
              <w:pStyle w:val="Style71"/>
              <w:widowControl w:val="false"/>
              <w:jc w:val="center"/>
              <w:rPr>
                <w:rFonts w:ascii="Times New Roman" w:hAnsi="Times New Roman"/>
              </w:rPr>
            </w:pPr>
            <w:r>
              <w:rPr>
                <w:rFonts w:ascii="Times New Roman" w:hAnsi="Times New Roman"/>
              </w:rPr>
              <w:t>Подпись</w:t>
            </w:r>
          </w:p>
        </w:tc>
      </w:tr>
      <w:tr>
        <w:trPr>
          <w:trHeight w:val="222" w:hRule="atLeast"/>
        </w:trPr>
        <w:tc>
          <w:tcPr>
            <w:tcW w:w="2665" w:type="dxa"/>
            <w:tcBorders>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1</w:t>
            </w:r>
          </w:p>
        </w:tc>
        <w:tc>
          <w:tcPr>
            <w:tcW w:w="1870" w:type="dxa"/>
            <w:tcBorders>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2</w:t>
            </w:r>
          </w:p>
        </w:tc>
        <w:tc>
          <w:tcPr>
            <w:tcW w:w="2845" w:type="dxa"/>
            <w:tcBorders>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3</w:t>
            </w:r>
          </w:p>
        </w:tc>
        <w:tc>
          <w:tcPr>
            <w:tcW w:w="1690" w:type="dxa"/>
            <w:tcBorders>
              <w:left w:val="single" w:sz="4" w:space="0" w:color="000000"/>
              <w:bottom w:val="single" w:sz="4" w:space="0" w:color="000000"/>
              <w:right w:val="single" w:sz="4" w:space="0" w:color="000000"/>
            </w:tcBorders>
            <w:vAlign w:val="center"/>
          </w:tcPr>
          <w:p>
            <w:pPr>
              <w:pStyle w:val="Style71"/>
              <w:widowControl w:val="false"/>
              <w:jc w:val="center"/>
              <w:rPr>
                <w:rFonts w:ascii="Times New Roman" w:hAnsi="Times New Roman"/>
              </w:rPr>
            </w:pPr>
            <w:r>
              <w:rPr>
                <w:rFonts w:ascii="Times New Roman" w:hAnsi="Times New Roman"/>
              </w:rPr>
              <w:t>4</w:t>
            </w:r>
          </w:p>
        </w:tc>
      </w:tr>
      <w:tr>
        <w:trPr/>
        <w:tc>
          <w:tcPr>
            <w:tcW w:w="2665" w:type="dxa"/>
            <w:tcBorders>
              <w:left w:val="single" w:sz="4" w:space="0" w:color="000000"/>
              <w:bottom w:val="single" w:sz="4" w:space="0" w:color="000000"/>
            </w:tcBorders>
            <w:vAlign w:val="center"/>
          </w:tcPr>
          <w:p>
            <w:pPr>
              <w:pStyle w:val="Style71"/>
              <w:widowControl w:val="false"/>
              <w:rPr/>
            </w:pPr>
            <w:r>
              <w:rPr/>
            </w:r>
          </w:p>
        </w:tc>
        <w:tc>
          <w:tcPr>
            <w:tcW w:w="1870" w:type="dxa"/>
            <w:tcBorders>
              <w:left w:val="single" w:sz="4" w:space="0" w:color="000000"/>
              <w:bottom w:val="single" w:sz="4" w:space="0" w:color="000000"/>
            </w:tcBorders>
            <w:vAlign w:val="center"/>
          </w:tcPr>
          <w:p>
            <w:pPr>
              <w:pStyle w:val="Style71"/>
              <w:widowControl w:val="false"/>
              <w:rPr/>
            </w:pPr>
            <w:r>
              <w:rPr/>
            </w:r>
          </w:p>
        </w:tc>
        <w:tc>
          <w:tcPr>
            <w:tcW w:w="2845" w:type="dxa"/>
            <w:tcBorders>
              <w:left w:val="single" w:sz="4" w:space="0" w:color="000000"/>
              <w:bottom w:val="single" w:sz="4" w:space="0" w:color="000000"/>
            </w:tcBorders>
            <w:vAlign w:val="center"/>
          </w:tcPr>
          <w:p>
            <w:pPr>
              <w:pStyle w:val="Style71"/>
              <w:widowControl w:val="false"/>
              <w:rPr/>
            </w:pPr>
            <w:r>
              <w:rPr/>
            </w:r>
          </w:p>
        </w:tc>
        <w:tc>
          <w:tcPr>
            <w:tcW w:w="1690"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2665" w:type="dxa"/>
            <w:tcBorders>
              <w:left w:val="single" w:sz="4" w:space="0" w:color="000000"/>
              <w:bottom w:val="single" w:sz="4" w:space="0" w:color="000000"/>
            </w:tcBorders>
            <w:vAlign w:val="center"/>
          </w:tcPr>
          <w:p>
            <w:pPr>
              <w:pStyle w:val="Style71"/>
              <w:widowControl w:val="false"/>
              <w:rPr/>
            </w:pPr>
            <w:r>
              <w:rPr/>
            </w:r>
          </w:p>
        </w:tc>
        <w:tc>
          <w:tcPr>
            <w:tcW w:w="1870" w:type="dxa"/>
            <w:tcBorders>
              <w:left w:val="single" w:sz="4" w:space="0" w:color="000000"/>
              <w:bottom w:val="single" w:sz="4" w:space="0" w:color="000000"/>
            </w:tcBorders>
            <w:vAlign w:val="center"/>
          </w:tcPr>
          <w:p>
            <w:pPr>
              <w:pStyle w:val="Style71"/>
              <w:widowControl w:val="false"/>
              <w:rPr/>
            </w:pPr>
            <w:r>
              <w:rPr/>
            </w:r>
          </w:p>
        </w:tc>
        <w:tc>
          <w:tcPr>
            <w:tcW w:w="2845" w:type="dxa"/>
            <w:tcBorders>
              <w:left w:val="single" w:sz="4" w:space="0" w:color="000000"/>
              <w:bottom w:val="single" w:sz="4" w:space="0" w:color="000000"/>
            </w:tcBorders>
            <w:vAlign w:val="center"/>
          </w:tcPr>
          <w:p>
            <w:pPr>
              <w:pStyle w:val="Style71"/>
              <w:widowControl w:val="false"/>
              <w:rPr/>
            </w:pPr>
            <w:r>
              <w:rPr/>
            </w:r>
          </w:p>
        </w:tc>
        <w:tc>
          <w:tcPr>
            <w:tcW w:w="1690"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2665" w:type="dxa"/>
            <w:tcBorders>
              <w:left w:val="single" w:sz="4" w:space="0" w:color="000000"/>
              <w:bottom w:val="single" w:sz="4" w:space="0" w:color="000000"/>
            </w:tcBorders>
            <w:vAlign w:val="center"/>
          </w:tcPr>
          <w:p>
            <w:pPr>
              <w:pStyle w:val="Style71"/>
              <w:widowControl w:val="false"/>
              <w:rPr/>
            </w:pPr>
            <w:r>
              <w:rPr/>
            </w:r>
          </w:p>
        </w:tc>
        <w:tc>
          <w:tcPr>
            <w:tcW w:w="1870" w:type="dxa"/>
            <w:tcBorders>
              <w:left w:val="single" w:sz="4" w:space="0" w:color="000000"/>
              <w:bottom w:val="single" w:sz="4" w:space="0" w:color="000000"/>
            </w:tcBorders>
            <w:vAlign w:val="center"/>
          </w:tcPr>
          <w:p>
            <w:pPr>
              <w:pStyle w:val="Style71"/>
              <w:widowControl w:val="false"/>
              <w:rPr/>
            </w:pPr>
            <w:r>
              <w:rPr/>
            </w:r>
          </w:p>
        </w:tc>
        <w:tc>
          <w:tcPr>
            <w:tcW w:w="2845" w:type="dxa"/>
            <w:tcBorders>
              <w:left w:val="single" w:sz="4" w:space="0" w:color="000000"/>
              <w:bottom w:val="single" w:sz="4" w:space="0" w:color="000000"/>
            </w:tcBorders>
            <w:vAlign w:val="center"/>
          </w:tcPr>
          <w:p>
            <w:pPr>
              <w:pStyle w:val="Style71"/>
              <w:widowControl w:val="false"/>
              <w:rPr/>
            </w:pPr>
            <w:r>
              <w:rPr/>
            </w:r>
          </w:p>
        </w:tc>
        <w:tc>
          <w:tcPr>
            <w:tcW w:w="1690"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2665" w:type="dxa"/>
            <w:tcBorders>
              <w:left w:val="single" w:sz="4" w:space="0" w:color="000000"/>
              <w:bottom w:val="single" w:sz="4" w:space="0" w:color="000000"/>
            </w:tcBorders>
            <w:vAlign w:val="center"/>
          </w:tcPr>
          <w:p>
            <w:pPr>
              <w:pStyle w:val="Style71"/>
              <w:widowControl w:val="false"/>
              <w:rPr/>
            </w:pPr>
            <w:r>
              <w:rPr/>
            </w:r>
          </w:p>
        </w:tc>
        <w:tc>
          <w:tcPr>
            <w:tcW w:w="1870" w:type="dxa"/>
            <w:tcBorders>
              <w:left w:val="single" w:sz="4" w:space="0" w:color="000000"/>
              <w:bottom w:val="single" w:sz="4" w:space="0" w:color="000000"/>
            </w:tcBorders>
            <w:vAlign w:val="center"/>
          </w:tcPr>
          <w:p>
            <w:pPr>
              <w:pStyle w:val="Style71"/>
              <w:widowControl w:val="false"/>
              <w:rPr/>
            </w:pPr>
            <w:r>
              <w:rPr/>
            </w:r>
          </w:p>
        </w:tc>
        <w:tc>
          <w:tcPr>
            <w:tcW w:w="2845" w:type="dxa"/>
            <w:tcBorders>
              <w:left w:val="single" w:sz="4" w:space="0" w:color="000000"/>
              <w:bottom w:val="single" w:sz="4" w:space="0" w:color="000000"/>
            </w:tcBorders>
            <w:vAlign w:val="center"/>
          </w:tcPr>
          <w:p>
            <w:pPr>
              <w:pStyle w:val="Style71"/>
              <w:widowControl w:val="false"/>
              <w:rPr/>
            </w:pPr>
            <w:r>
              <w:rPr/>
            </w:r>
          </w:p>
        </w:tc>
        <w:tc>
          <w:tcPr>
            <w:tcW w:w="1690"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2665" w:type="dxa"/>
            <w:tcBorders>
              <w:left w:val="single" w:sz="4" w:space="0" w:color="000000"/>
              <w:bottom w:val="single" w:sz="4" w:space="0" w:color="000000"/>
            </w:tcBorders>
            <w:vAlign w:val="center"/>
          </w:tcPr>
          <w:p>
            <w:pPr>
              <w:pStyle w:val="Style71"/>
              <w:widowControl w:val="false"/>
              <w:rPr/>
            </w:pPr>
            <w:r>
              <w:rPr/>
            </w:r>
          </w:p>
        </w:tc>
        <w:tc>
          <w:tcPr>
            <w:tcW w:w="1870" w:type="dxa"/>
            <w:tcBorders>
              <w:left w:val="single" w:sz="4" w:space="0" w:color="000000"/>
              <w:bottom w:val="single" w:sz="4" w:space="0" w:color="000000"/>
            </w:tcBorders>
            <w:vAlign w:val="center"/>
          </w:tcPr>
          <w:p>
            <w:pPr>
              <w:pStyle w:val="Style71"/>
              <w:widowControl w:val="false"/>
              <w:rPr/>
            </w:pPr>
            <w:r>
              <w:rPr/>
            </w:r>
          </w:p>
        </w:tc>
        <w:tc>
          <w:tcPr>
            <w:tcW w:w="2845" w:type="dxa"/>
            <w:tcBorders>
              <w:left w:val="single" w:sz="4" w:space="0" w:color="000000"/>
              <w:bottom w:val="single" w:sz="4" w:space="0" w:color="000000"/>
            </w:tcBorders>
            <w:vAlign w:val="center"/>
          </w:tcPr>
          <w:p>
            <w:pPr>
              <w:pStyle w:val="Style71"/>
              <w:widowControl w:val="false"/>
              <w:rPr/>
            </w:pPr>
            <w:r>
              <w:rPr/>
            </w:r>
          </w:p>
        </w:tc>
        <w:tc>
          <w:tcPr>
            <w:tcW w:w="1690"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bl>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widowControl/>
        <w:suppressAutoHyphens w:val="true"/>
        <w:bidi w:val="0"/>
        <w:spacing w:lineRule="auto" w:line="240" w:before="0" w:after="0"/>
        <w:ind w:left="0" w:right="0" w:hanging="0"/>
        <w:jc w:val="left"/>
        <w:rPr>
          <w:rFonts w:ascii="Times New Roman" w:hAnsi="Times New Roman"/>
          <w:sz w:val="24"/>
          <w:szCs w:val="24"/>
        </w:rPr>
      </w:pPr>
      <w:r>
        <w:rPr>
          <w:rFonts w:ascii="Times New Roman" w:hAnsi="Times New Roman"/>
          <w:sz w:val="24"/>
          <w:szCs w:val="24"/>
        </w:rPr>
        <w:t>Дата: «___» ____________ 20___г. Время: _________</w:t>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tbl>
      <w:tblPr>
        <w:tblW w:w="5000" w:type="pct"/>
        <w:jc w:val="left"/>
        <w:tblInd w:w="-5" w:type="dxa"/>
        <w:tblLayout w:type="fixed"/>
        <w:tblCellMar>
          <w:top w:w="55" w:type="dxa"/>
          <w:left w:w="55" w:type="dxa"/>
          <w:bottom w:w="55" w:type="dxa"/>
          <w:right w:w="55" w:type="dxa"/>
        </w:tblCellMar>
      </w:tblPr>
      <w:tblGrid>
        <w:gridCol w:w="992"/>
        <w:gridCol w:w="1203"/>
        <w:gridCol w:w="2228"/>
        <w:gridCol w:w="2183"/>
        <w:gridCol w:w="1233"/>
        <w:gridCol w:w="1231"/>
      </w:tblGrid>
      <w:tr>
        <w:trPr/>
        <w:tc>
          <w:tcPr>
            <w:tcW w:w="992" w:type="dxa"/>
            <w:tcBorders>
              <w:top w:val="single" w:sz="4" w:space="0" w:color="000000"/>
              <w:left w:val="single" w:sz="4" w:space="0" w:color="000000"/>
              <w:bottom w:val="single" w:sz="4" w:space="0" w:color="000000"/>
            </w:tcBorders>
            <w:vAlign w:val="center"/>
          </w:tcPr>
          <w:p>
            <w:pPr>
              <w:pStyle w:val="Style71"/>
              <w:widowControl w:val="false"/>
              <w:rPr>
                <w:rFonts w:ascii="Times New Roman" w:hAnsi="Times New Roman"/>
              </w:rPr>
            </w:pPr>
            <w:r>
              <w:rPr>
                <w:rFonts w:ascii="Times New Roman" w:hAnsi="Times New Roman"/>
              </w:rPr>
              <w:t>Створ/Пикет/Куст</w:t>
            </w:r>
          </w:p>
        </w:tc>
        <w:tc>
          <w:tcPr>
            <w:tcW w:w="1203" w:type="dxa"/>
            <w:tcBorders>
              <w:top w:val="single" w:sz="4" w:space="0" w:color="000000"/>
              <w:left w:val="single" w:sz="4" w:space="0" w:color="000000"/>
              <w:bottom w:val="single" w:sz="4" w:space="0" w:color="000000"/>
            </w:tcBorders>
            <w:vAlign w:val="center"/>
          </w:tcPr>
          <w:p>
            <w:pPr>
              <w:pStyle w:val="Style71"/>
              <w:widowControl w:val="false"/>
              <w:rPr>
                <w:rFonts w:ascii="Times New Roman" w:hAnsi="Times New Roman"/>
              </w:rPr>
            </w:pPr>
            <w:r>
              <w:rPr>
                <w:rFonts w:ascii="Times New Roman" w:hAnsi="Times New Roman"/>
              </w:rPr>
              <w:t>Номер пьезометра</w:t>
            </w:r>
          </w:p>
        </w:tc>
        <w:tc>
          <w:tcPr>
            <w:tcW w:w="2228" w:type="dxa"/>
            <w:tcBorders>
              <w:top w:val="single" w:sz="4" w:space="0" w:color="000000"/>
              <w:left w:val="single" w:sz="4" w:space="0" w:color="000000"/>
              <w:bottom w:val="single" w:sz="4" w:space="0" w:color="000000"/>
            </w:tcBorders>
            <w:vAlign w:val="center"/>
          </w:tcPr>
          <w:p>
            <w:pPr>
              <w:pStyle w:val="Style71"/>
              <w:widowControl w:val="false"/>
              <w:rPr>
                <w:rFonts w:ascii="Times New Roman" w:hAnsi="Times New Roman"/>
              </w:rPr>
            </w:pPr>
            <w:r>
              <w:rPr>
                <w:rFonts w:ascii="Times New Roman" w:hAnsi="Times New Roman"/>
              </w:rPr>
              <w:t>Абсолютная отметка верха трубы пьезометра, м</w:t>
            </w:r>
          </w:p>
        </w:tc>
        <w:tc>
          <w:tcPr>
            <w:tcW w:w="2183" w:type="dxa"/>
            <w:tcBorders>
              <w:top w:val="single" w:sz="4" w:space="0" w:color="000000"/>
              <w:left w:val="single" w:sz="4" w:space="0" w:color="000000"/>
              <w:bottom w:val="single" w:sz="4" w:space="0" w:color="000000"/>
            </w:tcBorders>
            <w:vAlign w:val="center"/>
          </w:tcPr>
          <w:p>
            <w:pPr>
              <w:pStyle w:val="Style71"/>
              <w:widowControl w:val="false"/>
              <w:rPr>
                <w:rFonts w:ascii="Times New Roman" w:hAnsi="Times New Roman"/>
              </w:rPr>
            </w:pPr>
            <w:r>
              <w:rPr>
                <w:rFonts w:ascii="Times New Roman" w:hAnsi="Times New Roman"/>
              </w:rPr>
              <w:t>Глубина от верха трубы пьезометра до воды, м</w:t>
            </w:r>
          </w:p>
        </w:tc>
        <w:tc>
          <w:tcPr>
            <w:tcW w:w="1233" w:type="dxa"/>
            <w:tcBorders>
              <w:top w:val="single" w:sz="4" w:space="0" w:color="000000"/>
              <w:left w:val="single" w:sz="4" w:space="0" w:color="000000"/>
              <w:bottom w:val="single" w:sz="4" w:space="0" w:color="000000"/>
            </w:tcBorders>
            <w:vAlign w:val="center"/>
          </w:tcPr>
          <w:p>
            <w:pPr>
              <w:pStyle w:val="Style71"/>
              <w:widowControl w:val="false"/>
              <w:rPr>
                <w:rFonts w:ascii="Times New Roman" w:hAnsi="Times New Roman"/>
              </w:rPr>
            </w:pPr>
            <w:r>
              <w:rPr>
                <w:rFonts w:ascii="Times New Roman" w:hAnsi="Times New Roman"/>
              </w:rPr>
              <w:t>Уровень ВБ, м</w:t>
            </w:r>
          </w:p>
        </w:tc>
        <w:tc>
          <w:tcPr>
            <w:tcW w:w="1231" w:type="dxa"/>
            <w:tcBorders>
              <w:top w:val="single" w:sz="4" w:space="0" w:color="000000"/>
              <w:left w:val="single" w:sz="4" w:space="0" w:color="000000"/>
              <w:bottom w:val="single" w:sz="4" w:space="0" w:color="000000"/>
              <w:right w:val="single" w:sz="4" w:space="0" w:color="000000"/>
            </w:tcBorders>
            <w:vAlign w:val="center"/>
          </w:tcPr>
          <w:p>
            <w:pPr>
              <w:pStyle w:val="Style71"/>
              <w:widowControl w:val="false"/>
              <w:rPr>
                <w:rFonts w:ascii="Times New Roman" w:hAnsi="Times New Roman"/>
              </w:rPr>
            </w:pPr>
            <w:r>
              <w:rPr>
                <w:rFonts w:ascii="Times New Roman" w:hAnsi="Times New Roman"/>
              </w:rPr>
              <w:t>Уровень НБ,м</w:t>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bl>
    <w:p>
      <w:pPr>
        <w:pStyle w:val="Normal"/>
        <w:spacing w:lineRule="auto" w:line="240" w:before="0" w:after="0"/>
        <w:ind w:left="0" w:right="0" w:hanging="0"/>
        <w:jc w:val="center"/>
        <w:rPr>
          <w:rFonts w:ascii="Times New Roman" w:hAnsi="Times New Roman"/>
        </w:rPr>
      </w:pPr>
      <w:r>
        <w:rPr>
          <w:rFonts w:ascii="Times New Roman" w:hAnsi="Times New Roman"/>
        </w:rPr>
      </w:r>
    </w:p>
    <w:p>
      <w:pPr>
        <w:pStyle w:val="Normal"/>
        <w:spacing w:lineRule="auto" w:line="240" w:before="0" w:after="0"/>
        <w:ind w:left="0" w:right="0" w:hanging="0"/>
        <w:jc w:val="left"/>
        <w:rPr>
          <w:rFonts w:ascii="Times New Roman" w:hAnsi="Times New Roman"/>
        </w:rPr>
      </w:pPr>
      <w:r>
        <w:rPr>
          <w:rFonts w:ascii="Times New Roman" w:hAnsi="Times New Roman"/>
        </w:rPr>
        <w:t>Подпись наблюдателя: _____________________ ФИО наблюдателя: ____________________</w:t>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pPr>
      <w:r>
        <w:rPr>
          <w:rFonts w:cs="Times New Roman" w:ascii="Times New Roman" w:hAnsi="Times New Roman"/>
          <w:b/>
          <w:bCs/>
          <w:szCs w:val="32"/>
        </w:rPr>
        <w:t>Форма журнала наблюдений по напорным пьезометрам</w:t>
      </w:r>
    </w:p>
    <w:p>
      <w:pPr>
        <w:pStyle w:val="Normal"/>
        <w:spacing w:lineRule="auto" w:line="240" w:before="0" w:after="0"/>
        <w:jc w:val="center"/>
        <w:rPr>
          <w:rFonts w:ascii="Times New Roman" w:hAnsi="Times New Roman" w:cs="Times New Roman"/>
          <w:b/>
          <w:bCs/>
          <w:szCs w:val="32"/>
        </w:rPr>
      </w:pPr>
      <w:r>
        <w:rPr>
          <w:rFonts w:cs="Times New Roman" w:ascii="Times New Roman" w:hAnsi="Times New Roman"/>
          <w:b/>
          <w:bCs/>
          <w:szCs w:val="32"/>
        </w:rPr>
      </w:r>
    </w:p>
    <w:tbl>
      <w:tblPr>
        <w:tblW w:w="5000" w:type="pct"/>
        <w:jc w:val="left"/>
        <w:tblInd w:w="-5" w:type="dxa"/>
        <w:tblLayout w:type="fixed"/>
        <w:tblCellMar>
          <w:top w:w="55" w:type="dxa"/>
          <w:left w:w="55" w:type="dxa"/>
          <w:bottom w:w="55" w:type="dxa"/>
          <w:right w:w="55" w:type="dxa"/>
        </w:tblCellMar>
      </w:tblPr>
      <w:tblGrid>
        <w:gridCol w:w="9071"/>
      </w:tblGrid>
      <w:tr>
        <w:trPr>
          <w:trHeight w:val="9076" w:hRule="atLeast"/>
        </w:trPr>
        <w:tc>
          <w:tcPr>
            <w:tcW w:w="9071" w:type="dxa"/>
            <w:tcBorders>
              <w:top w:val="single" w:sz="4" w:space="0" w:color="000000"/>
              <w:left w:val="single" w:sz="4" w:space="0" w:color="000000"/>
              <w:bottom w:val="single" w:sz="4" w:space="0" w:color="000000"/>
              <w:right w:val="single" w:sz="4" w:space="0" w:color="000000"/>
            </w:tcBorders>
          </w:tcPr>
          <w:p>
            <w:pPr>
              <w:pStyle w:val="Style71"/>
              <w:widowControl w:val="false"/>
              <w:rPr>
                <w:rFonts w:ascii="Times New Roman" w:hAnsi="Times New Roman"/>
              </w:rPr>
            </w:pPr>
            <w:r>
              <w:rPr>
                <w:rFonts w:ascii="Times New Roman" w:hAnsi="Times New Roman"/>
              </w:rPr>
              <w:t>Наименование организации выполняющей наблюдения</w:t>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t>ПОЛЕВОЙ ЖУРНАЛ №___</w:t>
            </w:r>
          </w:p>
          <w:p>
            <w:pPr>
              <w:pStyle w:val="Style71"/>
              <w:widowControl w:val="false"/>
              <w:rPr>
                <w:rFonts w:ascii="Times New Roman" w:hAnsi="Times New Roman"/>
              </w:rPr>
            </w:pPr>
            <w:r>
              <w:rPr>
                <w:rFonts w:ascii="Times New Roman" w:hAnsi="Times New Roman"/>
              </w:rPr>
              <w:t>записи наблюдений за давлением воды в напорных пьезометрах</w:t>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t>Гидроузел: _________________________________________________________</w:t>
            </w:r>
          </w:p>
          <w:p>
            <w:pPr>
              <w:pStyle w:val="Style71"/>
              <w:widowControl w:val="false"/>
              <w:rPr>
                <w:rFonts w:ascii="Times New Roman" w:hAnsi="Times New Roman"/>
              </w:rPr>
            </w:pPr>
            <w:r>
              <w:rPr>
                <w:rFonts w:ascii="Times New Roman" w:hAnsi="Times New Roman"/>
              </w:rPr>
              <w:t>Сооружение: _______________________________________________________</w:t>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t xml:space="preserve">Начат  «___» _____________ 20   г.   </w:t>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t xml:space="preserve">    </w:t>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t xml:space="preserve">Окончен  «___» _____________ 20   г.                                                                </w:t>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tc>
      </w:tr>
    </w:tbl>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t>ОТВЕТСТВЕННЫЕ ЗА ВЕДЕНИЕ ЖУРНАЛА</w:t>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tbl>
      <w:tblPr>
        <w:tblW w:w="5000" w:type="pct"/>
        <w:jc w:val="left"/>
        <w:tblInd w:w="-5" w:type="dxa"/>
        <w:tblLayout w:type="fixed"/>
        <w:tblCellMar>
          <w:top w:w="55" w:type="dxa"/>
          <w:left w:w="55" w:type="dxa"/>
          <w:bottom w:w="55" w:type="dxa"/>
          <w:right w:w="55" w:type="dxa"/>
        </w:tblCellMar>
      </w:tblPr>
      <w:tblGrid>
        <w:gridCol w:w="2665"/>
        <w:gridCol w:w="1870"/>
        <w:gridCol w:w="2845"/>
        <w:gridCol w:w="1690"/>
      </w:tblGrid>
      <w:tr>
        <w:trPr/>
        <w:tc>
          <w:tcPr>
            <w:tcW w:w="2665" w:type="dxa"/>
            <w:tcBorders>
              <w:top w:val="single" w:sz="4" w:space="0" w:color="000000"/>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ФИО</w:t>
            </w:r>
          </w:p>
        </w:tc>
        <w:tc>
          <w:tcPr>
            <w:tcW w:w="1870" w:type="dxa"/>
            <w:tcBorders>
              <w:top w:val="single" w:sz="4" w:space="0" w:color="000000"/>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Должность</w:t>
            </w:r>
          </w:p>
        </w:tc>
        <w:tc>
          <w:tcPr>
            <w:tcW w:w="2845" w:type="dxa"/>
            <w:tcBorders>
              <w:top w:val="single" w:sz="4" w:space="0" w:color="000000"/>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Дата назначения на должность</w:t>
            </w:r>
          </w:p>
        </w:tc>
        <w:tc>
          <w:tcPr>
            <w:tcW w:w="1690" w:type="dxa"/>
            <w:tcBorders>
              <w:top w:val="single" w:sz="4" w:space="0" w:color="000000"/>
              <w:left w:val="single" w:sz="4" w:space="0" w:color="000000"/>
              <w:bottom w:val="single" w:sz="4" w:space="0" w:color="000000"/>
              <w:right w:val="single" w:sz="4" w:space="0" w:color="000000"/>
            </w:tcBorders>
            <w:vAlign w:val="center"/>
          </w:tcPr>
          <w:p>
            <w:pPr>
              <w:pStyle w:val="Style71"/>
              <w:widowControl w:val="false"/>
              <w:jc w:val="center"/>
              <w:rPr>
                <w:rFonts w:ascii="Times New Roman" w:hAnsi="Times New Roman"/>
              </w:rPr>
            </w:pPr>
            <w:r>
              <w:rPr>
                <w:rFonts w:ascii="Times New Roman" w:hAnsi="Times New Roman"/>
              </w:rPr>
              <w:t>Подпись</w:t>
            </w:r>
          </w:p>
        </w:tc>
      </w:tr>
      <w:tr>
        <w:trPr>
          <w:trHeight w:val="222" w:hRule="atLeast"/>
        </w:trPr>
        <w:tc>
          <w:tcPr>
            <w:tcW w:w="2665" w:type="dxa"/>
            <w:tcBorders>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1</w:t>
            </w:r>
          </w:p>
        </w:tc>
        <w:tc>
          <w:tcPr>
            <w:tcW w:w="1870" w:type="dxa"/>
            <w:tcBorders>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2</w:t>
            </w:r>
          </w:p>
        </w:tc>
        <w:tc>
          <w:tcPr>
            <w:tcW w:w="2845" w:type="dxa"/>
            <w:tcBorders>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3</w:t>
            </w:r>
          </w:p>
        </w:tc>
        <w:tc>
          <w:tcPr>
            <w:tcW w:w="1690" w:type="dxa"/>
            <w:tcBorders>
              <w:left w:val="single" w:sz="4" w:space="0" w:color="000000"/>
              <w:bottom w:val="single" w:sz="4" w:space="0" w:color="000000"/>
              <w:right w:val="single" w:sz="4" w:space="0" w:color="000000"/>
            </w:tcBorders>
            <w:vAlign w:val="center"/>
          </w:tcPr>
          <w:p>
            <w:pPr>
              <w:pStyle w:val="Style71"/>
              <w:widowControl w:val="false"/>
              <w:jc w:val="center"/>
              <w:rPr>
                <w:rFonts w:ascii="Times New Roman" w:hAnsi="Times New Roman"/>
              </w:rPr>
            </w:pPr>
            <w:r>
              <w:rPr>
                <w:rFonts w:ascii="Times New Roman" w:hAnsi="Times New Roman"/>
              </w:rPr>
              <w:t>4</w:t>
            </w:r>
          </w:p>
        </w:tc>
      </w:tr>
      <w:tr>
        <w:trPr/>
        <w:tc>
          <w:tcPr>
            <w:tcW w:w="2665" w:type="dxa"/>
            <w:tcBorders>
              <w:left w:val="single" w:sz="4" w:space="0" w:color="000000"/>
              <w:bottom w:val="single" w:sz="4" w:space="0" w:color="000000"/>
            </w:tcBorders>
            <w:vAlign w:val="center"/>
          </w:tcPr>
          <w:p>
            <w:pPr>
              <w:pStyle w:val="Style71"/>
              <w:widowControl w:val="false"/>
              <w:rPr/>
            </w:pPr>
            <w:r>
              <w:rPr/>
            </w:r>
          </w:p>
        </w:tc>
        <w:tc>
          <w:tcPr>
            <w:tcW w:w="1870" w:type="dxa"/>
            <w:tcBorders>
              <w:left w:val="single" w:sz="4" w:space="0" w:color="000000"/>
              <w:bottom w:val="single" w:sz="4" w:space="0" w:color="000000"/>
            </w:tcBorders>
            <w:vAlign w:val="center"/>
          </w:tcPr>
          <w:p>
            <w:pPr>
              <w:pStyle w:val="Style71"/>
              <w:widowControl w:val="false"/>
              <w:rPr/>
            </w:pPr>
            <w:r>
              <w:rPr/>
            </w:r>
          </w:p>
        </w:tc>
        <w:tc>
          <w:tcPr>
            <w:tcW w:w="2845" w:type="dxa"/>
            <w:tcBorders>
              <w:left w:val="single" w:sz="4" w:space="0" w:color="000000"/>
              <w:bottom w:val="single" w:sz="4" w:space="0" w:color="000000"/>
            </w:tcBorders>
            <w:vAlign w:val="center"/>
          </w:tcPr>
          <w:p>
            <w:pPr>
              <w:pStyle w:val="Style71"/>
              <w:widowControl w:val="false"/>
              <w:rPr/>
            </w:pPr>
            <w:r>
              <w:rPr/>
            </w:r>
          </w:p>
        </w:tc>
        <w:tc>
          <w:tcPr>
            <w:tcW w:w="1690"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2665" w:type="dxa"/>
            <w:tcBorders>
              <w:left w:val="single" w:sz="4" w:space="0" w:color="000000"/>
              <w:bottom w:val="single" w:sz="4" w:space="0" w:color="000000"/>
            </w:tcBorders>
            <w:vAlign w:val="center"/>
          </w:tcPr>
          <w:p>
            <w:pPr>
              <w:pStyle w:val="Style71"/>
              <w:widowControl w:val="false"/>
              <w:rPr/>
            </w:pPr>
            <w:r>
              <w:rPr/>
            </w:r>
          </w:p>
        </w:tc>
        <w:tc>
          <w:tcPr>
            <w:tcW w:w="1870" w:type="dxa"/>
            <w:tcBorders>
              <w:left w:val="single" w:sz="4" w:space="0" w:color="000000"/>
              <w:bottom w:val="single" w:sz="4" w:space="0" w:color="000000"/>
            </w:tcBorders>
            <w:vAlign w:val="center"/>
          </w:tcPr>
          <w:p>
            <w:pPr>
              <w:pStyle w:val="Style71"/>
              <w:widowControl w:val="false"/>
              <w:rPr/>
            </w:pPr>
            <w:r>
              <w:rPr/>
            </w:r>
          </w:p>
        </w:tc>
        <w:tc>
          <w:tcPr>
            <w:tcW w:w="2845" w:type="dxa"/>
            <w:tcBorders>
              <w:left w:val="single" w:sz="4" w:space="0" w:color="000000"/>
              <w:bottom w:val="single" w:sz="4" w:space="0" w:color="000000"/>
            </w:tcBorders>
            <w:vAlign w:val="center"/>
          </w:tcPr>
          <w:p>
            <w:pPr>
              <w:pStyle w:val="Style71"/>
              <w:widowControl w:val="false"/>
              <w:rPr/>
            </w:pPr>
            <w:r>
              <w:rPr/>
            </w:r>
          </w:p>
        </w:tc>
        <w:tc>
          <w:tcPr>
            <w:tcW w:w="1690"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2665" w:type="dxa"/>
            <w:tcBorders>
              <w:left w:val="single" w:sz="4" w:space="0" w:color="000000"/>
              <w:bottom w:val="single" w:sz="4" w:space="0" w:color="000000"/>
            </w:tcBorders>
            <w:vAlign w:val="center"/>
          </w:tcPr>
          <w:p>
            <w:pPr>
              <w:pStyle w:val="Style71"/>
              <w:widowControl w:val="false"/>
              <w:rPr/>
            </w:pPr>
            <w:r>
              <w:rPr/>
            </w:r>
          </w:p>
        </w:tc>
        <w:tc>
          <w:tcPr>
            <w:tcW w:w="1870" w:type="dxa"/>
            <w:tcBorders>
              <w:left w:val="single" w:sz="4" w:space="0" w:color="000000"/>
              <w:bottom w:val="single" w:sz="4" w:space="0" w:color="000000"/>
            </w:tcBorders>
            <w:vAlign w:val="center"/>
          </w:tcPr>
          <w:p>
            <w:pPr>
              <w:pStyle w:val="Style71"/>
              <w:widowControl w:val="false"/>
              <w:rPr/>
            </w:pPr>
            <w:r>
              <w:rPr/>
            </w:r>
          </w:p>
        </w:tc>
        <w:tc>
          <w:tcPr>
            <w:tcW w:w="2845" w:type="dxa"/>
            <w:tcBorders>
              <w:left w:val="single" w:sz="4" w:space="0" w:color="000000"/>
              <w:bottom w:val="single" w:sz="4" w:space="0" w:color="000000"/>
            </w:tcBorders>
            <w:vAlign w:val="center"/>
          </w:tcPr>
          <w:p>
            <w:pPr>
              <w:pStyle w:val="Style71"/>
              <w:widowControl w:val="false"/>
              <w:rPr/>
            </w:pPr>
            <w:r>
              <w:rPr/>
            </w:r>
          </w:p>
        </w:tc>
        <w:tc>
          <w:tcPr>
            <w:tcW w:w="1690"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2665" w:type="dxa"/>
            <w:tcBorders>
              <w:left w:val="single" w:sz="4" w:space="0" w:color="000000"/>
              <w:bottom w:val="single" w:sz="4" w:space="0" w:color="000000"/>
            </w:tcBorders>
            <w:vAlign w:val="center"/>
          </w:tcPr>
          <w:p>
            <w:pPr>
              <w:pStyle w:val="Style71"/>
              <w:widowControl w:val="false"/>
              <w:rPr/>
            </w:pPr>
            <w:r>
              <w:rPr/>
            </w:r>
          </w:p>
        </w:tc>
        <w:tc>
          <w:tcPr>
            <w:tcW w:w="1870" w:type="dxa"/>
            <w:tcBorders>
              <w:left w:val="single" w:sz="4" w:space="0" w:color="000000"/>
              <w:bottom w:val="single" w:sz="4" w:space="0" w:color="000000"/>
            </w:tcBorders>
            <w:vAlign w:val="center"/>
          </w:tcPr>
          <w:p>
            <w:pPr>
              <w:pStyle w:val="Style71"/>
              <w:widowControl w:val="false"/>
              <w:rPr/>
            </w:pPr>
            <w:r>
              <w:rPr/>
            </w:r>
          </w:p>
        </w:tc>
        <w:tc>
          <w:tcPr>
            <w:tcW w:w="2845" w:type="dxa"/>
            <w:tcBorders>
              <w:left w:val="single" w:sz="4" w:space="0" w:color="000000"/>
              <w:bottom w:val="single" w:sz="4" w:space="0" w:color="000000"/>
            </w:tcBorders>
            <w:vAlign w:val="center"/>
          </w:tcPr>
          <w:p>
            <w:pPr>
              <w:pStyle w:val="Style71"/>
              <w:widowControl w:val="false"/>
              <w:rPr/>
            </w:pPr>
            <w:r>
              <w:rPr/>
            </w:r>
          </w:p>
        </w:tc>
        <w:tc>
          <w:tcPr>
            <w:tcW w:w="1690"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2665" w:type="dxa"/>
            <w:tcBorders>
              <w:left w:val="single" w:sz="4" w:space="0" w:color="000000"/>
              <w:bottom w:val="single" w:sz="4" w:space="0" w:color="000000"/>
            </w:tcBorders>
            <w:vAlign w:val="center"/>
          </w:tcPr>
          <w:p>
            <w:pPr>
              <w:pStyle w:val="Style71"/>
              <w:widowControl w:val="false"/>
              <w:rPr/>
            </w:pPr>
            <w:r>
              <w:rPr/>
            </w:r>
          </w:p>
        </w:tc>
        <w:tc>
          <w:tcPr>
            <w:tcW w:w="1870" w:type="dxa"/>
            <w:tcBorders>
              <w:left w:val="single" w:sz="4" w:space="0" w:color="000000"/>
              <w:bottom w:val="single" w:sz="4" w:space="0" w:color="000000"/>
            </w:tcBorders>
            <w:vAlign w:val="center"/>
          </w:tcPr>
          <w:p>
            <w:pPr>
              <w:pStyle w:val="Style71"/>
              <w:widowControl w:val="false"/>
              <w:rPr/>
            </w:pPr>
            <w:r>
              <w:rPr/>
            </w:r>
          </w:p>
        </w:tc>
        <w:tc>
          <w:tcPr>
            <w:tcW w:w="2845" w:type="dxa"/>
            <w:tcBorders>
              <w:left w:val="single" w:sz="4" w:space="0" w:color="000000"/>
              <w:bottom w:val="single" w:sz="4" w:space="0" w:color="000000"/>
            </w:tcBorders>
            <w:vAlign w:val="center"/>
          </w:tcPr>
          <w:p>
            <w:pPr>
              <w:pStyle w:val="Style71"/>
              <w:widowControl w:val="false"/>
              <w:rPr/>
            </w:pPr>
            <w:r>
              <w:rPr/>
            </w:r>
          </w:p>
        </w:tc>
        <w:tc>
          <w:tcPr>
            <w:tcW w:w="1690"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bl>
    <w:p>
      <w:pPr>
        <w:pStyle w:val="Normal"/>
        <w:widowControl/>
        <w:suppressAutoHyphens w:val="true"/>
        <w:bidi w:val="0"/>
        <w:spacing w:lineRule="auto" w:line="240" w:before="0" w:after="0"/>
        <w:ind w:left="0" w:right="0" w:hanging="0"/>
        <w:jc w:val="left"/>
        <w:rPr>
          <w:rFonts w:ascii="Times New Roman" w:hAnsi="Times New Roman"/>
          <w:sz w:val="24"/>
          <w:szCs w:val="24"/>
        </w:rPr>
      </w:pPr>
      <w:r>
        <w:rPr>
          <w:rFonts w:ascii="Times New Roman" w:hAnsi="Times New Roman"/>
          <w:sz w:val="24"/>
          <w:szCs w:val="24"/>
        </w:rPr>
      </w:r>
    </w:p>
    <w:p>
      <w:pPr>
        <w:pStyle w:val="Normal"/>
        <w:widowControl/>
        <w:suppressAutoHyphens w:val="true"/>
        <w:bidi w:val="0"/>
        <w:spacing w:lineRule="auto" w:line="240" w:before="0" w:after="0"/>
        <w:ind w:left="0" w:right="0" w:hanging="0"/>
        <w:jc w:val="left"/>
        <w:rPr>
          <w:rFonts w:ascii="Times New Roman" w:hAnsi="Times New Roman"/>
          <w:sz w:val="24"/>
          <w:szCs w:val="24"/>
        </w:rPr>
      </w:pPr>
      <w:r>
        <w:rPr>
          <w:rFonts w:ascii="Times New Roman" w:hAnsi="Times New Roman"/>
          <w:sz w:val="24"/>
          <w:szCs w:val="24"/>
        </w:rPr>
        <w:t>Дата: «___» ____________ 20___г. Время: _________</w:t>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tbl>
      <w:tblPr>
        <w:tblW w:w="5000" w:type="pct"/>
        <w:jc w:val="left"/>
        <w:tblInd w:w="-5" w:type="dxa"/>
        <w:tblLayout w:type="fixed"/>
        <w:tblCellMar>
          <w:top w:w="55" w:type="dxa"/>
          <w:left w:w="55" w:type="dxa"/>
          <w:bottom w:w="55" w:type="dxa"/>
          <w:right w:w="55" w:type="dxa"/>
        </w:tblCellMar>
      </w:tblPr>
      <w:tblGrid>
        <w:gridCol w:w="992"/>
        <w:gridCol w:w="1203"/>
        <w:gridCol w:w="2228"/>
        <w:gridCol w:w="2183"/>
        <w:gridCol w:w="1233"/>
        <w:gridCol w:w="1231"/>
      </w:tblGrid>
      <w:tr>
        <w:trPr/>
        <w:tc>
          <w:tcPr>
            <w:tcW w:w="992" w:type="dxa"/>
            <w:tcBorders>
              <w:top w:val="single" w:sz="4" w:space="0" w:color="000000"/>
              <w:left w:val="single" w:sz="4" w:space="0" w:color="000000"/>
              <w:bottom w:val="single" w:sz="4" w:space="0" w:color="000000"/>
            </w:tcBorders>
            <w:vAlign w:val="center"/>
          </w:tcPr>
          <w:p>
            <w:pPr>
              <w:pStyle w:val="Style71"/>
              <w:widowControl w:val="false"/>
              <w:rPr>
                <w:rFonts w:ascii="Times New Roman" w:hAnsi="Times New Roman"/>
              </w:rPr>
            </w:pPr>
            <w:r>
              <w:rPr>
                <w:rFonts w:ascii="Times New Roman" w:hAnsi="Times New Roman"/>
              </w:rPr>
              <w:t>Створ/Пикет/Куст</w:t>
            </w:r>
          </w:p>
        </w:tc>
        <w:tc>
          <w:tcPr>
            <w:tcW w:w="1203" w:type="dxa"/>
            <w:tcBorders>
              <w:top w:val="single" w:sz="4" w:space="0" w:color="000000"/>
              <w:left w:val="single" w:sz="4" w:space="0" w:color="000000"/>
              <w:bottom w:val="single" w:sz="4" w:space="0" w:color="000000"/>
            </w:tcBorders>
            <w:vAlign w:val="center"/>
          </w:tcPr>
          <w:p>
            <w:pPr>
              <w:pStyle w:val="Style71"/>
              <w:widowControl w:val="false"/>
              <w:rPr>
                <w:rFonts w:ascii="Times New Roman" w:hAnsi="Times New Roman"/>
              </w:rPr>
            </w:pPr>
            <w:r>
              <w:rPr>
                <w:rFonts w:ascii="Times New Roman" w:hAnsi="Times New Roman"/>
              </w:rPr>
              <w:t>Номер пьезометра</w:t>
            </w:r>
          </w:p>
        </w:tc>
        <w:tc>
          <w:tcPr>
            <w:tcW w:w="2228" w:type="dxa"/>
            <w:tcBorders>
              <w:top w:val="single" w:sz="4" w:space="0" w:color="000000"/>
              <w:left w:val="single" w:sz="4" w:space="0" w:color="000000"/>
              <w:bottom w:val="single" w:sz="4" w:space="0" w:color="000000"/>
            </w:tcBorders>
            <w:vAlign w:val="center"/>
          </w:tcPr>
          <w:p>
            <w:pPr>
              <w:pStyle w:val="Style71"/>
              <w:widowControl w:val="false"/>
              <w:rPr>
                <w:rFonts w:ascii="Times New Roman" w:hAnsi="Times New Roman"/>
              </w:rPr>
            </w:pPr>
            <w:r>
              <w:rPr>
                <w:rFonts w:ascii="Times New Roman" w:hAnsi="Times New Roman"/>
              </w:rPr>
              <w:t>Абсолютная отметка верха трубы пьезометра, м</w:t>
            </w:r>
          </w:p>
        </w:tc>
        <w:tc>
          <w:tcPr>
            <w:tcW w:w="2183" w:type="dxa"/>
            <w:tcBorders>
              <w:top w:val="single" w:sz="4" w:space="0" w:color="000000"/>
              <w:left w:val="single" w:sz="4" w:space="0" w:color="000000"/>
              <w:bottom w:val="single" w:sz="4" w:space="0" w:color="000000"/>
            </w:tcBorders>
            <w:vAlign w:val="center"/>
          </w:tcPr>
          <w:p>
            <w:pPr>
              <w:pStyle w:val="Style71"/>
              <w:widowControl w:val="false"/>
              <w:rPr>
                <w:rFonts w:ascii="Times New Roman" w:hAnsi="Times New Roman"/>
              </w:rPr>
            </w:pPr>
            <w:r>
              <w:rPr>
                <w:rFonts w:ascii="Times New Roman" w:hAnsi="Times New Roman"/>
              </w:rPr>
              <w:t>Глубина от верха трубы пьезометра до воды, м</w:t>
            </w:r>
          </w:p>
        </w:tc>
        <w:tc>
          <w:tcPr>
            <w:tcW w:w="1233" w:type="dxa"/>
            <w:tcBorders>
              <w:top w:val="single" w:sz="4" w:space="0" w:color="000000"/>
              <w:left w:val="single" w:sz="4" w:space="0" w:color="000000"/>
              <w:bottom w:val="single" w:sz="4" w:space="0" w:color="000000"/>
            </w:tcBorders>
            <w:vAlign w:val="center"/>
          </w:tcPr>
          <w:p>
            <w:pPr>
              <w:pStyle w:val="Style71"/>
              <w:widowControl w:val="false"/>
              <w:rPr>
                <w:rFonts w:ascii="Times New Roman" w:hAnsi="Times New Roman"/>
              </w:rPr>
            </w:pPr>
            <w:r>
              <w:rPr>
                <w:rFonts w:ascii="Times New Roman" w:hAnsi="Times New Roman"/>
              </w:rPr>
              <w:t>Уровень ВБ, м</w:t>
            </w:r>
          </w:p>
        </w:tc>
        <w:tc>
          <w:tcPr>
            <w:tcW w:w="1231" w:type="dxa"/>
            <w:tcBorders>
              <w:top w:val="single" w:sz="4" w:space="0" w:color="000000"/>
              <w:left w:val="single" w:sz="4" w:space="0" w:color="000000"/>
              <w:bottom w:val="single" w:sz="4" w:space="0" w:color="000000"/>
              <w:right w:val="single" w:sz="4" w:space="0" w:color="000000"/>
            </w:tcBorders>
            <w:vAlign w:val="center"/>
          </w:tcPr>
          <w:p>
            <w:pPr>
              <w:pStyle w:val="Style71"/>
              <w:widowControl w:val="false"/>
              <w:rPr>
                <w:rFonts w:ascii="Times New Roman" w:hAnsi="Times New Roman"/>
              </w:rPr>
            </w:pPr>
            <w:r>
              <w:rPr>
                <w:rFonts w:ascii="Times New Roman" w:hAnsi="Times New Roman"/>
              </w:rPr>
              <w:t>Уровень НБ,м</w:t>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99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0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228"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2183" w:type="dxa"/>
            <w:tcBorders>
              <w:left w:val="single" w:sz="4" w:space="0" w:color="000000"/>
              <w:bottom w:val="single" w:sz="4" w:space="0" w:color="000000"/>
            </w:tcBorders>
          </w:tcPr>
          <w:p>
            <w:pPr>
              <w:pStyle w:val="Style71"/>
              <w:widowControl w:val="false"/>
              <w:rPr/>
            </w:pPr>
            <w:r>
              <w:rPr/>
            </w:r>
          </w:p>
        </w:tc>
        <w:tc>
          <w:tcPr>
            <w:tcW w:w="1233" w:type="dxa"/>
            <w:tcBorders>
              <w:left w:val="single" w:sz="4" w:space="0" w:color="000000"/>
              <w:bottom w:val="single" w:sz="4" w:space="0" w:color="000000"/>
            </w:tcBorders>
          </w:tcPr>
          <w:p>
            <w:pPr>
              <w:pStyle w:val="Style71"/>
              <w:widowControl w:val="false"/>
              <w:rPr/>
            </w:pPr>
            <w:r>
              <w:rPr/>
            </w:r>
          </w:p>
        </w:tc>
        <w:tc>
          <w:tcPr>
            <w:tcW w:w="1231" w:type="dxa"/>
            <w:tcBorders>
              <w:left w:val="single" w:sz="4" w:space="0" w:color="000000"/>
              <w:bottom w:val="single" w:sz="4" w:space="0" w:color="000000"/>
              <w:right w:val="single" w:sz="4" w:space="0" w:color="000000"/>
            </w:tcBorders>
          </w:tcPr>
          <w:p>
            <w:pPr>
              <w:pStyle w:val="Style71"/>
              <w:widowControl w:val="false"/>
              <w:rPr/>
            </w:pPr>
            <w:r>
              <w:rPr/>
            </w:r>
          </w:p>
        </w:tc>
      </w:tr>
    </w:tbl>
    <w:p>
      <w:pPr>
        <w:pStyle w:val="Normal"/>
        <w:spacing w:lineRule="auto" w:line="240" w:before="0" w:after="0"/>
        <w:ind w:left="0" w:right="0" w:hanging="0"/>
        <w:jc w:val="center"/>
        <w:rPr>
          <w:rFonts w:ascii="Times New Roman" w:hAnsi="Times New Roman"/>
        </w:rPr>
      </w:pPr>
      <w:r>
        <w:rPr>
          <w:rFonts w:ascii="Times New Roman" w:hAnsi="Times New Roman"/>
        </w:rPr>
      </w:r>
    </w:p>
    <w:p>
      <w:pPr>
        <w:sectPr>
          <w:headerReference w:type="default" r:id="rId115"/>
          <w:headerReference w:type="first" r:id="rId116"/>
          <w:footerReference w:type="default" r:id="rId117"/>
          <w:footerReference w:type="first" r:id="rId118"/>
          <w:type w:val="nextPage"/>
          <w:pgSz w:w="11906" w:h="16838"/>
          <w:pgMar w:left="1701" w:right="1134" w:gutter="0" w:header="397" w:top="1611" w:footer="4" w:bottom="853"/>
          <w:pgNumType w:fmt="decimal"/>
          <w:formProt w:val="false"/>
          <w:textDirection w:val="lrTb"/>
          <w:docGrid w:type="default" w:linePitch="360" w:charSpace="4096"/>
        </w:sectPr>
        <w:pStyle w:val="Normal"/>
        <w:spacing w:lineRule="auto" w:line="240" w:before="0" w:after="0"/>
        <w:ind w:left="0" w:right="0" w:hanging="0"/>
        <w:jc w:val="left"/>
        <w:rPr>
          <w:rFonts w:ascii="Times New Roman" w:hAnsi="Times New Roman"/>
        </w:rPr>
      </w:pPr>
      <w:r>
        <w:rPr>
          <w:rFonts w:cs="Times New Roman" w:ascii="Times New Roman" w:hAnsi="Times New Roman"/>
          <w:szCs w:val="32"/>
        </w:rPr>
        <w:t>Подпись наблюдателя: _____________________ ФИО наблюдателя: ____________________</w:t>
      </w:r>
    </w:p>
    <w:p>
      <w:pPr>
        <w:pStyle w:val="Normal"/>
        <w:spacing w:lineRule="auto" w:line="240" w:before="0" w:after="0"/>
        <w:jc w:val="center"/>
        <w:rPr>
          <w:rFonts w:ascii="Times New Roman" w:hAnsi="Times New Roman" w:cs="Times New Roman"/>
          <w:b/>
          <w:bCs/>
          <w:szCs w:val="32"/>
        </w:rPr>
      </w:pPr>
      <w:r>
        <w:rPr>
          <w:rFonts w:cs="Times New Roman" w:ascii="Times New Roman" w:hAnsi="Times New Roman"/>
          <w:b/>
          <w:bCs/>
          <w:szCs w:val="32"/>
        </w:rPr>
        <w:t>Форма журнала наблюдений за фильтрационными расходами</w:t>
      </w:r>
    </w:p>
    <w:p>
      <w:pPr>
        <w:pStyle w:val="Normal"/>
        <w:spacing w:lineRule="auto" w:line="240" w:before="0" w:after="0"/>
        <w:jc w:val="center"/>
        <w:rPr>
          <w:rFonts w:ascii="Times New Roman" w:hAnsi="Times New Roman" w:cs="Times New Roman"/>
          <w:b/>
          <w:bCs/>
          <w:szCs w:val="32"/>
        </w:rPr>
      </w:pPr>
      <w:r>
        <w:rPr>
          <w:rFonts w:cs="Times New Roman" w:ascii="Times New Roman" w:hAnsi="Times New Roman"/>
          <w:b/>
          <w:bCs/>
          <w:szCs w:val="32"/>
        </w:rPr>
      </w:r>
    </w:p>
    <w:tbl>
      <w:tblPr>
        <w:tblW w:w="5000" w:type="pct"/>
        <w:jc w:val="left"/>
        <w:tblInd w:w="-5" w:type="dxa"/>
        <w:tblLayout w:type="fixed"/>
        <w:tblCellMar>
          <w:top w:w="55" w:type="dxa"/>
          <w:left w:w="55" w:type="dxa"/>
          <w:bottom w:w="55" w:type="dxa"/>
          <w:right w:w="55" w:type="dxa"/>
        </w:tblCellMar>
      </w:tblPr>
      <w:tblGrid>
        <w:gridCol w:w="14570"/>
      </w:tblGrid>
      <w:tr>
        <w:trPr>
          <w:trHeight w:val="2833" w:hRule="atLeast"/>
        </w:trPr>
        <w:tc>
          <w:tcPr>
            <w:tcW w:w="14570" w:type="dxa"/>
            <w:tcBorders>
              <w:top w:val="single" w:sz="4" w:space="0" w:color="000000"/>
              <w:left w:val="single" w:sz="4" w:space="0" w:color="000000"/>
              <w:bottom w:val="single" w:sz="4" w:space="0" w:color="000000"/>
              <w:right w:val="single" w:sz="4" w:space="0" w:color="000000"/>
            </w:tcBorders>
          </w:tcPr>
          <w:p>
            <w:pPr>
              <w:pStyle w:val="Style71"/>
              <w:widowControl w:val="false"/>
              <w:rPr>
                <w:rFonts w:ascii="Times New Roman" w:hAnsi="Times New Roman"/>
              </w:rPr>
            </w:pPr>
            <w:r>
              <w:rPr>
                <w:rFonts w:ascii="Times New Roman" w:hAnsi="Times New Roman"/>
              </w:rPr>
              <w:t>Наименование организации выполняющей наблюдения</w:t>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t>ПОЛЕВОЙ ЖУРНАЛ №___</w:t>
            </w:r>
          </w:p>
          <w:p>
            <w:pPr>
              <w:pStyle w:val="Style71"/>
              <w:widowControl w:val="false"/>
              <w:rPr>
                <w:rFonts w:ascii="Times New Roman" w:hAnsi="Times New Roman"/>
              </w:rPr>
            </w:pPr>
            <w:r>
              <w:rPr>
                <w:rFonts w:ascii="Times New Roman" w:hAnsi="Times New Roman"/>
              </w:rPr>
              <w:t>записи наблюдений за расходами фильтрации</w:t>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t>Гидроузел: _________________________________________________________</w:t>
            </w:r>
          </w:p>
          <w:p>
            <w:pPr>
              <w:pStyle w:val="Style71"/>
              <w:widowControl w:val="false"/>
              <w:rPr>
                <w:rFonts w:ascii="Times New Roman" w:hAnsi="Times New Roman"/>
              </w:rPr>
            </w:pPr>
            <w:r>
              <w:rPr>
                <w:rFonts w:ascii="Times New Roman" w:hAnsi="Times New Roman"/>
              </w:rPr>
              <w:t>Сооружение: _______________________________________________________</w:t>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t xml:space="preserve">Начат  «___» _____________ 20   г.   </w:t>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t xml:space="preserve">    </w:t>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t xml:space="preserve">Окончен  «___» _____________ 20   г.                                                                </w:t>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tc>
      </w:tr>
    </w:tbl>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r>
        <w:br w:type="page"/>
      </w:r>
    </w:p>
    <w:p>
      <w:pPr>
        <w:pStyle w:val="Normal"/>
        <w:spacing w:lineRule="auto" w:line="240" w:before="0" w:after="0"/>
        <w:ind w:left="0" w:right="0" w:hanging="0"/>
        <w:jc w:val="left"/>
        <w:rPr>
          <w:rFonts w:ascii="Times New Roman" w:hAnsi="Times New Roman" w:cs="Times New Roman"/>
          <w:szCs w:val="32"/>
        </w:rPr>
      </w:pPr>
      <w:r>
        <w:rPr>
          <w:rFonts w:cs="Times New Roman" w:ascii="Times New Roman" w:hAnsi="Times New Roman"/>
          <w:szCs w:val="32"/>
        </w:rPr>
        <w:t>Дата: «___» ___________20___г. Время: ____</w:t>
      </w:r>
    </w:p>
    <w:p>
      <w:pPr>
        <w:pStyle w:val="Normal"/>
        <w:spacing w:lineRule="auto" w:line="240" w:before="0" w:after="0"/>
        <w:jc w:val="left"/>
        <w:rPr>
          <w:rFonts w:ascii="Times New Roman" w:hAnsi="Times New Roman" w:cs="Times New Roman"/>
          <w:szCs w:val="32"/>
        </w:rPr>
      </w:pPr>
      <w:r>
        <w:rPr>
          <w:rFonts w:cs="Times New Roman" w:ascii="Times New Roman" w:hAnsi="Times New Roman"/>
          <w:szCs w:val="32"/>
        </w:rPr>
      </w:r>
    </w:p>
    <w:tbl>
      <w:tblPr>
        <w:tblW w:w="5000" w:type="pct"/>
        <w:jc w:val="left"/>
        <w:tblInd w:w="-5" w:type="dxa"/>
        <w:tblLayout w:type="fixed"/>
        <w:tblCellMar>
          <w:top w:w="55" w:type="dxa"/>
          <w:left w:w="55" w:type="dxa"/>
          <w:bottom w:w="55" w:type="dxa"/>
          <w:right w:w="55" w:type="dxa"/>
        </w:tblCellMar>
      </w:tblPr>
      <w:tblGrid>
        <w:gridCol w:w="2497"/>
        <w:gridCol w:w="1362"/>
        <w:gridCol w:w="1859"/>
        <w:gridCol w:w="1463"/>
        <w:gridCol w:w="1305"/>
        <w:gridCol w:w="1520"/>
        <w:gridCol w:w="1525"/>
        <w:gridCol w:w="1332"/>
        <w:gridCol w:w="1705"/>
      </w:tblGrid>
      <w:tr>
        <w:trPr/>
        <w:tc>
          <w:tcPr>
            <w:tcW w:w="2497" w:type="dxa"/>
            <w:vMerge w:val="restart"/>
            <w:tcBorders>
              <w:top w:val="single" w:sz="4" w:space="0" w:color="000000"/>
              <w:left w:val="single" w:sz="4" w:space="0" w:color="000000"/>
              <w:bottom w:val="single" w:sz="4" w:space="0" w:color="000000"/>
            </w:tcBorders>
            <w:vAlign w:val="center"/>
          </w:tcPr>
          <w:p>
            <w:pPr>
              <w:pStyle w:val="Style71"/>
              <w:widowControl w:val="false"/>
              <w:rPr>
                <w:rFonts w:ascii="Times New Roman" w:hAnsi="Times New Roman"/>
              </w:rPr>
            </w:pPr>
            <w:r>
              <w:rPr>
                <w:rFonts w:ascii="Times New Roman" w:hAnsi="Times New Roman"/>
              </w:rPr>
              <w:t>Место замера</w:t>
            </w:r>
          </w:p>
        </w:tc>
        <w:tc>
          <w:tcPr>
            <w:tcW w:w="1362" w:type="dxa"/>
            <w:vMerge w:val="restart"/>
            <w:tcBorders>
              <w:top w:val="single" w:sz="4" w:space="0" w:color="000000"/>
              <w:left w:val="single" w:sz="4" w:space="0" w:color="000000"/>
              <w:bottom w:val="single" w:sz="4" w:space="0" w:color="000000"/>
            </w:tcBorders>
            <w:vAlign w:val="center"/>
          </w:tcPr>
          <w:p>
            <w:pPr>
              <w:pStyle w:val="Style71"/>
              <w:widowControl w:val="false"/>
              <w:rPr>
                <w:rFonts w:ascii="Times New Roman" w:hAnsi="Times New Roman"/>
              </w:rPr>
            </w:pPr>
            <w:r>
              <w:rPr>
                <w:rFonts w:ascii="Times New Roman" w:hAnsi="Times New Roman"/>
              </w:rPr>
              <w:t>Уровень ВБ</w:t>
            </w:r>
          </w:p>
        </w:tc>
        <w:tc>
          <w:tcPr>
            <w:tcW w:w="3322" w:type="dxa"/>
            <w:gridSpan w:val="2"/>
            <w:tcBorders>
              <w:top w:val="single" w:sz="4" w:space="0" w:color="000000"/>
              <w:left w:val="single" w:sz="4" w:space="0" w:color="000000"/>
              <w:bottom w:val="single" w:sz="4" w:space="0" w:color="000000"/>
            </w:tcBorders>
            <w:vAlign w:val="center"/>
          </w:tcPr>
          <w:p>
            <w:pPr>
              <w:pStyle w:val="Style71"/>
              <w:widowControl w:val="false"/>
              <w:rPr>
                <w:rFonts w:ascii="Times New Roman" w:hAnsi="Times New Roman"/>
              </w:rPr>
            </w:pPr>
            <w:r>
              <w:rPr>
                <w:rFonts w:ascii="Times New Roman" w:hAnsi="Times New Roman"/>
              </w:rPr>
              <w:t>Водослив</w:t>
            </w:r>
          </w:p>
        </w:tc>
        <w:tc>
          <w:tcPr>
            <w:tcW w:w="4350" w:type="dxa"/>
            <w:gridSpan w:val="3"/>
            <w:tcBorders>
              <w:top w:val="single" w:sz="4" w:space="0" w:color="000000"/>
              <w:left w:val="single" w:sz="4" w:space="0" w:color="000000"/>
              <w:bottom w:val="single" w:sz="4" w:space="0" w:color="000000"/>
            </w:tcBorders>
            <w:vAlign w:val="center"/>
          </w:tcPr>
          <w:p>
            <w:pPr>
              <w:pStyle w:val="Style71"/>
              <w:widowControl w:val="false"/>
              <w:rPr>
                <w:rFonts w:ascii="Times New Roman" w:hAnsi="Times New Roman"/>
              </w:rPr>
            </w:pPr>
            <w:r>
              <w:rPr>
                <w:rFonts w:ascii="Times New Roman" w:hAnsi="Times New Roman"/>
              </w:rPr>
              <w:t>Объемный способ</w:t>
            </w:r>
          </w:p>
        </w:tc>
        <w:tc>
          <w:tcPr>
            <w:tcW w:w="1332" w:type="dxa"/>
            <w:vMerge w:val="restart"/>
            <w:tcBorders>
              <w:top w:val="single" w:sz="4" w:space="0" w:color="000000"/>
              <w:left w:val="single" w:sz="4" w:space="0" w:color="000000"/>
              <w:bottom w:val="single" w:sz="4" w:space="0" w:color="000000"/>
            </w:tcBorders>
            <w:vAlign w:val="center"/>
          </w:tcPr>
          <w:p>
            <w:pPr>
              <w:pStyle w:val="Style71"/>
              <w:widowControl w:val="false"/>
              <w:rPr>
                <w:rFonts w:ascii="Times New Roman" w:hAnsi="Times New Roman"/>
              </w:rPr>
            </w:pPr>
            <w:r>
              <w:rPr>
                <w:rFonts w:ascii="Times New Roman" w:hAnsi="Times New Roman"/>
              </w:rPr>
              <w:t>Температура воды</w:t>
            </w:r>
          </w:p>
        </w:tc>
        <w:tc>
          <w:tcPr>
            <w:tcW w:w="1705" w:type="dxa"/>
            <w:vMerge w:val="restart"/>
            <w:tcBorders>
              <w:top w:val="single" w:sz="4" w:space="0" w:color="000000"/>
              <w:left w:val="single" w:sz="4" w:space="0" w:color="000000"/>
              <w:bottom w:val="single" w:sz="4" w:space="0" w:color="000000"/>
              <w:right w:val="single" w:sz="4" w:space="0" w:color="000000"/>
            </w:tcBorders>
            <w:vAlign w:val="center"/>
          </w:tcPr>
          <w:p>
            <w:pPr>
              <w:pStyle w:val="Style71"/>
              <w:widowControl w:val="false"/>
              <w:rPr>
                <w:rFonts w:ascii="Times New Roman" w:hAnsi="Times New Roman"/>
              </w:rPr>
            </w:pPr>
            <w:r>
              <w:rPr>
                <w:rFonts w:ascii="Times New Roman" w:hAnsi="Times New Roman"/>
              </w:rPr>
              <w:t>Вода (прозрачная, мутна)</w:t>
            </w:r>
          </w:p>
        </w:tc>
      </w:tr>
      <w:tr>
        <w:trPr/>
        <w:tc>
          <w:tcPr>
            <w:tcW w:w="2497" w:type="dxa"/>
            <w:vMerge w:val="continue"/>
            <w:tcBorders>
              <w:top w:val="single" w:sz="4" w:space="0" w:color="000000"/>
              <w:left w:val="single" w:sz="4" w:space="0" w:color="000000"/>
              <w:bottom w:val="single" w:sz="4" w:space="0" w:color="000000"/>
            </w:tcBorders>
            <w:vAlign w:val="center"/>
          </w:tcPr>
          <w:p>
            <w:pPr>
              <w:pStyle w:val="Normal"/>
              <w:widowControl w:val="false"/>
              <w:rPr/>
            </w:pPr>
            <w:r>
              <w:rPr/>
            </w:r>
          </w:p>
        </w:tc>
        <w:tc>
          <w:tcPr>
            <w:tcW w:w="1362" w:type="dxa"/>
            <w:vMerge w:val="continue"/>
            <w:tcBorders>
              <w:top w:val="single" w:sz="4" w:space="0" w:color="000000"/>
              <w:left w:val="single" w:sz="4" w:space="0" w:color="000000"/>
              <w:bottom w:val="single" w:sz="4" w:space="0" w:color="000000"/>
            </w:tcBorders>
            <w:vAlign w:val="center"/>
          </w:tcPr>
          <w:p>
            <w:pPr>
              <w:pStyle w:val="Normal"/>
              <w:widowControl w:val="false"/>
              <w:rPr/>
            </w:pPr>
            <w:r>
              <w:rPr/>
            </w:r>
          </w:p>
        </w:tc>
        <w:tc>
          <w:tcPr>
            <w:tcW w:w="1859"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t>Напор на водосливе, см</w:t>
            </w:r>
          </w:p>
        </w:tc>
        <w:tc>
          <w:tcPr>
            <w:tcW w:w="146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t>Расход л/с</w:t>
            </w:r>
          </w:p>
        </w:tc>
        <w:tc>
          <w:tcPr>
            <w:tcW w:w="130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t>Объем сосуда, л</w:t>
            </w:r>
          </w:p>
        </w:tc>
        <w:tc>
          <w:tcPr>
            <w:tcW w:w="1520"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t>Время наполения,с</w:t>
            </w:r>
          </w:p>
        </w:tc>
        <w:tc>
          <w:tcPr>
            <w:tcW w:w="1525"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t>Расход, л/с</w:t>
            </w:r>
          </w:p>
        </w:tc>
        <w:tc>
          <w:tcPr>
            <w:tcW w:w="1332" w:type="dxa"/>
            <w:vMerge w:val="continue"/>
            <w:tcBorders>
              <w:left w:val="single" w:sz="4" w:space="0" w:color="000000"/>
              <w:bottom w:val="single" w:sz="4" w:space="0" w:color="000000"/>
              <w:right w:val="single" w:sz="4" w:space="0" w:color="000000"/>
            </w:tcBorders>
            <w:vAlign w:val="center"/>
          </w:tcPr>
          <w:p>
            <w:pPr>
              <w:pStyle w:val="Normal"/>
              <w:widowControl w:val="false"/>
              <w:rPr/>
            </w:pPr>
            <w:r>
              <w:rPr/>
            </w:r>
          </w:p>
        </w:tc>
        <w:tc>
          <w:tcPr>
            <w:tcW w:w="17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c>
          <w:tcPr>
            <w:tcW w:w="2497"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36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859"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463" w:type="dxa"/>
            <w:tcBorders>
              <w:left w:val="single" w:sz="4" w:space="0" w:color="000000"/>
              <w:bottom w:val="single" w:sz="4" w:space="0" w:color="000000"/>
            </w:tcBorders>
          </w:tcPr>
          <w:p>
            <w:pPr>
              <w:pStyle w:val="Style71"/>
              <w:widowControl w:val="false"/>
              <w:rPr/>
            </w:pPr>
            <w:r>
              <w:rPr/>
            </w:r>
          </w:p>
        </w:tc>
        <w:tc>
          <w:tcPr>
            <w:tcW w:w="1305" w:type="dxa"/>
            <w:tcBorders>
              <w:left w:val="single" w:sz="4" w:space="0" w:color="000000"/>
              <w:bottom w:val="single" w:sz="4" w:space="0" w:color="000000"/>
            </w:tcBorders>
          </w:tcPr>
          <w:p>
            <w:pPr>
              <w:pStyle w:val="Style71"/>
              <w:widowControl w:val="false"/>
              <w:rPr/>
            </w:pPr>
            <w:r>
              <w:rPr/>
            </w:r>
          </w:p>
        </w:tc>
        <w:tc>
          <w:tcPr>
            <w:tcW w:w="1520" w:type="dxa"/>
            <w:tcBorders>
              <w:left w:val="single" w:sz="4" w:space="0" w:color="000000"/>
              <w:bottom w:val="single" w:sz="4" w:space="0" w:color="000000"/>
            </w:tcBorders>
          </w:tcPr>
          <w:p>
            <w:pPr>
              <w:pStyle w:val="Style71"/>
              <w:widowControl w:val="false"/>
              <w:rPr/>
            </w:pPr>
            <w:r>
              <w:rPr/>
            </w:r>
          </w:p>
        </w:tc>
        <w:tc>
          <w:tcPr>
            <w:tcW w:w="1525" w:type="dxa"/>
            <w:tcBorders>
              <w:left w:val="single" w:sz="4" w:space="0" w:color="000000"/>
              <w:bottom w:val="single" w:sz="4" w:space="0" w:color="000000"/>
            </w:tcBorders>
          </w:tcPr>
          <w:p>
            <w:pPr>
              <w:pStyle w:val="Style71"/>
              <w:widowControl w:val="false"/>
              <w:rPr/>
            </w:pPr>
            <w:r>
              <w:rPr/>
            </w:r>
          </w:p>
        </w:tc>
        <w:tc>
          <w:tcPr>
            <w:tcW w:w="1332" w:type="dxa"/>
            <w:tcBorders>
              <w:left w:val="single" w:sz="4" w:space="0" w:color="000000"/>
              <w:bottom w:val="single" w:sz="4" w:space="0" w:color="000000"/>
            </w:tcBorders>
          </w:tcPr>
          <w:p>
            <w:pPr>
              <w:pStyle w:val="Style71"/>
              <w:widowControl w:val="false"/>
              <w:rPr/>
            </w:pPr>
            <w:r>
              <w:rPr/>
            </w:r>
          </w:p>
        </w:tc>
        <w:tc>
          <w:tcPr>
            <w:tcW w:w="1705"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497"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36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859"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463" w:type="dxa"/>
            <w:tcBorders>
              <w:left w:val="single" w:sz="4" w:space="0" w:color="000000"/>
              <w:bottom w:val="single" w:sz="4" w:space="0" w:color="000000"/>
            </w:tcBorders>
          </w:tcPr>
          <w:p>
            <w:pPr>
              <w:pStyle w:val="Style71"/>
              <w:widowControl w:val="false"/>
              <w:rPr/>
            </w:pPr>
            <w:r>
              <w:rPr/>
            </w:r>
          </w:p>
        </w:tc>
        <w:tc>
          <w:tcPr>
            <w:tcW w:w="1305" w:type="dxa"/>
            <w:tcBorders>
              <w:left w:val="single" w:sz="4" w:space="0" w:color="000000"/>
              <w:bottom w:val="single" w:sz="4" w:space="0" w:color="000000"/>
            </w:tcBorders>
          </w:tcPr>
          <w:p>
            <w:pPr>
              <w:pStyle w:val="Style71"/>
              <w:widowControl w:val="false"/>
              <w:rPr/>
            </w:pPr>
            <w:r>
              <w:rPr/>
            </w:r>
          </w:p>
        </w:tc>
        <w:tc>
          <w:tcPr>
            <w:tcW w:w="1520" w:type="dxa"/>
            <w:tcBorders>
              <w:left w:val="single" w:sz="4" w:space="0" w:color="000000"/>
              <w:bottom w:val="single" w:sz="4" w:space="0" w:color="000000"/>
            </w:tcBorders>
          </w:tcPr>
          <w:p>
            <w:pPr>
              <w:pStyle w:val="Style71"/>
              <w:widowControl w:val="false"/>
              <w:rPr/>
            </w:pPr>
            <w:r>
              <w:rPr/>
            </w:r>
          </w:p>
        </w:tc>
        <w:tc>
          <w:tcPr>
            <w:tcW w:w="1525" w:type="dxa"/>
            <w:tcBorders>
              <w:left w:val="single" w:sz="4" w:space="0" w:color="000000"/>
              <w:bottom w:val="single" w:sz="4" w:space="0" w:color="000000"/>
            </w:tcBorders>
          </w:tcPr>
          <w:p>
            <w:pPr>
              <w:pStyle w:val="Style71"/>
              <w:widowControl w:val="false"/>
              <w:rPr/>
            </w:pPr>
            <w:r>
              <w:rPr/>
            </w:r>
          </w:p>
        </w:tc>
        <w:tc>
          <w:tcPr>
            <w:tcW w:w="1332" w:type="dxa"/>
            <w:tcBorders>
              <w:left w:val="single" w:sz="4" w:space="0" w:color="000000"/>
              <w:bottom w:val="single" w:sz="4" w:space="0" w:color="000000"/>
            </w:tcBorders>
          </w:tcPr>
          <w:p>
            <w:pPr>
              <w:pStyle w:val="Style71"/>
              <w:widowControl w:val="false"/>
              <w:rPr/>
            </w:pPr>
            <w:r>
              <w:rPr/>
            </w:r>
          </w:p>
        </w:tc>
        <w:tc>
          <w:tcPr>
            <w:tcW w:w="1705"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497"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36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859"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463" w:type="dxa"/>
            <w:tcBorders>
              <w:left w:val="single" w:sz="4" w:space="0" w:color="000000"/>
              <w:bottom w:val="single" w:sz="4" w:space="0" w:color="000000"/>
            </w:tcBorders>
          </w:tcPr>
          <w:p>
            <w:pPr>
              <w:pStyle w:val="Style71"/>
              <w:widowControl w:val="false"/>
              <w:rPr/>
            </w:pPr>
            <w:r>
              <w:rPr/>
            </w:r>
          </w:p>
        </w:tc>
        <w:tc>
          <w:tcPr>
            <w:tcW w:w="1305" w:type="dxa"/>
            <w:tcBorders>
              <w:left w:val="single" w:sz="4" w:space="0" w:color="000000"/>
              <w:bottom w:val="single" w:sz="4" w:space="0" w:color="000000"/>
            </w:tcBorders>
          </w:tcPr>
          <w:p>
            <w:pPr>
              <w:pStyle w:val="Style71"/>
              <w:widowControl w:val="false"/>
              <w:rPr/>
            </w:pPr>
            <w:r>
              <w:rPr/>
            </w:r>
          </w:p>
        </w:tc>
        <w:tc>
          <w:tcPr>
            <w:tcW w:w="1520" w:type="dxa"/>
            <w:tcBorders>
              <w:left w:val="single" w:sz="4" w:space="0" w:color="000000"/>
              <w:bottom w:val="single" w:sz="4" w:space="0" w:color="000000"/>
            </w:tcBorders>
          </w:tcPr>
          <w:p>
            <w:pPr>
              <w:pStyle w:val="Style71"/>
              <w:widowControl w:val="false"/>
              <w:rPr/>
            </w:pPr>
            <w:r>
              <w:rPr/>
            </w:r>
          </w:p>
        </w:tc>
        <w:tc>
          <w:tcPr>
            <w:tcW w:w="1525" w:type="dxa"/>
            <w:tcBorders>
              <w:left w:val="single" w:sz="4" w:space="0" w:color="000000"/>
              <w:bottom w:val="single" w:sz="4" w:space="0" w:color="000000"/>
            </w:tcBorders>
          </w:tcPr>
          <w:p>
            <w:pPr>
              <w:pStyle w:val="Style71"/>
              <w:widowControl w:val="false"/>
              <w:rPr/>
            </w:pPr>
            <w:r>
              <w:rPr/>
            </w:r>
          </w:p>
        </w:tc>
        <w:tc>
          <w:tcPr>
            <w:tcW w:w="1332" w:type="dxa"/>
            <w:tcBorders>
              <w:left w:val="single" w:sz="4" w:space="0" w:color="000000"/>
              <w:bottom w:val="single" w:sz="4" w:space="0" w:color="000000"/>
            </w:tcBorders>
          </w:tcPr>
          <w:p>
            <w:pPr>
              <w:pStyle w:val="Style71"/>
              <w:widowControl w:val="false"/>
              <w:rPr/>
            </w:pPr>
            <w:r>
              <w:rPr/>
            </w:r>
          </w:p>
        </w:tc>
        <w:tc>
          <w:tcPr>
            <w:tcW w:w="1705"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497"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36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859"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463" w:type="dxa"/>
            <w:tcBorders>
              <w:left w:val="single" w:sz="4" w:space="0" w:color="000000"/>
              <w:bottom w:val="single" w:sz="4" w:space="0" w:color="000000"/>
            </w:tcBorders>
          </w:tcPr>
          <w:p>
            <w:pPr>
              <w:pStyle w:val="Style71"/>
              <w:widowControl w:val="false"/>
              <w:rPr/>
            </w:pPr>
            <w:r>
              <w:rPr/>
            </w:r>
          </w:p>
        </w:tc>
        <w:tc>
          <w:tcPr>
            <w:tcW w:w="1305" w:type="dxa"/>
            <w:tcBorders>
              <w:left w:val="single" w:sz="4" w:space="0" w:color="000000"/>
              <w:bottom w:val="single" w:sz="4" w:space="0" w:color="000000"/>
            </w:tcBorders>
          </w:tcPr>
          <w:p>
            <w:pPr>
              <w:pStyle w:val="Style71"/>
              <w:widowControl w:val="false"/>
              <w:rPr/>
            </w:pPr>
            <w:r>
              <w:rPr/>
            </w:r>
          </w:p>
        </w:tc>
        <w:tc>
          <w:tcPr>
            <w:tcW w:w="1520" w:type="dxa"/>
            <w:tcBorders>
              <w:left w:val="single" w:sz="4" w:space="0" w:color="000000"/>
              <w:bottom w:val="single" w:sz="4" w:space="0" w:color="000000"/>
            </w:tcBorders>
          </w:tcPr>
          <w:p>
            <w:pPr>
              <w:pStyle w:val="Style71"/>
              <w:widowControl w:val="false"/>
              <w:rPr/>
            </w:pPr>
            <w:r>
              <w:rPr/>
            </w:r>
          </w:p>
        </w:tc>
        <w:tc>
          <w:tcPr>
            <w:tcW w:w="1525" w:type="dxa"/>
            <w:tcBorders>
              <w:left w:val="single" w:sz="4" w:space="0" w:color="000000"/>
              <w:bottom w:val="single" w:sz="4" w:space="0" w:color="000000"/>
            </w:tcBorders>
          </w:tcPr>
          <w:p>
            <w:pPr>
              <w:pStyle w:val="Style71"/>
              <w:widowControl w:val="false"/>
              <w:rPr/>
            </w:pPr>
            <w:r>
              <w:rPr/>
            </w:r>
          </w:p>
        </w:tc>
        <w:tc>
          <w:tcPr>
            <w:tcW w:w="1332" w:type="dxa"/>
            <w:tcBorders>
              <w:left w:val="single" w:sz="4" w:space="0" w:color="000000"/>
              <w:bottom w:val="single" w:sz="4" w:space="0" w:color="000000"/>
            </w:tcBorders>
          </w:tcPr>
          <w:p>
            <w:pPr>
              <w:pStyle w:val="Style71"/>
              <w:widowControl w:val="false"/>
              <w:rPr/>
            </w:pPr>
            <w:r>
              <w:rPr/>
            </w:r>
          </w:p>
        </w:tc>
        <w:tc>
          <w:tcPr>
            <w:tcW w:w="1705"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497"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36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859"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463" w:type="dxa"/>
            <w:tcBorders>
              <w:left w:val="single" w:sz="4" w:space="0" w:color="000000"/>
              <w:bottom w:val="single" w:sz="4" w:space="0" w:color="000000"/>
            </w:tcBorders>
          </w:tcPr>
          <w:p>
            <w:pPr>
              <w:pStyle w:val="Style71"/>
              <w:widowControl w:val="false"/>
              <w:rPr/>
            </w:pPr>
            <w:r>
              <w:rPr/>
            </w:r>
          </w:p>
        </w:tc>
        <w:tc>
          <w:tcPr>
            <w:tcW w:w="1305" w:type="dxa"/>
            <w:tcBorders>
              <w:left w:val="single" w:sz="4" w:space="0" w:color="000000"/>
              <w:bottom w:val="single" w:sz="4" w:space="0" w:color="000000"/>
            </w:tcBorders>
          </w:tcPr>
          <w:p>
            <w:pPr>
              <w:pStyle w:val="Style71"/>
              <w:widowControl w:val="false"/>
              <w:rPr/>
            </w:pPr>
            <w:r>
              <w:rPr/>
            </w:r>
          </w:p>
        </w:tc>
        <w:tc>
          <w:tcPr>
            <w:tcW w:w="1520" w:type="dxa"/>
            <w:tcBorders>
              <w:left w:val="single" w:sz="4" w:space="0" w:color="000000"/>
              <w:bottom w:val="single" w:sz="4" w:space="0" w:color="000000"/>
            </w:tcBorders>
          </w:tcPr>
          <w:p>
            <w:pPr>
              <w:pStyle w:val="Style71"/>
              <w:widowControl w:val="false"/>
              <w:rPr/>
            </w:pPr>
            <w:r>
              <w:rPr/>
            </w:r>
          </w:p>
        </w:tc>
        <w:tc>
          <w:tcPr>
            <w:tcW w:w="1525" w:type="dxa"/>
            <w:tcBorders>
              <w:left w:val="single" w:sz="4" w:space="0" w:color="000000"/>
              <w:bottom w:val="single" w:sz="4" w:space="0" w:color="000000"/>
            </w:tcBorders>
          </w:tcPr>
          <w:p>
            <w:pPr>
              <w:pStyle w:val="Style71"/>
              <w:widowControl w:val="false"/>
              <w:rPr/>
            </w:pPr>
            <w:r>
              <w:rPr/>
            </w:r>
          </w:p>
        </w:tc>
        <w:tc>
          <w:tcPr>
            <w:tcW w:w="1332" w:type="dxa"/>
            <w:tcBorders>
              <w:left w:val="single" w:sz="4" w:space="0" w:color="000000"/>
              <w:bottom w:val="single" w:sz="4" w:space="0" w:color="000000"/>
            </w:tcBorders>
          </w:tcPr>
          <w:p>
            <w:pPr>
              <w:pStyle w:val="Style71"/>
              <w:widowControl w:val="false"/>
              <w:rPr/>
            </w:pPr>
            <w:r>
              <w:rPr/>
            </w:r>
          </w:p>
        </w:tc>
        <w:tc>
          <w:tcPr>
            <w:tcW w:w="1705"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497"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36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859"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463" w:type="dxa"/>
            <w:tcBorders>
              <w:left w:val="single" w:sz="4" w:space="0" w:color="000000"/>
              <w:bottom w:val="single" w:sz="4" w:space="0" w:color="000000"/>
            </w:tcBorders>
          </w:tcPr>
          <w:p>
            <w:pPr>
              <w:pStyle w:val="Style71"/>
              <w:widowControl w:val="false"/>
              <w:rPr/>
            </w:pPr>
            <w:r>
              <w:rPr/>
            </w:r>
          </w:p>
        </w:tc>
        <w:tc>
          <w:tcPr>
            <w:tcW w:w="1305" w:type="dxa"/>
            <w:tcBorders>
              <w:left w:val="single" w:sz="4" w:space="0" w:color="000000"/>
              <w:bottom w:val="single" w:sz="4" w:space="0" w:color="000000"/>
            </w:tcBorders>
          </w:tcPr>
          <w:p>
            <w:pPr>
              <w:pStyle w:val="Style71"/>
              <w:widowControl w:val="false"/>
              <w:rPr/>
            </w:pPr>
            <w:r>
              <w:rPr/>
            </w:r>
          </w:p>
        </w:tc>
        <w:tc>
          <w:tcPr>
            <w:tcW w:w="1520" w:type="dxa"/>
            <w:tcBorders>
              <w:left w:val="single" w:sz="4" w:space="0" w:color="000000"/>
              <w:bottom w:val="single" w:sz="4" w:space="0" w:color="000000"/>
            </w:tcBorders>
          </w:tcPr>
          <w:p>
            <w:pPr>
              <w:pStyle w:val="Style71"/>
              <w:widowControl w:val="false"/>
              <w:rPr/>
            </w:pPr>
            <w:r>
              <w:rPr/>
            </w:r>
          </w:p>
        </w:tc>
        <w:tc>
          <w:tcPr>
            <w:tcW w:w="1525" w:type="dxa"/>
            <w:tcBorders>
              <w:left w:val="single" w:sz="4" w:space="0" w:color="000000"/>
              <w:bottom w:val="single" w:sz="4" w:space="0" w:color="000000"/>
            </w:tcBorders>
          </w:tcPr>
          <w:p>
            <w:pPr>
              <w:pStyle w:val="Style71"/>
              <w:widowControl w:val="false"/>
              <w:rPr/>
            </w:pPr>
            <w:r>
              <w:rPr/>
            </w:r>
          </w:p>
        </w:tc>
        <w:tc>
          <w:tcPr>
            <w:tcW w:w="1332" w:type="dxa"/>
            <w:tcBorders>
              <w:left w:val="single" w:sz="4" w:space="0" w:color="000000"/>
              <w:bottom w:val="single" w:sz="4" w:space="0" w:color="000000"/>
            </w:tcBorders>
          </w:tcPr>
          <w:p>
            <w:pPr>
              <w:pStyle w:val="Style71"/>
              <w:widowControl w:val="false"/>
              <w:rPr/>
            </w:pPr>
            <w:r>
              <w:rPr/>
            </w:r>
          </w:p>
        </w:tc>
        <w:tc>
          <w:tcPr>
            <w:tcW w:w="1705"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497"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36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859"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463" w:type="dxa"/>
            <w:tcBorders>
              <w:left w:val="single" w:sz="4" w:space="0" w:color="000000"/>
              <w:bottom w:val="single" w:sz="4" w:space="0" w:color="000000"/>
            </w:tcBorders>
          </w:tcPr>
          <w:p>
            <w:pPr>
              <w:pStyle w:val="Style71"/>
              <w:widowControl w:val="false"/>
              <w:rPr/>
            </w:pPr>
            <w:r>
              <w:rPr/>
            </w:r>
          </w:p>
        </w:tc>
        <w:tc>
          <w:tcPr>
            <w:tcW w:w="1305" w:type="dxa"/>
            <w:tcBorders>
              <w:left w:val="single" w:sz="4" w:space="0" w:color="000000"/>
              <w:bottom w:val="single" w:sz="4" w:space="0" w:color="000000"/>
            </w:tcBorders>
          </w:tcPr>
          <w:p>
            <w:pPr>
              <w:pStyle w:val="Style71"/>
              <w:widowControl w:val="false"/>
              <w:rPr/>
            </w:pPr>
            <w:r>
              <w:rPr/>
            </w:r>
          </w:p>
        </w:tc>
        <w:tc>
          <w:tcPr>
            <w:tcW w:w="1520" w:type="dxa"/>
            <w:tcBorders>
              <w:left w:val="single" w:sz="4" w:space="0" w:color="000000"/>
              <w:bottom w:val="single" w:sz="4" w:space="0" w:color="000000"/>
            </w:tcBorders>
          </w:tcPr>
          <w:p>
            <w:pPr>
              <w:pStyle w:val="Style71"/>
              <w:widowControl w:val="false"/>
              <w:rPr/>
            </w:pPr>
            <w:r>
              <w:rPr/>
            </w:r>
          </w:p>
        </w:tc>
        <w:tc>
          <w:tcPr>
            <w:tcW w:w="1525" w:type="dxa"/>
            <w:tcBorders>
              <w:left w:val="single" w:sz="4" w:space="0" w:color="000000"/>
              <w:bottom w:val="single" w:sz="4" w:space="0" w:color="000000"/>
            </w:tcBorders>
          </w:tcPr>
          <w:p>
            <w:pPr>
              <w:pStyle w:val="Style71"/>
              <w:widowControl w:val="false"/>
              <w:rPr/>
            </w:pPr>
            <w:r>
              <w:rPr/>
            </w:r>
          </w:p>
        </w:tc>
        <w:tc>
          <w:tcPr>
            <w:tcW w:w="1332" w:type="dxa"/>
            <w:tcBorders>
              <w:left w:val="single" w:sz="4" w:space="0" w:color="000000"/>
              <w:bottom w:val="single" w:sz="4" w:space="0" w:color="000000"/>
            </w:tcBorders>
          </w:tcPr>
          <w:p>
            <w:pPr>
              <w:pStyle w:val="Style71"/>
              <w:widowControl w:val="false"/>
              <w:rPr/>
            </w:pPr>
            <w:r>
              <w:rPr/>
            </w:r>
          </w:p>
        </w:tc>
        <w:tc>
          <w:tcPr>
            <w:tcW w:w="1705"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497"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36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859"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463" w:type="dxa"/>
            <w:tcBorders>
              <w:left w:val="single" w:sz="4" w:space="0" w:color="000000"/>
              <w:bottom w:val="single" w:sz="4" w:space="0" w:color="000000"/>
            </w:tcBorders>
          </w:tcPr>
          <w:p>
            <w:pPr>
              <w:pStyle w:val="Style71"/>
              <w:widowControl w:val="false"/>
              <w:rPr/>
            </w:pPr>
            <w:r>
              <w:rPr/>
            </w:r>
          </w:p>
        </w:tc>
        <w:tc>
          <w:tcPr>
            <w:tcW w:w="1305" w:type="dxa"/>
            <w:tcBorders>
              <w:left w:val="single" w:sz="4" w:space="0" w:color="000000"/>
              <w:bottom w:val="single" w:sz="4" w:space="0" w:color="000000"/>
            </w:tcBorders>
          </w:tcPr>
          <w:p>
            <w:pPr>
              <w:pStyle w:val="Style71"/>
              <w:widowControl w:val="false"/>
              <w:rPr/>
            </w:pPr>
            <w:r>
              <w:rPr/>
            </w:r>
          </w:p>
        </w:tc>
        <w:tc>
          <w:tcPr>
            <w:tcW w:w="1520" w:type="dxa"/>
            <w:tcBorders>
              <w:left w:val="single" w:sz="4" w:space="0" w:color="000000"/>
              <w:bottom w:val="single" w:sz="4" w:space="0" w:color="000000"/>
            </w:tcBorders>
          </w:tcPr>
          <w:p>
            <w:pPr>
              <w:pStyle w:val="Style71"/>
              <w:widowControl w:val="false"/>
              <w:rPr/>
            </w:pPr>
            <w:r>
              <w:rPr/>
            </w:r>
          </w:p>
        </w:tc>
        <w:tc>
          <w:tcPr>
            <w:tcW w:w="1525" w:type="dxa"/>
            <w:tcBorders>
              <w:left w:val="single" w:sz="4" w:space="0" w:color="000000"/>
              <w:bottom w:val="single" w:sz="4" w:space="0" w:color="000000"/>
            </w:tcBorders>
          </w:tcPr>
          <w:p>
            <w:pPr>
              <w:pStyle w:val="Style71"/>
              <w:widowControl w:val="false"/>
              <w:rPr/>
            </w:pPr>
            <w:r>
              <w:rPr/>
            </w:r>
          </w:p>
        </w:tc>
        <w:tc>
          <w:tcPr>
            <w:tcW w:w="1332" w:type="dxa"/>
            <w:tcBorders>
              <w:left w:val="single" w:sz="4" w:space="0" w:color="000000"/>
              <w:bottom w:val="single" w:sz="4" w:space="0" w:color="000000"/>
            </w:tcBorders>
          </w:tcPr>
          <w:p>
            <w:pPr>
              <w:pStyle w:val="Style71"/>
              <w:widowControl w:val="false"/>
              <w:rPr/>
            </w:pPr>
            <w:r>
              <w:rPr/>
            </w:r>
          </w:p>
        </w:tc>
        <w:tc>
          <w:tcPr>
            <w:tcW w:w="1705"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497"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36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859"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463" w:type="dxa"/>
            <w:tcBorders>
              <w:left w:val="single" w:sz="4" w:space="0" w:color="000000"/>
              <w:bottom w:val="single" w:sz="4" w:space="0" w:color="000000"/>
            </w:tcBorders>
          </w:tcPr>
          <w:p>
            <w:pPr>
              <w:pStyle w:val="Style71"/>
              <w:widowControl w:val="false"/>
              <w:rPr/>
            </w:pPr>
            <w:r>
              <w:rPr/>
            </w:r>
          </w:p>
        </w:tc>
        <w:tc>
          <w:tcPr>
            <w:tcW w:w="1305" w:type="dxa"/>
            <w:tcBorders>
              <w:left w:val="single" w:sz="4" w:space="0" w:color="000000"/>
              <w:bottom w:val="single" w:sz="4" w:space="0" w:color="000000"/>
            </w:tcBorders>
          </w:tcPr>
          <w:p>
            <w:pPr>
              <w:pStyle w:val="Style71"/>
              <w:widowControl w:val="false"/>
              <w:rPr/>
            </w:pPr>
            <w:r>
              <w:rPr/>
            </w:r>
          </w:p>
        </w:tc>
        <w:tc>
          <w:tcPr>
            <w:tcW w:w="1520" w:type="dxa"/>
            <w:tcBorders>
              <w:left w:val="single" w:sz="4" w:space="0" w:color="000000"/>
              <w:bottom w:val="single" w:sz="4" w:space="0" w:color="000000"/>
            </w:tcBorders>
          </w:tcPr>
          <w:p>
            <w:pPr>
              <w:pStyle w:val="Style71"/>
              <w:widowControl w:val="false"/>
              <w:rPr/>
            </w:pPr>
            <w:r>
              <w:rPr/>
            </w:r>
          </w:p>
        </w:tc>
        <w:tc>
          <w:tcPr>
            <w:tcW w:w="1525" w:type="dxa"/>
            <w:tcBorders>
              <w:left w:val="single" w:sz="4" w:space="0" w:color="000000"/>
              <w:bottom w:val="single" w:sz="4" w:space="0" w:color="000000"/>
            </w:tcBorders>
          </w:tcPr>
          <w:p>
            <w:pPr>
              <w:pStyle w:val="Style71"/>
              <w:widowControl w:val="false"/>
              <w:rPr/>
            </w:pPr>
            <w:r>
              <w:rPr/>
            </w:r>
          </w:p>
        </w:tc>
        <w:tc>
          <w:tcPr>
            <w:tcW w:w="1332" w:type="dxa"/>
            <w:tcBorders>
              <w:left w:val="single" w:sz="4" w:space="0" w:color="000000"/>
              <w:bottom w:val="single" w:sz="4" w:space="0" w:color="000000"/>
            </w:tcBorders>
          </w:tcPr>
          <w:p>
            <w:pPr>
              <w:pStyle w:val="Style71"/>
              <w:widowControl w:val="false"/>
              <w:rPr/>
            </w:pPr>
            <w:r>
              <w:rPr/>
            </w:r>
          </w:p>
        </w:tc>
        <w:tc>
          <w:tcPr>
            <w:tcW w:w="1705"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497"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36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859"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463" w:type="dxa"/>
            <w:tcBorders>
              <w:left w:val="single" w:sz="4" w:space="0" w:color="000000"/>
              <w:bottom w:val="single" w:sz="4" w:space="0" w:color="000000"/>
            </w:tcBorders>
          </w:tcPr>
          <w:p>
            <w:pPr>
              <w:pStyle w:val="Style71"/>
              <w:widowControl w:val="false"/>
              <w:rPr/>
            </w:pPr>
            <w:r>
              <w:rPr/>
            </w:r>
          </w:p>
        </w:tc>
        <w:tc>
          <w:tcPr>
            <w:tcW w:w="1305" w:type="dxa"/>
            <w:tcBorders>
              <w:left w:val="single" w:sz="4" w:space="0" w:color="000000"/>
              <w:bottom w:val="single" w:sz="4" w:space="0" w:color="000000"/>
            </w:tcBorders>
          </w:tcPr>
          <w:p>
            <w:pPr>
              <w:pStyle w:val="Style71"/>
              <w:widowControl w:val="false"/>
              <w:rPr/>
            </w:pPr>
            <w:r>
              <w:rPr/>
            </w:r>
          </w:p>
        </w:tc>
        <w:tc>
          <w:tcPr>
            <w:tcW w:w="1520" w:type="dxa"/>
            <w:tcBorders>
              <w:left w:val="single" w:sz="4" w:space="0" w:color="000000"/>
              <w:bottom w:val="single" w:sz="4" w:space="0" w:color="000000"/>
            </w:tcBorders>
          </w:tcPr>
          <w:p>
            <w:pPr>
              <w:pStyle w:val="Style71"/>
              <w:widowControl w:val="false"/>
              <w:rPr/>
            </w:pPr>
            <w:r>
              <w:rPr/>
            </w:r>
          </w:p>
        </w:tc>
        <w:tc>
          <w:tcPr>
            <w:tcW w:w="1525" w:type="dxa"/>
            <w:tcBorders>
              <w:left w:val="single" w:sz="4" w:space="0" w:color="000000"/>
              <w:bottom w:val="single" w:sz="4" w:space="0" w:color="000000"/>
            </w:tcBorders>
          </w:tcPr>
          <w:p>
            <w:pPr>
              <w:pStyle w:val="Style71"/>
              <w:widowControl w:val="false"/>
              <w:rPr/>
            </w:pPr>
            <w:r>
              <w:rPr/>
            </w:r>
          </w:p>
        </w:tc>
        <w:tc>
          <w:tcPr>
            <w:tcW w:w="1332" w:type="dxa"/>
            <w:tcBorders>
              <w:left w:val="single" w:sz="4" w:space="0" w:color="000000"/>
              <w:bottom w:val="single" w:sz="4" w:space="0" w:color="000000"/>
            </w:tcBorders>
          </w:tcPr>
          <w:p>
            <w:pPr>
              <w:pStyle w:val="Style71"/>
              <w:widowControl w:val="false"/>
              <w:rPr/>
            </w:pPr>
            <w:r>
              <w:rPr/>
            </w:r>
          </w:p>
        </w:tc>
        <w:tc>
          <w:tcPr>
            <w:tcW w:w="1705"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497"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36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859"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463" w:type="dxa"/>
            <w:tcBorders>
              <w:left w:val="single" w:sz="4" w:space="0" w:color="000000"/>
              <w:bottom w:val="single" w:sz="4" w:space="0" w:color="000000"/>
            </w:tcBorders>
          </w:tcPr>
          <w:p>
            <w:pPr>
              <w:pStyle w:val="Style71"/>
              <w:widowControl w:val="false"/>
              <w:rPr/>
            </w:pPr>
            <w:r>
              <w:rPr/>
            </w:r>
          </w:p>
        </w:tc>
        <w:tc>
          <w:tcPr>
            <w:tcW w:w="1305" w:type="dxa"/>
            <w:tcBorders>
              <w:left w:val="single" w:sz="4" w:space="0" w:color="000000"/>
              <w:bottom w:val="single" w:sz="4" w:space="0" w:color="000000"/>
            </w:tcBorders>
          </w:tcPr>
          <w:p>
            <w:pPr>
              <w:pStyle w:val="Style71"/>
              <w:widowControl w:val="false"/>
              <w:rPr/>
            </w:pPr>
            <w:r>
              <w:rPr/>
            </w:r>
          </w:p>
        </w:tc>
        <w:tc>
          <w:tcPr>
            <w:tcW w:w="1520" w:type="dxa"/>
            <w:tcBorders>
              <w:left w:val="single" w:sz="4" w:space="0" w:color="000000"/>
              <w:bottom w:val="single" w:sz="4" w:space="0" w:color="000000"/>
            </w:tcBorders>
          </w:tcPr>
          <w:p>
            <w:pPr>
              <w:pStyle w:val="Style71"/>
              <w:widowControl w:val="false"/>
              <w:rPr/>
            </w:pPr>
            <w:r>
              <w:rPr/>
            </w:r>
          </w:p>
        </w:tc>
        <w:tc>
          <w:tcPr>
            <w:tcW w:w="1525" w:type="dxa"/>
            <w:tcBorders>
              <w:left w:val="single" w:sz="4" w:space="0" w:color="000000"/>
              <w:bottom w:val="single" w:sz="4" w:space="0" w:color="000000"/>
            </w:tcBorders>
          </w:tcPr>
          <w:p>
            <w:pPr>
              <w:pStyle w:val="Style71"/>
              <w:widowControl w:val="false"/>
              <w:rPr/>
            </w:pPr>
            <w:r>
              <w:rPr/>
            </w:r>
          </w:p>
        </w:tc>
        <w:tc>
          <w:tcPr>
            <w:tcW w:w="1332" w:type="dxa"/>
            <w:tcBorders>
              <w:left w:val="single" w:sz="4" w:space="0" w:color="000000"/>
              <w:bottom w:val="single" w:sz="4" w:space="0" w:color="000000"/>
            </w:tcBorders>
          </w:tcPr>
          <w:p>
            <w:pPr>
              <w:pStyle w:val="Style71"/>
              <w:widowControl w:val="false"/>
              <w:rPr/>
            </w:pPr>
            <w:r>
              <w:rPr/>
            </w:r>
          </w:p>
        </w:tc>
        <w:tc>
          <w:tcPr>
            <w:tcW w:w="1705"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497"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36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859"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463" w:type="dxa"/>
            <w:tcBorders>
              <w:left w:val="single" w:sz="4" w:space="0" w:color="000000"/>
              <w:bottom w:val="single" w:sz="4" w:space="0" w:color="000000"/>
            </w:tcBorders>
          </w:tcPr>
          <w:p>
            <w:pPr>
              <w:pStyle w:val="Style71"/>
              <w:widowControl w:val="false"/>
              <w:rPr/>
            </w:pPr>
            <w:r>
              <w:rPr/>
            </w:r>
          </w:p>
        </w:tc>
        <w:tc>
          <w:tcPr>
            <w:tcW w:w="1305" w:type="dxa"/>
            <w:tcBorders>
              <w:left w:val="single" w:sz="4" w:space="0" w:color="000000"/>
              <w:bottom w:val="single" w:sz="4" w:space="0" w:color="000000"/>
            </w:tcBorders>
          </w:tcPr>
          <w:p>
            <w:pPr>
              <w:pStyle w:val="Style71"/>
              <w:widowControl w:val="false"/>
              <w:rPr/>
            </w:pPr>
            <w:r>
              <w:rPr/>
            </w:r>
          </w:p>
        </w:tc>
        <w:tc>
          <w:tcPr>
            <w:tcW w:w="1520" w:type="dxa"/>
            <w:tcBorders>
              <w:left w:val="single" w:sz="4" w:space="0" w:color="000000"/>
              <w:bottom w:val="single" w:sz="4" w:space="0" w:color="000000"/>
            </w:tcBorders>
          </w:tcPr>
          <w:p>
            <w:pPr>
              <w:pStyle w:val="Style71"/>
              <w:widowControl w:val="false"/>
              <w:rPr/>
            </w:pPr>
            <w:r>
              <w:rPr/>
            </w:r>
          </w:p>
        </w:tc>
        <w:tc>
          <w:tcPr>
            <w:tcW w:w="1525" w:type="dxa"/>
            <w:tcBorders>
              <w:left w:val="single" w:sz="4" w:space="0" w:color="000000"/>
              <w:bottom w:val="single" w:sz="4" w:space="0" w:color="000000"/>
            </w:tcBorders>
          </w:tcPr>
          <w:p>
            <w:pPr>
              <w:pStyle w:val="Style71"/>
              <w:widowControl w:val="false"/>
              <w:rPr/>
            </w:pPr>
            <w:r>
              <w:rPr/>
            </w:r>
          </w:p>
        </w:tc>
        <w:tc>
          <w:tcPr>
            <w:tcW w:w="1332" w:type="dxa"/>
            <w:tcBorders>
              <w:left w:val="single" w:sz="4" w:space="0" w:color="000000"/>
              <w:bottom w:val="single" w:sz="4" w:space="0" w:color="000000"/>
            </w:tcBorders>
          </w:tcPr>
          <w:p>
            <w:pPr>
              <w:pStyle w:val="Style71"/>
              <w:widowControl w:val="false"/>
              <w:rPr/>
            </w:pPr>
            <w:r>
              <w:rPr/>
            </w:r>
          </w:p>
        </w:tc>
        <w:tc>
          <w:tcPr>
            <w:tcW w:w="1705"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497"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36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859"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463" w:type="dxa"/>
            <w:tcBorders>
              <w:left w:val="single" w:sz="4" w:space="0" w:color="000000"/>
              <w:bottom w:val="single" w:sz="4" w:space="0" w:color="000000"/>
            </w:tcBorders>
          </w:tcPr>
          <w:p>
            <w:pPr>
              <w:pStyle w:val="Style71"/>
              <w:widowControl w:val="false"/>
              <w:rPr/>
            </w:pPr>
            <w:r>
              <w:rPr/>
            </w:r>
          </w:p>
        </w:tc>
        <w:tc>
          <w:tcPr>
            <w:tcW w:w="1305" w:type="dxa"/>
            <w:tcBorders>
              <w:left w:val="single" w:sz="4" w:space="0" w:color="000000"/>
              <w:bottom w:val="single" w:sz="4" w:space="0" w:color="000000"/>
            </w:tcBorders>
          </w:tcPr>
          <w:p>
            <w:pPr>
              <w:pStyle w:val="Style71"/>
              <w:widowControl w:val="false"/>
              <w:rPr/>
            </w:pPr>
            <w:r>
              <w:rPr/>
            </w:r>
          </w:p>
        </w:tc>
        <w:tc>
          <w:tcPr>
            <w:tcW w:w="1520" w:type="dxa"/>
            <w:tcBorders>
              <w:left w:val="single" w:sz="4" w:space="0" w:color="000000"/>
              <w:bottom w:val="single" w:sz="4" w:space="0" w:color="000000"/>
            </w:tcBorders>
          </w:tcPr>
          <w:p>
            <w:pPr>
              <w:pStyle w:val="Style71"/>
              <w:widowControl w:val="false"/>
              <w:rPr/>
            </w:pPr>
            <w:r>
              <w:rPr/>
            </w:r>
          </w:p>
        </w:tc>
        <w:tc>
          <w:tcPr>
            <w:tcW w:w="1525" w:type="dxa"/>
            <w:tcBorders>
              <w:left w:val="single" w:sz="4" w:space="0" w:color="000000"/>
              <w:bottom w:val="single" w:sz="4" w:space="0" w:color="000000"/>
            </w:tcBorders>
          </w:tcPr>
          <w:p>
            <w:pPr>
              <w:pStyle w:val="Style71"/>
              <w:widowControl w:val="false"/>
              <w:rPr/>
            </w:pPr>
            <w:r>
              <w:rPr/>
            </w:r>
          </w:p>
        </w:tc>
        <w:tc>
          <w:tcPr>
            <w:tcW w:w="1332" w:type="dxa"/>
            <w:tcBorders>
              <w:left w:val="single" w:sz="4" w:space="0" w:color="000000"/>
              <w:bottom w:val="single" w:sz="4" w:space="0" w:color="000000"/>
            </w:tcBorders>
          </w:tcPr>
          <w:p>
            <w:pPr>
              <w:pStyle w:val="Style71"/>
              <w:widowControl w:val="false"/>
              <w:rPr/>
            </w:pPr>
            <w:r>
              <w:rPr/>
            </w:r>
          </w:p>
        </w:tc>
        <w:tc>
          <w:tcPr>
            <w:tcW w:w="1705"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497"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36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859"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463" w:type="dxa"/>
            <w:tcBorders>
              <w:left w:val="single" w:sz="4" w:space="0" w:color="000000"/>
              <w:bottom w:val="single" w:sz="4" w:space="0" w:color="000000"/>
            </w:tcBorders>
          </w:tcPr>
          <w:p>
            <w:pPr>
              <w:pStyle w:val="Style71"/>
              <w:widowControl w:val="false"/>
              <w:rPr/>
            </w:pPr>
            <w:r>
              <w:rPr/>
            </w:r>
          </w:p>
        </w:tc>
        <w:tc>
          <w:tcPr>
            <w:tcW w:w="1305" w:type="dxa"/>
            <w:tcBorders>
              <w:left w:val="single" w:sz="4" w:space="0" w:color="000000"/>
              <w:bottom w:val="single" w:sz="4" w:space="0" w:color="000000"/>
            </w:tcBorders>
          </w:tcPr>
          <w:p>
            <w:pPr>
              <w:pStyle w:val="Style71"/>
              <w:widowControl w:val="false"/>
              <w:rPr/>
            </w:pPr>
            <w:r>
              <w:rPr/>
            </w:r>
          </w:p>
        </w:tc>
        <w:tc>
          <w:tcPr>
            <w:tcW w:w="1520" w:type="dxa"/>
            <w:tcBorders>
              <w:left w:val="single" w:sz="4" w:space="0" w:color="000000"/>
              <w:bottom w:val="single" w:sz="4" w:space="0" w:color="000000"/>
            </w:tcBorders>
          </w:tcPr>
          <w:p>
            <w:pPr>
              <w:pStyle w:val="Style71"/>
              <w:widowControl w:val="false"/>
              <w:rPr/>
            </w:pPr>
            <w:r>
              <w:rPr/>
            </w:r>
          </w:p>
        </w:tc>
        <w:tc>
          <w:tcPr>
            <w:tcW w:w="1525" w:type="dxa"/>
            <w:tcBorders>
              <w:left w:val="single" w:sz="4" w:space="0" w:color="000000"/>
              <w:bottom w:val="single" w:sz="4" w:space="0" w:color="000000"/>
            </w:tcBorders>
          </w:tcPr>
          <w:p>
            <w:pPr>
              <w:pStyle w:val="Style71"/>
              <w:widowControl w:val="false"/>
              <w:rPr/>
            </w:pPr>
            <w:r>
              <w:rPr/>
            </w:r>
          </w:p>
        </w:tc>
        <w:tc>
          <w:tcPr>
            <w:tcW w:w="1332" w:type="dxa"/>
            <w:tcBorders>
              <w:left w:val="single" w:sz="4" w:space="0" w:color="000000"/>
              <w:bottom w:val="single" w:sz="4" w:space="0" w:color="000000"/>
            </w:tcBorders>
          </w:tcPr>
          <w:p>
            <w:pPr>
              <w:pStyle w:val="Style71"/>
              <w:widowControl w:val="false"/>
              <w:rPr/>
            </w:pPr>
            <w:r>
              <w:rPr/>
            </w:r>
          </w:p>
        </w:tc>
        <w:tc>
          <w:tcPr>
            <w:tcW w:w="1705"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497"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36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859"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463" w:type="dxa"/>
            <w:tcBorders>
              <w:left w:val="single" w:sz="4" w:space="0" w:color="000000"/>
              <w:bottom w:val="single" w:sz="4" w:space="0" w:color="000000"/>
            </w:tcBorders>
          </w:tcPr>
          <w:p>
            <w:pPr>
              <w:pStyle w:val="Style71"/>
              <w:widowControl w:val="false"/>
              <w:rPr/>
            </w:pPr>
            <w:r>
              <w:rPr/>
            </w:r>
          </w:p>
        </w:tc>
        <w:tc>
          <w:tcPr>
            <w:tcW w:w="1305" w:type="dxa"/>
            <w:tcBorders>
              <w:left w:val="single" w:sz="4" w:space="0" w:color="000000"/>
              <w:bottom w:val="single" w:sz="4" w:space="0" w:color="000000"/>
            </w:tcBorders>
          </w:tcPr>
          <w:p>
            <w:pPr>
              <w:pStyle w:val="Style71"/>
              <w:widowControl w:val="false"/>
              <w:rPr/>
            </w:pPr>
            <w:r>
              <w:rPr/>
            </w:r>
          </w:p>
        </w:tc>
        <w:tc>
          <w:tcPr>
            <w:tcW w:w="1520" w:type="dxa"/>
            <w:tcBorders>
              <w:left w:val="single" w:sz="4" w:space="0" w:color="000000"/>
              <w:bottom w:val="single" w:sz="4" w:space="0" w:color="000000"/>
            </w:tcBorders>
          </w:tcPr>
          <w:p>
            <w:pPr>
              <w:pStyle w:val="Style71"/>
              <w:widowControl w:val="false"/>
              <w:rPr/>
            </w:pPr>
            <w:r>
              <w:rPr/>
            </w:r>
          </w:p>
        </w:tc>
        <w:tc>
          <w:tcPr>
            <w:tcW w:w="1525" w:type="dxa"/>
            <w:tcBorders>
              <w:left w:val="single" w:sz="4" w:space="0" w:color="000000"/>
              <w:bottom w:val="single" w:sz="4" w:space="0" w:color="000000"/>
            </w:tcBorders>
          </w:tcPr>
          <w:p>
            <w:pPr>
              <w:pStyle w:val="Style71"/>
              <w:widowControl w:val="false"/>
              <w:rPr/>
            </w:pPr>
            <w:r>
              <w:rPr/>
            </w:r>
          </w:p>
        </w:tc>
        <w:tc>
          <w:tcPr>
            <w:tcW w:w="1332" w:type="dxa"/>
            <w:tcBorders>
              <w:left w:val="single" w:sz="4" w:space="0" w:color="000000"/>
              <w:bottom w:val="single" w:sz="4" w:space="0" w:color="000000"/>
            </w:tcBorders>
          </w:tcPr>
          <w:p>
            <w:pPr>
              <w:pStyle w:val="Style71"/>
              <w:widowControl w:val="false"/>
              <w:rPr/>
            </w:pPr>
            <w:r>
              <w:rPr/>
            </w:r>
          </w:p>
        </w:tc>
        <w:tc>
          <w:tcPr>
            <w:tcW w:w="1705"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497"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36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859"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463" w:type="dxa"/>
            <w:tcBorders>
              <w:left w:val="single" w:sz="4" w:space="0" w:color="000000"/>
              <w:bottom w:val="single" w:sz="4" w:space="0" w:color="000000"/>
            </w:tcBorders>
          </w:tcPr>
          <w:p>
            <w:pPr>
              <w:pStyle w:val="Style71"/>
              <w:widowControl w:val="false"/>
              <w:rPr/>
            </w:pPr>
            <w:r>
              <w:rPr/>
            </w:r>
          </w:p>
        </w:tc>
        <w:tc>
          <w:tcPr>
            <w:tcW w:w="1305" w:type="dxa"/>
            <w:tcBorders>
              <w:left w:val="single" w:sz="4" w:space="0" w:color="000000"/>
              <w:bottom w:val="single" w:sz="4" w:space="0" w:color="000000"/>
            </w:tcBorders>
          </w:tcPr>
          <w:p>
            <w:pPr>
              <w:pStyle w:val="Style71"/>
              <w:widowControl w:val="false"/>
              <w:rPr/>
            </w:pPr>
            <w:r>
              <w:rPr/>
            </w:r>
          </w:p>
        </w:tc>
        <w:tc>
          <w:tcPr>
            <w:tcW w:w="1520" w:type="dxa"/>
            <w:tcBorders>
              <w:left w:val="single" w:sz="4" w:space="0" w:color="000000"/>
              <w:bottom w:val="single" w:sz="4" w:space="0" w:color="000000"/>
            </w:tcBorders>
          </w:tcPr>
          <w:p>
            <w:pPr>
              <w:pStyle w:val="Style71"/>
              <w:widowControl w:val="false"/>
              <w:rPr/>
            </w:pPr>
            <w:r>
              <w:rPr/>
            </w:r>
          </w:p>
        </w:tc>
        <w:tc>
          <w:tcPr>
            <w:tcW w:w="1525" w:type="dxa"/>
            <w:tcBorders>
              <w:left w:val="single" w:sz="4" w:space="0" w:color="000000"/>
              <w:bottom w:val="single" w:sz="4" w:space="0" w:color="000000"/>
            </w:tcBorders>
          </w:tcPr>
          <w:p>
            <w:pPr>
              <w:pStyle w:val="Style71"/>
              <w:widowControl w:val="false"/>
              <w:rPr/>
            </w:pPr>
            <w:r>
              <w:rPr/>
            </w:r>
          </w:p>
        </w:tc>
        <w:tc>
          <w:tcPr>
            <w:tcW w:w="1332" w:type="dxa"/>
            <w:tcBorders>
              <w:left w:val="single" w:sz="4" w:space="0" w:color="000000"/>
              <w:bottom w:val="single" w:sz="4" w:space="0" w:color="000000"/>
            </w:tcBorders>
          </w:tcPr>
          <w:p>
            <w:pPr>
              <w:pStyle w:val="Style71"/>
              <w:widowControl w:val="false"/>
              <w:rPr/>
            </w:pPr>
            <w:r>
              <w:rPr/>
            </w:r>
          </w:p>
        </w:tc>
        <w:tc>
          <w:tcPr>
            <w:tcW w:w="1705"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497"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36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859"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463" w:type="dxa"/>
            <w:tcBorders>
              <w:left w:val="single" w:sz="4" w:space="0" w:color="000000"/>
              <w:bottom w:val="single" w:sz="4" w:space="0" w:color="000000"/>
            </w:tcBorders>
          </w:tcPr>
          <w:p>
            <w:pPr>
              <w:pStyle w:val="Style71"/>
              <w:widowControl w:val="false"/>
              <w:rPr/>
            </w:pPr>
            <w:r>
              <w:rPr/>
            </w:r>
          </w:p>
        </w:tc>
        <w:tc>
          <w:tcPr>
            <w:tcW w:w="1305" w:type="dxa"/>
            <w:tcBorders>
              <w:left w:val="single" w:sz="4" w:space="0" w:color="000000"/>
              <w:bottom w:val="single" w:sz="4" w:space="0" w:color="000000"/>
            </w:tcBorders>
          </w:tcPr>
          <w:p>
            <w:pPr>
              <w:pStyle w:val="Style71"/>
              <w:widowControl w:val="false"/>
              <w:rPr/>
            </w:pPr>
            <w:r>
              <w:rPr/>
            </w:r>
          </w:p>
        </w:tc>
        <w:tc>
          <w:tcPr>
            <w:tcW w:w="1520" w:type="dxa"/>
            <w:tcBorders>
              <w:left w:val="single" w:sz="4" w:space="0" w:color="000000"/>
              <w:bottom w:val="single" w:sz="4" w:space="0" w:color="000000"/>
            </w:tcBorders>
          </w:tcPr>
          <w:p>
            <w:pPr>
              <w:pStyle w:val="Style71"/>
              <w:widowControl w:val="false"/>
              <w:rPr/>
            </w:pPr>
            <w:r>
              <w:rPr/>
            </w:r>
          </w:p>
        </w:tc>
        <w:tc>
          <w:tcPr>
            <w:tcW w:w="1525" w:type="dxa"/>
            <w:tcBorders>
              <w:left w:val="single" w:sz="4" w:space="0" w:color="000000"/>
              <w:bottom w:val="single" w:sz="4" w:space="0" w:color="000000"/>
            </w:tcBorders>
          </w:tcPr>
          <w:p>
            <w:pPr>
              <w:pStyle w:val="Style71"/>
              <w:widowControl w:val="false"/>
              <w:rPr/>
            </w:pPr>
            <w:r>
              <w:rPr/>
            </w:r>
          </w:p>
        </w:tc>
        <w:tc>
          <w:tcPr>
            <w:tcW w:w="1332" w:type="dxa"/>
            <w:tcBorders>
              <w:left w:val="single" w:sz="4" w:space="0" w:color="000000"/>
              <w:bottom w:val="single" w:sz="4" w:space="0" w:color="000000"/>
            </w:tcBorders>
          </w:tcPr>
          <w:p>
            <w:pPr>
              <w:pStyle w:val="Style71"/>
              <w:widowControl w:val="false"/>
              <w:rPr/>
            </w:pPr>
            <w:r>
              <w:rPr/>
            </w:r>
          </w:p>
        </w:tc>
        <w:tc>
          <w:tcPr>
            <w:tcW w:w="1705"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497"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362"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859"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463" w:type="dxa"/>
            <w:tcBorders>
              <w:left w:val="single" w:sz="4" w:space="0" w:color="000000"/>
              <w:bottom w:val="single" w:sz="4" w:space="0" w:color="000000"/>
            </w:tcBorders>
          </w:tcPr>
          <w:p>
            <w:pPr>
              <w:pStyle w:val="Style71"/>
              <w:widowControl w:val="false"/>
              <w:rPr/>
            </w:pPr>
            <w:r>
              <w:rPr/>
            </w:r>
          </w:p>
        </w:tc>
        <w:tc>
          <w:tcPr>
            <w:tcW w:w="1305" w:type="dxa"/>
            <w:tcBorders>
              <w:left w:val="single" w:sz="4" w:space="0" w:color="000000"/>
              <w:bottom w:val="single" w:sz="4" w:space="0" w:color="000000"/>
            </w:tcBorders>
          </w:tcPr>
          <w:p>
            <w:pPr>
              <w:pStyle w:val="Style71"/>
              <w:widowControl w:val="false"/>
              <w:rPr/>
            </w:pPr>
            <w:r>
              <w:rPr/>
            </w:r>
          </w:p>
        </w:tc>
        <w:tc>
          <w:tcPr>
            <w:tcW w:w="1520" w:type="dxa"/>
            <w:tcBorders>
              <w:left w:val="single" w:sz="4" w:space="0" w:color="000000"/>
              <w:bottom w:val="single" w:sz="4" w:space="0" w:color="000000"/>
            </w:tcBorders>
          </w:tcPr>
          <w:p>
            <w:pPr>
              <w:pStyle w:val="Style71"/>
              <w:widowControl w:val="false"/>
              <w:rPr/>
            </w:pPr>
            <w:r>
              <w:rPr/>
            </w:r>
          </w:p>
        </w:tc>
        <w:tc>
          <w:tcPr>
            <w:tcW w:w="1525" w:type="dxa"/>
            <w:tcBorders>
              <w:left w:val="single" w:sz="4" w:space="0" w:color="000000"/>
              <w:bottom w:val="single" w:sz="4" w:space="0" w:color="000000"/>
            </w:tcBorders>
          </w:tcPr>
          <w:p>
            <w:pPr>
              <w:pStyle w:val="Style71"/>
              <w:widowControl w:val="false"/>
              <w:rPr/>
            </w:pPr>
            <w:r>
              <w:rPr/>
            </w:r>
          </w:p>
        </w:tc>
        <w:tc>
          <w:tcPr>
            <w:tcW w:w="1332" w:type="dxa"/>
            <w:tcBorders>
              <w:left w:val="single" w:sz="4" w:space="0" w:color="000000"/>
              <w:bottom w:val="single" w:sz="4" w:space="0" w:color="000000"/>
            </w:tcBorders>
          </w:tcPr>
          <w:p>
            <w:pPr>
              <w:pStyle w:val="Style71"/>
              <w:widowControl w:val="false"/>
              <w:rPr/>
            </w:pPr>
            <w:r>
              <w:rPr/>
            </w:r>
          </w:p>
        </w:tc>
        <w:tc>
          <w:tcPr>
            <w:tcW w:w="1705" w:type="dxa"/>
            <w:tcBorders>
              <w:left w:val="single" w:sz="4" w:space="0" w:color="000000"/>
              <w:bottom w:val="single" w:sz="4" w:space="0" w:color="000000"/>
              <w:right w:val="single" w:sz="4" w:space="0" w:color="000000"/>
            </w:tcBorders>
          </w:tcPr>
          <w:p>
            <w:pPr>
              <w:pStyle w:val="Style71"/>
              <w:widowControl w:val="false"/>
              <w:rPr/>
            </w:pPr>
            <w:r>
              <w:rPr/>
            </w:r>
          </w:p>
        </w:tc>
      </w:tr>
    </w:tbl>
    <w:p>
      <w:pPr>
        <w:sectPr>
          <w:headerReference w:type="default" r:id="rId119"/>
          <w:headerReference w:type="first" r:id="rId120"/>
          <w:footerReference w:type="default" r:id="rId121"/>
          <w:footerReference w:type="first" r:id="rId122"/>
          <w:type w:val="nextPage"/>
          <w:pgSz w:orient="landscape" w:w="16838" w:h="11906"/>
          <w:pgMar w:left="1134" w:right="1134" w:gutter="0" w:header="0" w:top="1134" w:footer="1134" w:bottom="1686"/>
          <w:pgNumType w:fmt="decimal"/>
          <w:formProt w:val="false"/>
          <w:textDirection w:val="lrTb"/>
          <w:docGrid w:type="default" w:linePitch="100" w:charSpace="0"/>
        </w:sectPr>
      </w:pPr>
    </w:p>
    <w:p>
      <w:pPr>
        <w:pStyle w:val="Normal"/>
        <w:spacing w:lineRule="auto" w:line="240" w:before="0" w:after="0"/>
        <w:jc w:val="center"/>
        <w:rPr>
          <w:rFonts w:ascii="Times New Roman" w:hAnsi="Times New Roman" w:cs="Times New Roman"/>
          <w:b/>
          <w:bCs/>
          <w:szCs w:val="32"/>
        </w:rPr>
      </w:pPr>
      <w:r>
        <w:rPr>
          <w:rFonts w:cs="Times New Roman" w:ascii="Times New Roman" w:hAnsi="Times New Roman"/>
          <w:b/>
          <w:bCs/>
          <w:szCs w:val="32"/>
        </w:rPr>
        <w:t>Форма журнала наблюдений по щелемерам трехосным</w:t>
      </w:r>
    </w:p>
    <w:p>
      <w:pPr>
        <w:pStyle w:val="Normal"/>
        <w:spacing w:lineRule="auto" w:line="240" w:before="0" w:after="0"/>
        <w:jc w:val="center"/>
        <w:rPr>
          <w:rFonts w:ascii="Times New Roman" w:hAnsi="Times New Roman" w:cs="Times New Roman"/>
          <w:b/>
          <w:bCs/>
          <w:szCs w:val="32"/>
        </w:rPr>
      </w:pPr>
      <w:r>
        <w:rPr>
          <w:rFonts w:cs="Times New Roman" w:ascii="Times New Roman" w:hAnsi="Times New Roman"/>
          <w:b/>
          <w:bCs/>
          <w:szCs w:val="32"/>
        </w:rPr>
      </w:r>
    </w:p>
    <w:tbl>
      <w:tblPr>
        <w:tblW w:w="5000" w:type="pct"/>
        <w:jc w:val="left"/>
        <w:tblInd w:w="-5" w:type="dxa"/>
        <w:tblLayout w:type="fixed"/>
        <w:tblCellMar>
          <w:top w:w="55" w:type="dxa"/>
          <w:left w:w="55" w:type="dxa"/>
          <w:bottom w:w="55" w:type="dxa"/>
          <w:right w:w="55" w:type="dxa"/>
        </w:tblCellMar>
      </w:tblPr>
      <w:tblGrid>
        <w:gridCol w:w="9071"/>
      </w:tblGrid>
      <w:tr>
        <w:trPr>
          <w:trHeight w:val="9076" w:hRule="atLeast"/>
        </w:trPr>
        <w:tc>
          <w:tcPr>
            <w:tcW w:w="9071" w:type="dxa"/>
            <w:tcBorders>
              <w:top w:val="single" w:sz="4" w:space="0" w:color="000000"/>
              <w:left w:val="single" w:sz="4" w:space="0" w:color="000000"/>
              <w:bottom w:val="single" w:sz="4" w:space="0" w:color="000000"/>
              <w:right w:val="single" w:sz="4" w:space="0" w:color="000000"/>
            </w:tcBorders>
          </w:tcPr>
          <w:p>
            <w:pPr>
              <w:pStyle w:val="Style71"/>
              <w:widowControl w:val="false"/>
              <w:rPr>
                <w:rFonts w:ascii="Times New Roman" w:hAnsi="Times New Roman"/>
              </w:rPr>
            </w:pPr>
            <w:r>
              <w:rPr>
                <w:rFonts w:ascii="Times New Roman" w:hAnsi="Times New Roman"/>
              </w:rPr>
              <w:t>Наименование организации выполняющей наблюдения</w:t>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t>ПОЛЕВОЙ ЖУРНАЛ №___</w:t>
            </w:r>
          </w:p>
          <w:p>
            <w:pPr>
              <w:pStyle w:val="Style71"/>
              <w:widowControl w:val="false"/>
              <w:rPr>
                <w:rFonts w:ascii="Times New Roman" w:hAnsi="Times New Roman"/>
              </w:rPr>
            </w:pPr>
            <w:r>
              <w:rPr>
                <w:rFonts w:ascii="Times New Roman" w:hAnsi="Times New Roman"/>
              </w:rPr>
              <w:t>записи наблюдений за относительными смещениями по</w:t>
            </w:r>
          </w:p>
          <w:p>
            <w:pPr>
              <w:pStyle w:val="Style71"/>
              <w:widowControl w:val="false"/>
              <w:rPr>
                <w:rFonts w:ascii="Times New Roman" w:hAnsi="Times New Roman"/>
              </w:rPr>
            </w:pPr>
            <w:r>
              <w:rPr>
                <w:rFonts w:ascii="Times New Roman" w:hAnsi="Times New Roman"/>
              </w:rPr>
              <w:t>трехосным щелемерам</w:t>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t>Гидроузел: _________________________________________________________</w:t>
            </w:r>
          </w:p>
          <w:p>
            <w:pPr>
              <w:pStyle w:val="Style71"/>
              <w:widowControl w:val="false"/>
              <w:rPr>
                <w:rFonts w:ascii="Times New Roman" w:hAnsi="Times New Roman"/>
              </w:rPr>
            </w:pPr>
            <w:r>
              <w:rPr>
                <w:rFonts w:ascii="Times New Roman" w:hAnsi="Times New Roman"/>
              </w:rPr>
              <w:t>Сооружение: _______________________________________________________</w:t>
            </w:r>
          </w:p>
          <w:p>
            <w:pPr>
              <w:pStyle w:val="Style71"/>
              <w:widowControl w:val="false"/>
              <w:rPr>
                <w:rFonts w:ascii="Times New Roman" w:hAnsi="Times New Roman"/>
              </w:rPr>
            </w:pPr>
            <w:r>
              <w:rPr>
                <w:rFonts w:ascii="Times New Roman" w:hAnsi="Times New Roman"/>
              </w:rPr>
              <w:t>Конструктивный элемент: ____________________________________________</w:t>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t xml:space="preserve">Начат  «___» _____________ 20   г.   </w:t>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t xml:space="preserve">    </w:t>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t xml:space="preserve">Окончен  «___» _____________ 20   г.                                                                </w:t>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tc>
      </w:tr>
    </w:tbl>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t>ОТВЕТСТВЕННЫЕ ЗА ВЕДЕНИЕ ЖУРНАЛА</w:t>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tbl>
      <w:tblPr>
        <w:tblW w:w="5000" w:type="pct"/>
        <w:jc w:val="left"/>
        <w:tblInd w:w="-5" w:type="dxa"/>
        <w:tblLayout w:type="fixed"/>
        <w:tblCellMar>
          <w:top w:w="55" w:type="dxa"/>
          <w:left w:w="55" w:type="dxa"/>
          <w:bottom w:w="55" w:type="dxa"/>
          <w:right w:w="55" w:type="dxa"/>
        </w:tblCellMar>
      </w:tblPr>
      <w:tblGrid>
        <w:gridCol w:w="2665"/>
        <w:gridCol w:w="1870"/>
        <w:gridCol w:w="2845"/>
        <w:gridCol w:w="1690"/>
      </w:tblGrid>
      <w:tr>
        <w:trPr/>
        <w:tc>
          <w:tcPr>
            <w:tcW w:w="2665" w:type="dxa"/>
            <w:tcBorders>
              <w:top w:val="single" w:sz="4" w:space="0" w:color="000000"/>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ФИО</w:t>
            </w:r>
          </w:p>
        </w:tc>
        <w:tc>
          <w:tcPr>
            <w:tcW w:w="1870" w:type="dxa"/>
            <w:tcBorders>
              <w:top w:val="single" w:sz="4" w:space="0" w:color="000000"/>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Должность</w:t>
            </w:r>
          </w:p>
        </w:tc>
        <w:tc>
          <w:tcPr>
            <w:tcW w:w="2845" w:type="dxa"/>
            <w:tcBorders>
              <w:top w:val="single" w:sz="4" w:space="0" w:color="000000"/>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Дата назначения на должность</w:t>
            </w:r>
          </w:p>
        </w:tc>
        <w:tc>
          <w:tcPr>
            <w:tcW w:w="1690" w:type="dxa"/>
            <w:tcBorders>
              <w:top w:val="single" w:sz="4" w:space="0" w:color="000000"/>
              <w:left w:val="single" w:sz="4" w:space="0" w:color="000000"/>
              <w:bottom w:val="single" w:sz="4" w:space="0" w:color="000000"/>
              <w:right w:val="single" w:sz="4" w:space="0" w:color="000000"/>
            </w:tcBorders>
            <w:vAlign w:val="center"/>
          </w:tcPr>
          <w:p>
            <w:pPr>
              <w:pStyle w:val="Style71"/>
              <w:widowControl w:val="false"/>
              <w:jc w:val="center"/>
              <w:rPr>
                <w:rFonts w:ascii="Times New Roman" w:hAnsi="Times New Roman"/>
              </w:rPr>
            </w:pPr>
            <w:r>
              <w:rPr>
                <w:rFonts w:ascii="Times New Roman" w:hAnsi="Times New Roman"/>
              </w:rPr>
              <w:t>Подпись</w:t>
            </w:r>
          </w:p>
        </w:tc>
      </w:tr>
      <w:tr>
        <w:trPr>
          <w:trHeight w:val="222" w:hRule="atLeast"/>
        </w:trPr>
        <w:tc>
          <w:tcPr>
            <w:tcW w:w="2665" w:type="dxa"/>
            <w:tcBorders>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1</w:t>
            </w:r>
          </w:p>
        </w:tc>
        <w:tc>
          <w:tcPr>
            <w:tcW w:w="1870" w:type="dxa"/>
            <w:tcBorders>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2</w:t>
            </w:r>
          </w:p>
        </w:tc>
        <w:tc>
          <w:tcPr>
            <w:tcW w:w="2845" w:type="dxa"/>
            <w:tcBorders>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3</w:t>
            </w:r>
          </w:p>
        </w:tc>
        <w:tc>
          <w:tcPr>
            <w:tcW w:w="1690" w:type="dxa"/>
            <w:tcBorders>
              <w:left w:val="single" w:sz="4" w:space="0" w:color="000000"/>
              <w:bottom w:val="single" w:sz="4" w:space="0" w:color="000000"/>
              <w:right w:val="single" w:sz="4" w:space="0" w:color="000000"/>
            </w:tcBorders>
            <w:vAlign w:val="center"/>
          </w:tcPr>
          <w:p>
            <w:pPr>
              <w:pStyle w:val="Style71"/>
              <w:widowControl w:val="false"/>
              <w:jc w:val="center"/>
              <w:rPr>
                <w:rFonts w:ascii="Times New Roman" w:hAnsi="Times New Roman"/>
              </w:rPr>
            </w:pPr>
            <w:r>
              <w:rPr>
                <w:rFonts w:ascii="Times New Roman" w:hAnsi="Times New Roman"/>
              </w:rPr>
              <w:t>4</w:t>
            </w:r>
          </w:p>
        </w:tc>
      </w:tr>
      <w:tr>
        <w:trPr/>
        <w:tc>
          <w:tcPr>
            <w:tcW w:w="2665" w:type="dxa"/>
            <w:tcBorders>
              <w:left w:val="single" w:sz="4" w:space="0" w:color="000000"/>
              <w:bottom w:val="single" w:sz="4" w:space="0" w:color="000000"/>
            </w:tcBorders>
            <w:vAlign w:val="center"/>
          </w:tcPr>
          <w:p>
            <w:pPr>
              <w:pStyle w:val="Style71"/>
              <w:widowControl w:val="false"/>
              <w:rPr/>
            </w:pPr>
            <w:r>
              <w:rPr/>
            </w:r>
          </w:p>
        </w:tc>
        <w:tc>
          <w:tcPr>
            <w:tcW w:w="1870" w:type="dxa"/>
            <w:tcBorders>
              <w:left w:val="single" w:sz="4" w:space="0" w:color="000000"/>
              <w:bottom w:val="single" w:sz="4" w:space="0" w:color="000000"/>
            </w:tcBorders>
            <w:vAlign w:val="center"/>
          </w:tcPr>
          <w:p>
            <w:pPr>
              <w:pStyle w:val="Style71"/>
              <w:widowControl w:val="false"/>
              <w:rPr/>
            </w:pPr>
            <w:r>
              <w:rPr/>
            </w:r>
          </w:p>
        </w:tc>
        <w:tc>
          <w:tcPr>
            <w:tcW w:w="2845" w:type="dxa"/>
            <w:tcBorders>
              <w:left w:val="single" w:sz="4" w:space="0" w:color="000000"/>
              <w:bottom w:val="single" w:sz="4" w:space="0" w:color="000000"/>
            </w:tcBorders>
            <w:vAlign w:val="center"/>
          </w:tcPr>
          <w:p>
            <w:pPr>
              <w:pStyle w:val="Style71"/>
              <w:widowControl w:val="false"/>
              <w:rPr/>
            </w:pPr>
            <w:r>
              <w:rPr/>
            </w:r>
          </w:p>
        </w:tc>
        <w:tc>
          <w:tcPr>
            <w:tcW w:w="1690"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2665" w:type="dxa"/>
            <w:tcBorders>
              <w:left w:val="single" w:sz="4" w:space="0" w:color="000000"/>
              <w:bottom w:val="single" w:sz="4" w:space="0" w:color="000000"/>
            </w:tcBorders>
            <w:vAlign w:val="center"/>
          </w:tcPr>
          <w:p>
            <w:pPr>
              <w:pStyle w:val="Style71"/>
              <w:widowControl w:val="false"/>
              <w:rPr/>
            </w:pPr>
            <w:r>
              <w:rPr/>
            </w:r>
          </w:p>
        </w:tc>
        <w:tc>
          <w:tcPr>
            <w:tcW w:w="1870" w:type="dxa"/>
            <w:tcBorders>
              <w:left w:val="single" w:sz="4" w:space="0" w:color="000000"/>
              <w:bottom w:val="single" w:sz="4" w:space="0" w:color="000000"/>
            </w:tcBorders>
            <w:vAlign w:val="center"/>
          </w:tcPr>
          <w:p>
            <w:pPr>
              <w:pStyle w:val="Style71"/>
              <w:widowControl w:val="false"/>
              <w:rPr/>
            </w:pPr>
            <w:r>
              <w:rPr/>
            </w:r>
          </w:p>
        </w:tc>
        <w:tc>
          <w:tcPr>
            <w:tcW w:w="2845" w:type="dxa"/>
            <w:tcBorders>
              <w:left w:val="single" w:sz="4" w:space="0" w:color="000000"/>
              <w:bottom w:val="single" w:sz="4" w:space="0" w:color="000000"/>
            </w:tcBorders>
            <w:vAlign w:val="center"/>
          </w:tcPr>
          <w:p>
            <w:pPr>
              <w:pStyle w:val="Style71"/>
              <w:widowControl w:val="false"/>
              <w:rPr/>
            </w:pPr>
            <w:r>
              <w:rPr/>
            </w:r>
          </w:p>
        </w:tc>
        <w:tc>
          <w:tcPr>
            <w:tcW w:w="1690"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2665" w:type="dxa"/>
            <w:tcBorders>
              <w:left w:val="single" w:sz="4" w:space="0" w:color="000000"/>
              <w:bottom w:val="single" w:sz="4" w:space="0" w:color="000000"/>
            </w:tcBorders>
            <w:vAlign w:val="center"/>
          </w:tcPr>
          <w:p>
            <w:pPr>
              <w:pStyle w:val="Style71"/>
              <w:widowControl w:val="false"/>
              <w:rPr/>
            </w:pPr>
            <w:r>
              <w:rPr/>
            </w:r>
          </w:p>
        </w:tc>
        <w:tc>
          <w:tcPr>
            <w:tcW w:w="1870" w:type="dxa"/>
            <w:tcBorders>
              <w:left w:val="single" w:sz="4" w:space="0" w:color="000000"/>
              <w:bottom w:val="single" w:sz="4" w:space="0" w:color="000000"/>
            </w:tcBorders>
            <w:vAlign w:val="center"/>
          </w:tcPr>
          <w:p>
            <w:pPr>
              <w:pStyle w:val="Style71"/>
              <w:widowControl w:val="false"/>
              <w:rPr/>
            </w:pPr>
            <w:r>
              <w:rPr/>
            </w:r>
          </w:p>
        </w:tc>
        <w:tc>
          <w:tcPr>
            <w:tcW w:w="2845" w:type="dxa"/>
            <w:tcBorders>
              <w:left w:val="single" w:sz="4" w:space="0" w:color="000000"/>
              <w:bottom w:val="single" w:sz="4" w:space="0" w:color="000000"/>
            </w:tcBorders>
            <w:vAlign w:val="center"/>
          </w:tcPr>
          <w:p>
            <w:pPr>
              <w:pStyle w:val="Style71"/>
              <w:widowControl w:val="false"/>
              <w:rPr/>
            </w:pPr>
            <w:r>
              <w:rPr/>
            </w:r>
          </w:p>
        </w:tc>
        <w:tc>
          <w:tcPr>
            <w:tcW w:w="1690"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2665" w:type="dxa"/>
            <w:tcBorders>
              <w:left w:val="single" w:sz="4" w:space="0" w:color="000000"/>
              <w:bottom w:val="single" w:sz="4" w:space="0" w:color="000000"/>
            </w:tcBorders>
            <w:vAlign w:val="center"/>
          </w:tcPr>
          <w:p>
            <w:pPr>
              <w:pStyle w:val="Style71"/>
              <w:widowControl w:val="false"/>
              <w:rPr/>
            </w:pPr>
            <w:r>
              <w:rPr/>
            </w:r>
          </w:p>
        </w:tc>
        <w:tc>
          <w:tcPr>
            <w:tcW w:w="1870" w:type="dxa"/>
            <w:tcBorders>
              <w:left w:val="single" w:sz="4" w:space="0" w:color="000000"/>
              <w:bottom w:val="single" w:sz="4" w:space="0" w:color="000000"/>
            </w:tcBorders>
            <w:vAlign w:val="center"/>
          </w:tcPr>
          <w:p>
            <w:pPr>
              <w:pStyle w:val="Style71"/>
              <w:widowControl w:val="false"/>
              <w:rPr/>
            </w:pPr>
            <w:r>
              <w:rPr/>
            </w:r>
          </w:p>
        </w:tc>
        <w:tc>
          <w:tcPr>
            <w:tcW w:w="2845" w:type="dxa"/>
            <w:tcBorders>
              <w:left w:val="single" w:sz="4" w:space="0" w:color="000000"/>
              <w:bottom w:val="single" w:sz="4" w:space="0" w:color="000000"/>
            </w:tcBorders>
            <w:vAlign w:val="center"/>
          </w:tcPr>
          <w:p>
            <w:pPr>
              <w:pStyle w:val="Style71"/>
              <w:widowControl w:val="false"/>
              <w:rPr/>
            </w:pPr>
            <w:r>
              <w:rPr/>
            </w:r>
          </w:p>
        </w:tc>
        <w:tc>
          <w:tcPr>
            <w:tcW w:w="1690"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2665" w:type="dxa"/>
            <w:tcBorders>
              <w:left w:val="single" w:sz="4" w:space="0" w:color="000000"/>
              <w:bottom w:val="single" w:sz="4" w:space="0" w:color="000000"/>
            </w:tcBorders>
            <w:vAlign w:val="center"/>
          </w:tcPr>
          <w:p>
            <w:pPr>
              <w:pStyle w:val="Style71"/>
              <w:widowControl w:val="false"/>
              <w:rPr/>
            </w:pPr>
            <w:r>
              <w:rPr/>
            </w:r>
          </w:p>
        </w:tc>
        <w:tc>
          <w:tcPr>
            <w:tcW w:w="1870" w:type="dxa"/>
            <w:tcBorders>
              <w:left w:val="single" w:sz="4" w:space="0" w:color="000000"/>
              <w:bottom w:val="single" w:sz="4" w:space="0" w:color="000000"/>
            </w:tcBorders>
            <w:vAlign w:val="center"/>
          </w:tcPr>
          <w:p>
            <w:pPr>
              <w:pStyle w:val="Style71"/>
              <w:widowControl w:val="false"/>
              <w:rPr/>
            </w:pPr>
            <w:r>
              <w:rPr/>
            </w:r>
          </w:p>
        </w:tc>
        <w:tc>
          <w:tcPr>
            <w:tcW w:w="2845" w:type="dxa"/>
            <w:tcBorders>
              <w:left w:val="single" w:sz="4" w:space="0" w:color="000000"/>
              <w:bottom w:val="single" w:sz="4" w:space="0" w:color="000000"/>
            </w:tcBorders>
            <w:vAlign w:val="center"/>
          </w:tcPr>
          <w:p>
            <w:pPr>
              <w:pStyle w:val="Style71"/>
              <w:widowControl w:val="false"/>
              <w:rPr/>
            </w:pPr>
            <w:r>
              <w:rPr/>
            </w:r>
          </w:p>
        </w:tc>
        <w:tc>
          <w:tcPr>
            <w:tcW w:w="1690"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bl>
    <w:p>
      <w:pPr>
        <w:sectPr>
          <w:headerReference w:type="default" r:id="rId123"/>
          <w:headerReference w:type="first" r:id="rId124"/>
          <w:footerReference w:type="default" r:id="rId125"/>
          <w:footerReference w:type="first" r:id="rId126"/>
          <w:type w:val="nextPage"/>
          <w:pgSz w:w="11906" w:h="16838"/>
          <w:pgMar w:left="1701" w:right="1134" w:gutter="0" w:header="0" w:top="851" w:footer="1134" w:bottom="1686"/>
          <w:pgNumType w:fmt="decimal"/>
          <w:formProt w:val="false"/>
          <w:textDirection w:val="lrTb"/>
          <w:docGrid w:type="default" w:linePitch="360" w:charSpace="4096"/>
        </w:sectPr>
      </w:pPr>
    </w:p>
    <w:p>
      <w:pPr>
        <w:pStyle w:val="Normal"/>
        <w:widowControl/>
        <w:suppressAutoHyphens w:val="true"/>
        <w:bidi w:val="0"/>
        <w:spacing w:lineRule="auto" w:line="240" w:before="0" w:after="0"/>
        <w:ind w:left="0" w:right="0" w:hanging="0"/>
        <w:jc w:val="left"/>
        <w:rPr>
          <w:rFonts w:ascii="Times New Roman" w:hAnsi="Times New Roman"/>
          <w:sz w:val="24"/>
          <w:szCs w:val="24"/>
        </w:rPr>
      </w:pPr>
      <w:r>
        <w:rPr>
          <w:rFonts w:ascii="Times New Roman" w:hAnsi="Times New Roman"/>
          <w:sz w:val="24"/>
          <w:szCs w:val="24"/>
        </w:rPr>
        <w:t>Дата «___» ____________ 20__г. Время ___________ Температура ___________</w:t>
      </w:r>
    </w:p>
    <w:p>
      <w:pPr>
        <w:pStyle w:val="Normal"/>
        <w:widowControl/>
        <w:suppressAutoHyphens w:val="true"/>
        <w:bidi w:val="0"/>
        <w:spacing w:lineRule="auto" w:line="240" w:before="0" w:after="0"/>
        <w:ind w:left="0" w:right="0" w:hanging="0"/>
        <w:jc w:val="left"/>
        <w:rPr>
          <w:rFonts w:ascii="Times New Roman" w:hAnsi="Times New Roman"/>
          <w:sz w:val="24"/>
          <w:szCs w:val="24"/>
        </w:rPr>
      </w:pPr>
      <w:r>
        <w:rPr>
          <w:rFonts w:ascii="Times New Roman" w:hAnsi="Times New Roman"/>
          <w:sz w:val="24"/>
          <w:szCs w:val="24"/>
        </w:rPr>
      </w:r>
    </w:p>
    <w:p>
      <w:pPr>
        <w:pStyle w:val="Normal"/>
        <w:widowControl/>
        <w:suppressAutoHyphens w:val="true"/>
        <w:bidi w:val="0"/>
        <w:spacing w:lineRule="auto" w:line="240" w:before="0" w:after="0"/>
        <w:ind w:left="0" w:right="0" w:hanging="0"/>
        <w:jc w:val="left"/>
        <w:rPr>
          <w:rFonts w:ascii="Times New Roman" w:hAnsi="Times New Roman"/>
          <w:sz w:val="24"/>
          <w:szCs w:val="24"/>
        </w:rPr>
      </w:pPr>
      <w:r>
        <w:rPr>
          <w:rFonts w:ascii="Times New Roman" w:hAnsi="Times New Roman"/>
          <w:sz w:val="24"/>
          <w:szCs w:val="24"/>
        </w:rPr>
        <w:t>Штангенциркуль № ______________</w:t>
      </w:r>
    </w:p>
    <w:p>
      <w:pPr>
        <w:pStyle w:val="Normal"/>
        <w:widowControl/>
        <w:suppressAutoHyphens w:val="true"/>
        <w:bidi w:val="0"/>
        <w:spacing w:lineRule="auto" w:line="240" w:before="0" w:after="0"/>
        <w:ind w:left="0" w:right="0" w:hanging="0"/>
        <w:jc w:val="left"/>
        <w:rPr>
          <w:rFonts w:ascii="Times New Roman" w:hAnsi="Times New Roman"/>
          <w:sz w:val="24"/>
          <w:szCs w:val="24"/>
        </w:rPr>
      </w:pPr>
      <w:r>
        <w:rPr>
          <w:rFonts w:ascii="Times New Roman" w:hAnsi="Times New Roman"/>
          <w:sz w:val="24"/>
          <w:szCs w:val="24"/>
        </w:rPr>
      </w:r>
    </w:p>
    <w:p>
      <w:pPr>
        <w:pStyle w:val="Normal"/>
        <w:widowControl/>
        <w:suppressAutoHyphens w:val="true"/>
        <w:bidi w:val="0"/>
        <w:spacing w:lineRule="auto" w:line="240" w:before="0" w:after="0"/>
        <w:ind w:left="0" w:right="0" w:hanging="0"/>
        <w:jc w:val="left"/>
        <w:rPr>
          <w:rFonts w:ascii="Times New Roman" w:hAnsi="Times New Roman"/>
          <w:sz w:val="24"/>
          <w:szCs w:val="24"/>
        </w:rPr>
      </w:pPr>
      <w:r>
        <w:rPr>
          <w:rFonts w:ascii="Times New Roman" w:hAnsi="Times New Roman"/>
          <w:sz w:val="24"/>
          <w:szCs w:val="24"/>
        </w:rPr>
      </w:r>
    </w:p>
    <w:tbl>
      <w:tblPr>
        <w:tblW w:w="5000" w:type="pct"/>
        <w:jc w:val="left"/>
        <w:tblInd w:w="-5" w:type="dxa"/>
        <w:tblLayout w:type="fixed"/>
        <w:tblCellMar>
          <w:top w:w="55" w:type="dxa"/>
          <w:left w:w="55" w:type="dxa"/>
          <w:bottom w:w="55" w:type="dxa"/>
          <w:right w:w="55" w:type="dxa"/>
        </w:tblCellMar>
      </w:tblPr>
      <w:tblGrid>
        <w:gridCol w:w="1981"/>
        <w:gridCol w:w="1247"/>
        <w:gridCol w:w="1929"/>
        <w:gridCol w:w="1306"/>
        <w:gridCol w:w="1863"/>
        <w:gridCol w:w="1371"/>
        <w:gridCol w:w="1920"/>
        <w:gridCol w:w="1313"/>
        <w:gridCol w:w="1638"/>
      </w:tblGrid>
      <w:tr>
        <w:trPr/>
        <w:tc>
          <w:tcPr>
            <w:tcW w:w="1981" w:type="dxa"/>
            <w:vMerge w:val="restart"/>
            <w:tcBorders>
              <w:top w:val="single" w:sz="4" w:space="0" w:color="000000"/>
              <w:left w:val="single" w:sz="4" w:space="0" w:color="000000"/>
              <w:bottom w:val="single" w:sz="4" w:space="0" w:color="000000"/>
            </w:tcBorders>
            <w:vAlign w:val="center"/>
          </w:tcPr>
          <w:p>
            <w:pPr>
              <w:pStyle w:val="Style71"/>
              <w:widowControl w:val="false"/>
              <w:rPr>
                <w:rFonts w:ascii="Times New Roman" w:hAnsi="Times New Roman"/>
              </w:rPr>
            </w:pPr>
            <w:r>
              <w:rPr>
                <w:rFonts w:ascii="Times New Roman" w:hAnsi="Times New Roman"/>
              </w:rPr>
              <w:t>Наименование деформационного шва (номер трещины)</w:t>
            </w:r>
          </w:p>
        </w:tc>
        <w:tc>
          <w:tcPr>
            <w:tcW w:w="1247" w:type="dxa"/>
            <w:vMerge w:val="restart"/>
            <w:tcBorders>
              <w:top w:val="single" w:sz="4" w:space="0" w:color="000000"/>
              <w:left w:val="single" w:sz="4" w:space="0" w:color="000000"/>
              <w:bottom w:val="single" w:sz="4" w:space="0" w:color="000000"/>
            </w:tcBorders>
            <w:vAlign w:val="center"/>
          </w:tcPr>
          <w:p>
            <w:pPr>
              <w:pStyle w:val="Style71"/>
              <w:widowControl w:val="false"/>
              <w:rPr>
                <w:rFonts w:ascii="Times New Roman" w:hAnsi="Times New Roman"/>
              </w:rPr>
            </w:pPr>
            <w:r>
              <w:rPr>
                <w:rFonts w:ascii="Times New Roman" w:hAnsi="Times New Roman"/>
              </w:rPr>
              <w:t>Номер щелемера</w:t>
            </w:r>
          </w:p>
        </w:tc>
        <w:tc>
          <w:tcPr>
            <w:tcW w:w="3235" w:type="dxa"/>
            <w:gridSpan w:val="2"/>
            <w:tcBorders>
              <w:top w:val="single" w:sz="4" w:space="0" w:color="000000"/>
              <w:left w:val="single" w:sz="4" w:space="0" w:color="000000"/>
              <w:bottom w:val="single" w:sz="4" w:space="0" w:color="000000"/>
            </w:tcBorders>
            <w:vAlign w:val="center"/>
          </w:tcPr>
          <w:p>
            <w:pPr>
              <w:pStyle w:val="Style71"/>
              <w:widowControl w:val="false"/>
              <w:rPr>
                <w:rFonts w:ascii="Times New Roman" w:hAnsi="Times New Roman"/>
              </w:rPr>
            </w:pPr>
            <w:r>
              <w:rPr>
                <w:rFonts w:ascii="Times New Roman" w:hAnsi="Times New Roman"/>
              </w:rPr>
              <w:t>Смещения «Х»</w:t>
            </w:r>
          </w:p>
        </w:tc>
        <w:tc>
          <w:tcPr>
            <w:tcW w:w="3234" w:type="dxa"/>
            <w:gridSpan w:val="2"/>
            <w:tcBorders>
              <w:top w:val="single" w:sz="4" w:space="0" w:color="000000"/>
              <w:left w:val="single" w:sz="4" w:space="0" w:color="000000"/>
              <w:bottom w:val="single" w:sz="4" w:space="0" w:color="000000"/>
            </w:tcBorders>
            <w:vAlign w:val="center"/>
          </w:tcPr>
          <w:p>
            <w:pPr>
              <w:pStyle w:val="Style71"/>
              <w:widowControl w:val="false"/>
              <w:rPr>
                <w:rFonts w:ascii="Times New Roman" w:hAnsi="Times New Roman"/>
              </w:rPr>
            </w:pPr>
            <w:r>
              <w:rPr>
                <w:rFonts w:ascii="Times New Roman" w:hAnsi="Times New Roman"/>
              </w:rPr>
              <w:t>Смещения «Y»</w:t>
            </w:r>
          </w:p>
        </w:tc>
        <w:tc>
          <w:tcPr>
            <w:tcW w:w="3233" w:type="dxa"/>
            <w:gridSpan w:val="2"/>
            <w:tcBorders>
              <w:top w:val="single" w:sz="4" w:space="0" w:color="000000"/>
              <w:left w:val="single" w:sz="4" w:space="0" w:color="000000"/>
              <w:bottom w:val="single" w:sz="4" w:space="0" w:color="000000"/>
            </w:tcBorders>
            <w:vAlign w:val="center"/>
          </w:tcPr>
          <w:p>
            <w:pPr>
              <w:pStyle w:val="Style71"/>
              <w:widowControl w:val="false"/>
              <w:rPr>
                <w:rFonts w:ascii="Times New Roman" w:hAnsi="Times New Roman"/>
              </w:rPr>
            </w:pPr>
            <w:r>
              <w:rPr>
                <w:rFonts w:ascii="Times New Roman" w:hAnsi="Times New Roman"/>
              </w:rPr>
              <w:t>Смещения «Z»</w:t>
            </w:r>
          </w:p>
        </w:tc>
        <w:tc>
          <w:tcPr>
            <w:tcW w:w="1638" w:type="dxa"/>
            <w:vMerge w:val="restart"/>
            <w:tcBorders>
              <w:top w:val="single" w:sz="4" w:space="0" w:color="000000"/>
              <w:left w:val="single" w:sz="4" w:space="0" w:color="000000"/>
              <w:bottom w:val="single" w:sz="4" w:space="0" w:color="000000"/>
              <w:right w:val="single" w:sz="4" w:space="0" w:color="000000"/>
            </w:tcBorders>
            <w:vAlign w:val="center"/>
          </w:tcPr>
          <w:p>
            <w:pPr>
              <w:pStyle w:val="Style71"/>
              <w:widowControl w:val="false"/>
              <w:rPr>
                <w:rFonts w:ascii="Times New Roman" w:hAnsi="Times New Roman"/>
              </w:rPr>
            </w:pPr>
            <w:r>
              <w:rPr>
                <w:rFonts w:ascii="Times New Roman" w:hAnsi="Times New Roman"/>
              </w:rPr>
              <w:t>Примечание</w:t>
            </w:r>
          </w:p>
        </w:tc>
      </w:tr>
      <w:tr>
        <w:trPr/>
        <w:tc>
          <w:tcPr>
            <w:tcW w:w="1981" w:type="dxa"/>
            <w:vMerge w:val="continue"/>
            <w:tcBorders>
              <w:top w:val="single" w:sz="4" w:space="0" w:color="000000"/>
              <w:left w:val="single" w:sz="4" w:space="0" w:color="000000"/>
              <w:bottom w:val="single" w:sz="4" w:space="0" w:color="000000"/>
            </w:tcBorders>
          </w:tcPr>
          <w:p>
            <w:pPr>
              <w:pStyle w:val="Normal"/>
              <w:widowControl w:val="false"/>
              <w:rPr/>
            </w:pPr>
            <w:r>
              <w:rPr/>
            </w:r>
          </w:p>
        </w:tc>
        <w:tc>
          <w:tcPr>
            <w:tcW w:w="1247" w:type="dxa"/>
            <w:vMerge w:val="continue"/>
            <w:tcBorders>
              <w:top w:val="single" w:sz="4" w:space="0" w:color="000000"/>
              <w:left w:val="single" w:sz="4" w:space="0" w:color="000000"/>
              <w:bottom w:val="single" w:sz="4" w:space="0" w:color="000000"/>
            </w:tcBorders>
          </w:tcPr>
          <w:p>
            <w:pPr>
              <w:pStyle w:val="Normal"/>
              <w:widowControl w:val="false"/>
              <w:rPr/>
            </w:pPr>
            <w:r>
              <w:rPr/>
            </w:r>
          </w:p>
        </w:tc>
        <w:tc>
          <w:tcPr>
            <w:tcW w:w="1929" w:type="dxa"/>
            <w:tcBorders>
              <w:left w:val="single" w:sz="4" w:space="0" w:color="000000"/>
              <w:bottom w:val="single" w:sz="4" w:space="0" w:color="000000"/>
            </w:tcBorders>
            <w:vAlign w:val="center"/>
          </w:tcPr>
          <w:p>
            <w:pPr>
              <w:pStyle w:val="Style71"/>
              <w:widowControl w:val="false"/>
              <w:rPr>
                <w:rFonts w:ascii="Times New Roman" w:hAnsi="Times New Roman"/>
              </w:rPr>
            </w:pPr>
            <w:r>
              <w:rPr>
                <w:rFonts w:ascii="Times New Roman" w:hAnsi="Times New Roman"/>
              </w:rPr>
              <w:t>Отсчет по штангенциркую</w:t>
            </w:r>
          </w:p>
        </w:tc>
        <w:tc>
          <w:tcPr>
            <w:tcW w:w="1306" w:type="dxa"/>
            <w:tcBorders>
              <w:left w:val="single" w:sz="4" w:space="0" w:color="000000"/>
              <w:bottom w:val="single" w:sz="4" w:space="0" w:color="000000"/>
            </w:tcBorders>
            <w:vAlign w:val="center"/>
          </w:tcPr>
          <w:p>
            <w:pPr>
              <w:pStyle w:val="Style71"/>
              <w:widowControl w:val="false"/>
              <w:rPr>
                <w:rFonts w:ascii="Times New Roman" w:hAnsi="Times New Roman"/>
              </w:rPr>
            </w:pPr>
            <w:r>
              <w:rPr>
                <w:rFonts w:ascii="Times New Roman" w:hAnsi="Times New Roman"/>
              </w:rPr>
              <w:t>«Х» среднее</w:t>
            </w:r>
          </w:p>
        </w:tc>
        <w:tc>
          <w:tcPr>
            <w:tcW w:w="1863" w:type="dxa"/>
            <w:tcBorders>
              <w:left w:val="single" w:sz="4" w:space="0" w:color="000000"/>
              <w:bottom w:val="single" w:sz="4" w:space="0" w:color="000000"/>
            </w:tcBorders>
            <w:vAlign w:val="center"/>
          </w:tcPr>
          <w:p>
            <w:pPr>
              <w:pStyle w:val="Style71"/>
              <w:widowControl w:val="false"/>
              <w:rPr>
                <w:rFonts w:ascii="Times New Roman" w:hAnsi="Times New Roman"/>
              </w:rPr>
            </w:pPr>
            <w:r>
              <w:rPr>
                <w:rFonts w:ascii="Times New Roman" w:hAnsi="Times New Roman"/>
              </w:rPr>
              <w:t>Отсчет по штангенциркую</w:t>
            </w:r>
          </w:p>
        </w:tc>
        <w:tc>
          <w:tcPr>
            <w:tcW w:w="1371" w:type="dxa"/>
            <w:tcBorders>
              <w:left w:val="single" w:sz="4" w:space="0" w:color="000000"/>
              <w:bottom w:val="single" w:sz="4" w:space="0" w:color="000000"/>
            </w:tcBorders>
            <w:vAlign w:val="center"/>
          </w:tcPr>
          <w:p>
            <w:pPr>
              <w:pStyle w:val="Style71"/>
              <w:widowControl w:val="false"/>
              <w:rPr>
                <w:rFonts w:ascii="Times New Roman" w:hAnsi="Times New Roman"/>
              </w:rPr>
            </w:pPr>
            <w:r>
              <w:rPr>
                <w:rFonts w:ascii="Times New Roman" w:hAnsi="Times New Roman"/>
              </w:rPr>
              <w:t>«Y» среднее</w:t>
            </w:r>
          </w:p>
        </w:tc>
        <w:tc>
          <w:tcPr>
            <w:tcW w:w="1920" w:type="dxa"/>
            <w:tcBorders>
              <w:left w:val="single" w:sz="4" w:space="0" w:color="000000"/>
              <w:bottom w:val="single" w:sz="4" w:space="0" w:color="000000"/>
            </w:tcBorders>
            <w:vAlign w:val="center"/>
          </w:tcPr>
          <w:p>
            <w:pPr>
              <w:pStyle w:val="Style71"/>
              <w:widowControl w:val="false"/>
              <w:rPr>
                <w:rFonts w:ascii="Times New Roman" w:hAnsi="Times New Roman"/>
              </w:rPr>
            </w:pPr>
            <w:r>
              <w:rPr>
                <w:rFonts w:ascii="Times New Roman" w:hAnsi="Times New Roman"/>
              </w:rPr>
              <w:t>Отсчет по штангенциркую</w:t>
            </w:r>
          </w:p>
        </w:tc>
        <w:tc>
          <w:tcPr>
            <w:tcW w:w="1313" w:type="dxa"/>
            <w:tcBorders>
              <w:left w:val="single" w:sz="4" w:space="0" w:color="000000"/>
              <w:bottom w:val="single" w:sz="4" w:space="0" w:color="000000"/>
            </w:tcBorders>
            <w:vAlign w:val="center"/>
          </w:tcPr>
          <w:p>
            <w:pPr>
              <w:pStyle w:val="Style71"/>
              <w:widowControl w:val="false"/>
              <w:rPr>
                <w:rFonts w:ascii="Times New Roman" w:hAnsi="Times New Roman"/>
              </w:rPr>
            </w:pPr>
            <w:r>
              <w:rPr>
                <w:rFonts w:ascii="Times New Roman" w:hAnsi="Times New Roman"/>
              </w:rPr>
              <w:t>«Z» среднее</w:t>
            </w:r>
          </w:p>
        </w:tc>
        <w:tc>
          <w:tcPr>
            <w:tcW w:w="163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r>
      <w:tr>
        <w:trPr/>
        <w:tc>
          <w:tcPr>
            <w:tcW w:w="1981" w:type="dxa"/>
            <w:vMerge w:val="restart"/>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247" w:type="dxa"/>
            <w:vMerge w:val="restart"/>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929"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306"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86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371"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920"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313" w:type="dxa"/>
            <w:tcBorders>
              <w:left w:val="single" w:sz="4" w:space="0" w:color="000000"/>
              <w:bottom w:val="single" w:sz="4" w:space="0" w:color="000000"/>
            </w:tcBorders>
          </w:tcPr>
          <w:p>
            <w:pPr>
              <w:pStyle w:val="Style71"/>
              <w:widowControl w:val="false"/>
              <w:rPr>
                <w:rFonts w:ascii="Times New Roman" w:hAnsi="Times New Roman"/>
              </w:rPr>
            </w:pPr>
            <w:r>
              <w:rPr>
                <w:rFonts w:ascii="Times New Roman" w:hAnsi="Times New Roman"/>
              </w:rPr>
            </w:r>
          </w:p>
        </w:tc>
        <w:tc>
          <w:tcPr>
            <w:tcW w:w="1638" w:type="dxa"/>
            <w:vMerge w:val="restart"/>
            <w:tcBorders>
              <w:left w:val="single" w:sz="4" w:space="0" w:color="000000"/>
              <w:bottom w:val="single" w:sz="4" w:space="0" w:color="000000"/>
              <w:right w:val="single" w:sz="4" w:space="0" w:color="000000"/>
            </w:tcBorders>
          </w:tcPr>
          <w:p>
            <w:pPr>
              <w:pStyle w:val="Style71"/>
              <w:widowControl w:val="false"/>
              <w:rPr>
                <w:rFonts w:ascii="Times New Roman" w:hAnsi="Times New Roman"/>
              </w:rPr>
            </w:pPr>
            <w:r>
              <w:rPr>
                <w:rFonts w:ascii="Times New Roman" w:hAnsi="Times New Roman"/>
              </w:rPr>
            </w:r>
          </w:p>
        </w:tc>
      </w:tr>
      <w:tr>
        <w:trPr/>
        <w:tc>
          <w:tcPr>
            <w:tcW w:w="1981" w:type="dxa"/>
            <w:vMerge w:val="continue"/>
            <w:tcBorders>
              <w:left w:val="single" w:sz="4" w:space="0" w:color="000000"/>
              <w:bottom w:val="single" w:sz="4" w:space="0" w:color="000000"/>
            </w:tcBorders>
          </w:tcPr>
          <w:p>
            <w:pPr>
              <w:pStyle w:val="Normal"/>
              <w:widowControl w:val="false"/>
              <w:rPr/>
            </w:pPr>
            <w:r>
              <w:rPr/>
            </w:r>
          </w:p>
        </w:tc>
        <w:tc>
          <w:tcPr>
            <w:tcW w:w="1247" w:type="dxa"/>
            <w:vMerge w:val="continue"/>
            <w:tcBorders>
              <w:left w:val="single" w:sz="4" w:space="0" w:color="000000"/>
              <w:bottom w:val="single" w:sz="4" w:space="0" w:color="000000"/>
            </w:tcBorders>
          </w:tcPr>
          <w:p>
            <w:pPr>
              <w:pStyle w:val="Normal"/>
              <w:widowControl w:val="false"/>
              <w:rPr/>
            </w:pPr>
            <w:r>
              <w:rPr/>
            </w:r>
          </w:p>
        </w:tc>
        <w:tc>
          <w:tcPr>
            <w:tcW w:w="1929" w:type="dxa"/>
            <w:tcBorders>
              <w:left w:val="single" w:sz="4" w:space="0" w:color="000000"/>
              <w:bottom w:val="single" w:sz="4" w:space="0" w:color="000000"/>
            </w:tcBorders>
          </w:tcPr>
          <w:p>
            <w:pPr>
              <w:pStyle w:val="Style71"/>
              <w:widowControl w:val="false"/>
              <w:rPr/>
            </w:pPr>
            <w:r>
              <w:rPr/>
            </w:r>
          </w:p>
        </w:tc>
        <w:tc>
          <w:tcPr>
            <w:tcW w:w="1306" w:type="dxa"/>
            <w:tcBorders>
              <w:left w:val="single" w:sz="4" w:space="0" w:color="000000"/>
              <w:bottom w:val="single" w:sz="4" w:space="0" w:color="000000"/>
            </w:tcBorders>
          </w:tcPr>
          <w:p>
            <w:pPr>
              <w:pStyle w:val="Style71"/>
              <w:widowControl w:val="false"/>
              <w:rPr/>
            </w:pPr>
            <w:r>
              <w:rPr/>
            </w:r>
          </w:p>
        </w:tc>
        <w:tc>
          <w:tcPr>
            <w:tcW w:w="1863" w:type="dxa"/>
            <w:tcBorders>
              <w:left w:val="single" w:sz="4" w:space="0" w:color="000000"/>
              <w:bottom w:val="single" w:sz="4" w:space="0" w:color="000000"/>
            </w:tcBorders>
          </w:tcPr>
          <w:p>
            <w:pPr>
              <w:pStyle w:val="Style71"/>
              <w:widowControl w:val="false"/>
              <w:rPr/>
            </w:pPr>
            <w:r>
              <w:rPr/>
            </w:r>
          </w:p>
        </w:tc>
        <w:tc>
          <w:tcPr>
            <w:tcW w:w="1371" w:type="dxa"/>
            <w:tcBorders>
              <w:left w:val="single" w:sz="4" w:space="0" w:color="000000"/>
              <w:bottom w:val="single" w:sz="4" w:space="0" w:color="000000"/>
            </w:tcBorders>
          </w:tcPr>
          <w:p>
            <w:pPr>
              <w:pStyle w:val="Style71"/>
              <w:widowControl w:val="false"/>
              <w:rPr/>
            </w:pPr>
            <w:r>
              <w:rPr/>
            </w:r>
          </w:p>
        </w:tc>
        <w:tc>
          <w:tcPr>
            <w:tcW w:w="1920" w:type="dxa"/>
            <w:tcBorders>
              <w:left w:val="single" w:sz="4" w:space="0" w:color="000000"/>
              <w:bottom w:val="single" w:sz="4" w:space="0" w:color="000000"/>
            </w:tcBorders>
          </w:tcPr>
          <w:p>
            <w:pPr>
              <w:pStyle w:val="Style71"/>
              <w:widowControl w:val="false"/>
              <w:rPr/>
            </w:pPr>
            <w:r>
              <w:rPr/>
            </w:r>
          </w:p>
        </w:tc>
        <w:tc>
          <w:tcPr>
            <w:tcW w:w="1313" w:type="dxa"/>
            <w:tcBorders>
              <w:left w:val="single" w:sz="4" w:space="0" w:color="000000"/>
              <w:bottom w:val="single" w:sz="4" w:space="0" w:color="000000"/>
            </w:tcBorders>
          </w:tcPr>
          <w:p>
            <w:pPr>
              <w:pStyle w:val="Style71"/>
              <w:widowControl w:val="false"/>
              <w:rPr/>
            </w:pPr>
            <w:r>
              <w:rPr/>
            </w:r>
          </w:p>
        </w:tc>
        <w:tc>
          <w:tcPr>
            <w:tcW w:w="1638" w:type="dxa"/>
            <w:vMerge w:val="continue"/>
            <w:tcBorders>
              <w:left w:val="single" w:sz="4" w:space="0" w:color="000000"/>
              <w:bottom w:val="single" w:sz="4" w:space="0" w:color="000000"/>
              <w:right w:val="single" w:sz="4" w:space="0" w:color="000000"/>
            </w:tcBorders>
          </w:tcPr>
          <w:p>
            <w:pPr>
              <w:pStyle w:val="Normal"/>
              <w:widowControl w:val="false"/>
              <w:rPr/>
            </w:pPr>
            <w:r>
              <w:rPr/>
            </w:r>
          </w:p>
        </w:tc>
      </w:tr>
      <w:tr>
        <w:trPr/>
        <w:tc>
          <w:tcPr>
            <w:tcW w:w="1981" w:type="dxa"/>
            <w:vMerge w:val="continue"/>
            <w:tcBorders>
              <w:left w:val="single" w:sz="4" w:space="0" w:color="000000"/>
              <w:bottom w:val="single" w:sz="4" w:space="0" w:color="000000"/>
            </w:tcBorders>
          </w:tcPr>
          <w:p>
            <w:pPr>
              <w:pStyle w:val="Normal"/>
              <w:widowControl w:val="false"/>
              <w:rPr/>
            </w:pPr>
            <w:r>
              <w:rPr/>
            </w:r>
          </w:p>
        </w:tc>
        <w:tc>
          <w:tcPr>
            <w:tcW w:w="1247" w:type="dxa"/>
            <w:vMerge w:val="continue"/>
            <w:tcBorders>
              <w:left w:val="single" w:sz="4" w:space="0" w:color="000000"/>
              <w:bottom w:val="single" w:sz="4" w:space="0" w:color="000000"/>
            </w:tcBorders>
          </w:tcPr>
          <w:p>
            <w:pPr>
              <w:pStyle w:val="Normal"/>
              <w:widowControl w:val="false"/>
              <w:rPr/>
            </w:pPr>
            <w:r>
              <w:rPr/>
            </w:r>
          </w:p>
        </w:tc>
        <w:tc>
          <w:tcPr>
            <w:tcW w:w="1929" w:type="dxa"/>
            <w:tcBorders>
              <w:left w:val="single" w:sz="4" w:space="0" w:color="000000"/>
              <w:bottom w:val="single" w:sz="4" w:space="0" w:color="000000"/>
            </w:tcBorders>
          </w:tcPr>
          <w:p>
            <w:pPr>
              <w:pStyle w:val="Style71"/>
              <w:widowControl w:val="false"/>
              <w:rPr/>
            </w:pPr>
            <w:r>
              <w:rPr/>
            </w:r>
          </w:p>
        </w:tc>
        <w:tc>
          <w:tcPr>
            <w:tcW w:w="1306" w:type="dxa"/>
            <w:tcBorders>
              <w:left w:val="single" w:sz="4" w:space="0" w:color="000000"/>
              <w:bottom w:val="single" w:sz="4" w:space="0" w:color="000000"/>
            </w:tcBorders>
          </w:tcPr>
          <w:p>
            <w:pPr>
              <w:pStyle w:val="Style71"/>
              <w:widowControl w:val="false"/>
              <w:rPr/>
            </w:pPr>
            <w:r>
              <w:rPr/>
            </w:r>
          </w:p>
        </w:tc>
        <w:tc>
          <w:tcPr>
            <w:tcW w:w="1863" w:type="dxa"/>
            <w:tcBorders>
              <w:left w:val="single" w:sz="4" w:space="0" w:color="000000"/>
              <w:bottom w:val="single" w:sz="4" w:space="0" w:color="000000"/>
            </w:tcBorders>
          </w:tcPr>
          <w:p>
            <w:pPr>
              <w:pStyle w:val="Style71"/>
              <w:widowControl w:val="false"/>
              <w:rPr/>
            </w:pPr>
            <w:r>
              <w:rPr/>
            </w:r>
          </w:p>
        </w:tc>
        <w:tc>
          <w:tcPr>
            <w:tcW w:w="1371" w:type="dxa"/>
            <w:tcBorders>
              <w:left w:val="single" w:sz="4" w:space="0" w:color="000000"/>
              <w:bottom w:val="single" w:sz="4" w:space="0" w:color="000000"/>
            </w:tcBorders>
          </w:tcPr>
          <w:p>
            <w:pPr>
              <w:pStyle w:val="Style71"/>
              <w:widowControl w:val="false"/>
              <w:rPr/>
            </w:pPr>
            <w:r>
              <w:rPr/>
            </w:r>
          </w:p>
        </w:tc>
        <w:tc>
          <w:tcPr>
            <w:tcW w:w="1920" w:type="dxa"/>
            <w:tcBorders>
              <w:left w:val="single" w:sz="4" w:space="0" w:color="000000"/>
              <w:bottom w:val="single" w:sz="4" w:space="0" w:color="000000"/>
            </w:tcBorders>
          </w:tcPr>
          <w:p>
            <w:pPr>
              <w:pStyle w:val="Style71"/>
              <w:widowControl w:val="false"/>
              <w:rPr/>
            </w:pPr>
            <w:r>
              <w:rPr/>
            </w:r>
          </w:p>
        </w:tc>
        <w:tc>
          <w:tcPr>
            <w:tcW w:w="1313" w:type="dxa"/>
            <w:tcBorders>
              <w:left w:val="single" w:sz="4" w:space="0" w:color="000000"/>
              <w:bottom w:val="single" w:sz="4" w:space="0" w:color="000000"/>
            </w:tcBorders>
          </w:tcPr>
          <w:p>
            <w:pPr>
              <w:pStyle w:val="Style71"/>
              <w:widowControl w:val="false"/>
              <w:rPr/>
            </w:pPr>
            <w:r>
              <w:rPr/>
            </w:r>
          </w:p>
        </w:tc>
        <w:tc>
          <w:tcPr>
            <w:tcW w:w="1638" w:type="dxa"/>
            <w:vMerge w:val="continue"/>
            <w:tcBorders>
              <w:left w:val="single" w:sz="4" w:space="0" w:color="000000"/>
              <w:bottom w:val="single" w:sz="4" w:space="0" w:color="000000"/>
              <w:right w:val="single" w:sz="4" w:space="0" w:color="000000"/>
            </w:tcBorders>
          </w:tcPr>
          <w:p>
            <w:pPr>
              <w:pStyle w:val="Normal"/>
              <w:widowControl w:val="false"/>
              <w:rPr/>
            </w:pPr>
            <w:r>
              <w:rPr/>
            </w:r>
          </w:p>
        </w:tc>
      </w:tr>
      <w:tr>
        <w:trPr/>
        <w:tc>
          <w:tcPr>
            <w:tcW w:w="1981" w:type="dxa"/>
            <w:vMerge w:val="restart"/>
            <w:tcBorders>
              <w:left w:val="single" w:sz="4" w:space="0" w:color="000000"/>
              <w:bottom w:val="single" w:sz="4" w:space="0" w:color="000000"/>
            </w:tcBorders>
          </w:tcPr>
          <w:p>
            <w:pPr>
              <w:pStyle w:val="Style71"/>
              <w:widowControl w:val="false"/>
              <w:rPr/>
            </w:pPr>
            <w:r>
              <w:rPr/>
            </w:r>
          </w:p>
        </w:tc>
        <w:tc>
          <w:tcPr>
            <w:tcW w:w="1247" w:type="dxa"/>
            <w:vMerge w:val="restart"/>
            <w:tcBorders>
              <w:left w:val="single" w:sz="4" w:space="0" w:color="000000"/>
              <w:bottom w:val="single" w:sz="4" w:space="0" w:color="000000"/>
            </w:tcBorders>
          </w:tcPr>
          <w:p>
            <w:pPr>
              <w:pStyle w:val="Style71"/>
              <w:widowControl w:val="false"/>
              <w:rPr/>
            </w:pPr>
            <w:r>
              <w:rPr/>
            </w:r>
          </w:p>
        </w:tc>
        <w:tc>
          <w:tcPr>
            <w:tcW w:w="1929" w:type="dxa"/>
            <w:tcBorders>
              <w:left w:val="single" w:sz="4" w:space="0" w:color="000000"/>
              <w:bottom w:val="single" w:sz="4" w:space="0" w:color="000000"/>
            </w:tcBorders>
          </w:tcPr>
          <w:p>
            <w:pPr>
              <w:pStyle w:val="Style71"/>
              <w:widowControl w:val="false"/>
              <w:rPr/>
            </w:pPr>
            <w:r>
              <w:rPr/>
            </w:r>
          </w:p>
        </w:tc>
        <w:tc>
          <w:tcPr>
            <w:tcW w:w="1306" w:type="dxa"/>
            <w:tcBorders>
              <w:left w:val="single" w:sz="4" w:space="0" w:color="000000"/>
              <w:bottom w:val="single" w:sz="4" w:space="0" w:color="000000"/>
            </w:tcBorders>
          </w:tcPr>
          <w:p>
            <w:pPr>
              <w:pStyle w:val="Style71"/>
              <w:widowControl w:val="false"/>
              <w:rPr/>
            </w:pPr>
            <w:r>
              <w:rPr/>
            </w:r>
          </w:p>
        </w:tc>
        <w:tc>
          <w:tcPr>
            <w:tcW w:w="1863" w:type="dxa"/>
            <w:tcBorders>
              <w:left w:val="single" w:sz="4" w:space="0" w:color="000000"/>
              <w:bottom w:val="single" w:sz="4" w:space="0" w:color="000000"/>
            </w:tcBorders>
          </w:tcPr>
          <w:p>
            <w:pPr>
              <w:pStyle w:val="Style71"/>
              <w:widowControl w:val="false"/>
              <w:rPr/>
            </w:pPr>
            <w:r>
              <w:rPr/>
            </w:r>
          </w:p>
        </w:tc>
        <w:tc>
          <w:tcPr>
            <w:tcW w:w="1371" w:type="dxa"/>
            <w:tcBorders>
              <w:left w:val="single" w:sz="4" w:space="0" w:color="000000"/>
              <w:bottom w:val="single" w:sz="4" w:space="0" w:color="000000"/>
            </w:tcBorders>
          </w:tcPr>
          <w:p>
            <w:pPr>
              <w:pStyle w:val="Style71"/>
              <w:widowControl w:val="false"/>
              <w:rPr/>
            </w:pPr>
            <w:r>
              <w:rPr/>
            </w:r>
          </w:p>
        </w:tc>
        <w:tc>
          <w:tcPr>
            <w:tcW w:w="1920" w:type="dxa"/>
            <w:tcBorders>
              <w:left w:val="single" w:sz="4" w:space="0" w:color="000000"/>
              <w:bottom w:val="single" w:sz="4" w:space="0" w:color="000000"/>
            </w:tcBorders>
          </w:tcPr>
          <w:p>
            <w:pPr>
              <w:pStyle w:val="Style71"/>
              <w:widowControl w:val="false"/>
              <w:rPr/>
            </w:pPr>
            <w:r>
              <w:rPr/>
            </w:r>
          </w:p>
        </w:tc>
        <w:tc>
          <w:tcPr>
            <w:tcW w:w="1313" w:type="dxa"/>
            <w:tcBorders>
              <w:left w:val="single" w:sz="4" w:space="0" w:color="000000"/>
              <w:bottom w:val="single" w:sz="4" w:space="0" w:color="000000"/>
            </w:tcBorders>
          </w:tcPr>
          <w:p>
            <w:pPr>
              <w:pStyle w:val="Style71"/>
              <w:widowControl w:val="false"/>
              <w:rPr/>
            </w:pPr>
            <w:r>
              <w:rPr/>
            </w:r>
          </w:p>
        </w:tc>
        <w:tc>
          <w:tcPr>
            <w:tcW w:w="1638" w:type="dxa"/>
            <w:vMerge w:val="restart"/>
            <w:tcBorders>
              <w:left w:val="single" w:sz="4" w:space="0" w:color="000000"/>
              <w:bottom w:val="single" w:sz="4" w:space="0" w:color="000000"/>
              <w:right w:val="single" w:sz="4" w:space="0" w:color="000000"/>
            </w:tcBorders>
          </w:tcPr>
          <w:p>
            <w:pPr>
              <w:pStyle w:val="Style71"/>
              <w:widowControl w:val="false"/>
              <w:rPr/>
            </w:pPr>
            <w:r>
              <w:rPr/>
            </w:r>
          </w:p>
        </w:tc>
      </w:tr>
      <w:tr>
        <w:trPr/>
        <w:tc>
          <w:tcPr>
            <w:tcW w:w="1981" w:type="dxa"/>
            <w:vMerge w:val="continue"/>
            <w:tcBorders>
              <w:left w:val="single" w:sz="4" w:space="0" w:color="000000"/>
              <w:bottom w:val="single" w:sz="4" w:space="0" w:color="000000"/>
            </w:tcBorders>
          </w:tcPr>
          <w:p>
            <w:pPr>
              <w:pStyle w:val="Normal"/>
              <w:widowControl w:val="false"/>
              <w:rPr/>
            </w:pPr>
            <w:r>
              <w:rPr/>
            </w:r>
          </w:p>
        </w:tc>
        <w:tc>
          <w:tcPr>
            <w:tcW w:w="1247" w:type="dxa"/>
            <w:vMerge w:val="continue"/>
            <w:tcBorders>
              <w:left w:val="single" w:sz="4" w:space="0" w:color="000000"/>
              <w:bottom w:val="single" w:sz="4" w:space="0" w:color="000000"/>
            </w:tcBorders>
          </w:tcPr>
          <w:p>
            <w:pPr>
              <w:pStyle w:val="Normal"/>
              <w:widowControl w:val="false"/>
              <w:rPr/>
            </w:pPr>
            <w:r>
              <w:rPr/>
            </w:r>
          </w:p>
        </w:tc>
        <w:tc>
          <w:tcPr>
            <w:tcW w:w="1929" w:type="dxa"/>
            <w:tcBorders>
              <w:left w:val="single" w:sz="4" w:space="0" w:color="000000"/>
              <w:bottom w:val="single" w:sz="4" w:space="0" w:color="000000"/>
            </w:tcBorders>
          </w:tcPr>
          <w:p>
            <w:pPr>
              <w:pStyle w:val="Style71"/>
              <w:widowControl w:val="false"/>
              <w:rPr/>
            </w:pPr>
            <w:r>
              <w:rPr/>
            </w:r>
          </w:p>
        </w:tc>
        <w:tc>
          <w:tcPr>
            <w:tcW w:w="1306" w:type="dxa"/>
            <w:tcBorders>
              <w:left w:val="single" w:sz="4" w:space="0" w:color="000000"/>
              <w:bottom w:val="single" w:sz="4" w:space="0" w:color="000000"/>
            </w:tcBorders>
          </w:tcPr>
          <w:p>
            <w:pPr>
              <w:pStyle w:val="Style71"/>
              <w:widowControl w:val="false"/>
              <w:rPr/>
            </w:pPr>
            <w:r>
              <w:rPr/>
            </w:r>
          </w:p>
        </w:tc>
        <w:tc>
          <w:tcPr>
            <w:tcW w:w="1863" w:type="dxa"/>
            <w:tcBorders>
              <w:left w:val="single" w:sz="4" w:space="0" w:color="000000"/>
              <w:bottom w:val="single" w:sz="4" w:space="0" w:color="000000"/>
            </w:tcBorders>
          </w:tcPr>
          <w:p>
            <w:pPr>
              <w:pStyle w:val="Style71"/>
              <w:widowControl w:val="false"/>
              <w:rPr/>
            </w:pPr>
            <w:r>
              <w:rPr/>
            </w:r>
          </w:p>
        </w:tc>
        <w:tc>
          <w:tcPr>
            <w:tcW w:w="1371" w:type="dxa"/>
            <w:tcBorders>
              <w:left w:val="single" w:sz="4" w:space="0" w:color="000000"/>
              <w:bottom w:val="single" w:sz="4" w:space="0" w:color="000000"/>
            </w:tcBorders>
          </w:tcPr>
          <w:p>
            <w:pPr>
              <w:pStyle w:val="Style71"/>
              <w:widowControl w:val="false"/>
              <w:rPr/>
            </w:pPr>
            <w:r>
              <w:rPr/>
            </w:r>
          </w:p>
        </w:tc>
        <w:tc>
          <w:tcPr>
            <w:tcW w:w="1920" w:type="dxa"/>
            <w:tcBorders>
              <w:left w:val="single" w:sz="4" w:space="0" w:color="000000"/>
              <w:bottom w:val="single" w:sz="4" w:space="0" w:color="000000"/>
            </w:tcBorders>
          </w:tcPr>
          <w:p>
            <w:pPr>
              <w:pStyle w:val="Style71"/>
              <w:widowControl w:val="false"/>
              <w:rPr/>
            </w:pPr>
            <w:r>
              <w:rPr/>
            </w:r>
          </w:p>
        </w:tc>
        <w:tc>
          <w:tcPr>
            <w:tcW w:w="1313" w:type="dxa"/>
            <w:tcBorders>
              <w:left w:val="single" w:sz="4" w:space="0" w:color="000000"/>
              <w:bottom w:val="single" w:sz="4" w:space="0" w:color="000000"/>
            </w:tcBorders>
          </w:tcPr>
          <w:p>
            <w:pPr>
              <w:pStyle w:val="Style71"/>
              <w:widowControl w:val="false"/>
              <w:rPr/>
            </w:pPr>
            <w:r>
              <w:rPr/>
            </w:r>
          </w:p>
        </w:tc>
        <w:tc>
          <w:tcPr>
            <w:tcW w:w="1638" w:type="dxa"/>
            <w:vMerge w:val="continue"/>
            <w:tcBorders>
              <w:left w:val="single" w:sz="4" w:space="0" w:color="000000"/>
              <w:bottom w:val="single" w:sz="4" w:space="0" w:color="000000"/>
              <w:right w:val="single" w:sz="4" w:space="0" w:color="000000"/>
            </w:tcBorders>
          </w:tcPr>
          <w:p>
            <w:pPr>
              <w:pStyle w:val="Normal"/>
              <w:widowControl w:val="false"/>
              <w:rPr/>
            </w:pPr>
            <w:r>
              <w:rPr/>
            </w:r>
          </w:p>
        </w:tc>
      </w:tr>
      <w:tr>
        <w:trPr/>
        <w:tc>
          <w:tcPr>
            <w:tcW w:w="1981" w:type="dxa"/>
            <w:vMerge w:val="continue"/>
            <w:tcBorders>
              <w:left w:val="single" w:sz="4" w:space="0" w:color="000000"/>
              <w:bottom w:val="single" w:sz="4" w:space="0" w:color="000000"/>
            </w:tcBorders>
          </w:tcPr>
          <w:p>
            <w:pPr>
              <w:pStyle w:val="Normal"/>
              <w:widowControl w:val="false"/>
              <w:rPr/>
            </w:pPr>
            <w:r>
              <w:rPr/>
            </w:r>
          </w:p>
        </w:tc>
        <w:tc>
          <w:tcPr>
            <w:tcW w:w="1247" w:type="dxa"/>
            <w:vMerge w:val="continue"/>
            <w:tcBorders>
              <w:left w:val="single" w:sz="4" w:space="0" w:color="000000"/>
              <w:bottom w:val="single" w:sz="4" w:space="0" w:color="000000"/>
            </w:tcBorders>
          </w:tcPr>
          <w:p>
            <w:pPr>
              <w:pStyle w:val="Normal"/>
              <w:widowControl w:val="false"/>
              <w:rPr/>
            </w:pPr>
            <w:r>
              <w:rPr/>
            </w:r>
          </w:p>
        </w:tc>
        <w:tc>
          <w:tcPr>
            <w:tcW w:w="1929" w:type="dxa"/>
            <w:tcBorders>
              <w:left w:val="single" w:sz="4" w:space="0" w:color="000000"/>
              <w:bottom w:val="single" w:sz="4" w:space="0" w:color="000000"/>
            </w:tcBorders>
          </w:tcPr>
          <w:p>
            <w:pPr>
              <w:pStyle w:val="Style71"/>
              <w:widowControl w:val="false"/>
              <w:rPr/>
            </w:pPr>
            <w:r>
              <w:rPr/>
            </w:r>
          </w:p>
        </w:tc>
        <w:tc>
          <w:tcPr>
            <w:tcW w:w="1306" w:type="dxa"/>
            <w:tcBorders>
              <w:left w:val="single" w:sz="4" w:space="0" w:color="000000"/>
              <w:bottom w:val="single" w:sz="4" w:space="0" w:color="000000"/>
            </w:tcBorders>
          </w:tcPr>
          <w:p>
            <w:pPr>
              <w:pStyle w:val="Style71"/>
              <w:widowControl w:val="false"/>
              <w:rPr/>
            </w:pPr>
            <w:r>
              <w:rPr/>
            </w:r>
          </w:p>
        </w:tc>
        <w:tc>
          <w:tcPr>
            <w:tcW w:w="1863" w:type="dxa"/>
            <w:tcBorders>
              <w:left w:val="single" w:sz="4" w:space="0" w:color="000000"/>
              <w:bottom w:val="single" w:sz="4" w:space="0" w:color="000000"/>
            </w:tcBorders>
          </w:tcPr>
          <w:p>
            <w:pPr>
              <w:pStyle w:val="Style71"/>
              <w:widowControl w:val="false"/>
              <w:rPr/>
            </w:pPr>
            <w:r>
              <w:rPr/>
            </w:r>
          </w:p>
        </w:tc>
        <w:tc>
          <w:tcPr>
            <w:tcW w:w="1371" w:type="dxa"/>
            <w:tcBorders>
              <w:left w:val="single" w:sz="4" w:space="0" w:color="000000"/>
              <w:bottom w:val="single" w:sz="4" w:space="0" w:color="000000"/>
            </w:tcBorders>
          </w:tcPr>
          <w:p>
            <w:pPr>
              <w:pStyle w:val="Style71"/>
              <w:widowControl w:val="false"/>
              <w:rPr/>
            </w:pPr>
            <w:r>
              <w:rPr/>
            </w:r>
          </w:p>
        </w:tc>
        <w:tc>
          <w:tcPr>
            <w:tcW w:w="1920" w:type="dxa"/>
            <w:tcBorders>
              <w:left w:val="single" w:sz="4" w:space="0" w:color="000000"/>
              <w:bottom w:val="single" w:sz="4" w:space="0" w:color="000000"/>
            </w:tcBorders>
          </w:tcPr>
          <w:p>
            <w:pPr>
              <w:pStyle w:val="Style71"/>
              <w:widowControl w:val="false"/>
              <w:rPr/>
            </w:pPr>
            <w:r>
              <w:rPr/>
            </w:r>
          </w:p>
        </w:tc>
        <w:tc>
          <w:tcPr>
            <w:tcW w:w="1313" w:type="dxa"/>
            <w:tcBorders>
              <w:left w:val="single" w:sz="4" w:space="0" w:color="000000"/>
              <w:bottom w:val="single" w:sz="4" w:space="0" w:color="000000"/>
            </w:tcBorders>
          </w:tcPr>
          <w:p>
            <w:pPr>
              <w:pStyle w:val="Style71"/>
              <w:widowControl w:val="false"/>
              <w:rPr/>
            </w:pPr>
            <w:r>
              <w:rPr/>
            </w:r>
          </w:p>
        </w:tc>
        <w:tc>
          <w:tcPr>
            <w:tcW w:w="1638" w:type="dxa"/>
            <w:vMerge w:val="continue"/>
            <w:tcBorders>
              <w:left w:val="single" w:sz="4" w:space="0" w:color="000000"/>
              <w:bottom w:val="single" w:sz="4" w:space="0" w:color="000000"/>
              <w:right w:val="single" w:sz="4" w:space="0" w:color="000000"/>
            </w:tcBorders>
          </w:tcPr>
          <w:p>
            <w:pPr>
              <w:pStyle w:val="Normal"/>
              <w:widowControl w:val="false"/>
              <w:rPr/>
            </w:pPr>
            <w:r>
              <w:rPr/>
            </w:r>
          </w:p>
        </w:tc>
      </w:tr>
      <w:tr>
        <w:trPr/>
        <w:tc>
          <w:tcPr>
            <w:tcW w:w="1981" w:type="dxa"/>
            <w:vMerge w:val="restart"/>
            <w:tcBorders>
              <w:left w:val="single" w:sz="4" w:space="0" w:color="000000"/>
              <w:bottom w:val="single" w:sz="4" w:space="0" w:color="000000"/>
            </w:tcBorders>
          </w:tcPr>
          <w:p>
            <w:pPr>
              <w:pStyle w:val="Style71"/>
              <w:widowControl w:val="false"/>
              <w:rPr/>
            </w:pPr>
            <w:r>
              <w:rPr/>
            </w:r>
          </w:p>
        </w:tc>
        <w:tc>
          <w:tcPr>
            <w:tcW w:w="1247" w:type="dxa"/>
            <w:vMerge w:val="restart"/>
            <w:tcBorders>
              <w:left w:val="single" w:sz="4" w:space="0" w:color="000000"/>
              <w:bottom w:val="single" w:sz="4" w:space="0" w:color="000000"/>
            </w:tcBorders>
          </w:tcPr>
          <w:p>
            <w:pPr>
              <w:pStyle w:val="Style71"/>
              <w:widowControl w:val="false"/>
              <w:rPr/>
            </w:pPr>
            <w:r>
              <w:rPr/>
            </w:r>
          </w:p>
        </w:tc>
        <w:tc>
          <w:tcPr>
            <w:tcW w:w="1929" w:type="dxa"/>
            <w:tcBorders>
              <w:left w:val="single" w:sz="4" w:space="0" w:color="000000"/>
              <w:bottom w:val="single" w:sz="4" w:space="0" w:color="000000"/>
            </w:tcBorders>
          </w:tcPr>
          <w:p>
            <w:pPr>
              <w:pStyle w:val="Style71"/>
              <w:widowControl w:val="false"/>
              <w:rPr/>
            </w:pPr>
            <w:r>
              <w:rPr/>
            </w:r>
          </w:p>
        </w:tc>
        <w:tc>
          <w:tcPr>
            <w:tcW w:w="1306" w:type="dxa"/>
            <w:tcBorders>
              <w:left w:val="single" w:sz="4" w:space="0" w:color="000000"/>
              <w:bottom w:val="single" w:sz="4" w:space="0" w:color="000000"/>
            </w:tcBorders>
          </w:tcPr>
          <w:p>
            <w:pPr>
              <w:pStyle w:val="Style71"/>
              <w:widowControl w:val="false"/>
              <w:rPr/>
            </w:pPr>
            <w:r>
              <w:rPr/>
            </w:r>
          </w:p>
        </w:tc>
        <w:tc>
          <w:tcPr>
            <w:tcW w:w="1863" w:type="dxa"/>
            <w:tcBorders>
              <w:left w:val="single" w:sz="4" w:space="0" w:color="000000"/>
              <w:bottom w:val="single" w:sz="4" w:space="0" w:color="000000"/>
            </w:tcBorders>
          </w:tcPr>
          <w:p>
            <w:pPr>
              <w:pStyle w:val="Style71"/>
              <w:widowControl w:val="false"/>
              <w:rPr/>
            </w:pPr>
            <w:r>
              <w:rPr/>
            </w:r>
          </w:p>
        </w:tc>
        <w:tc>
          <w:tcPr>
            <w:tcW w:w="1371" w:type="dxa"/>
            <w:tcBorders>
              <w:left w:val="single" w:sz="4" w:space="0" w:color="000000"/>
              <w:bottom w:val="single" w:sz="4" w:space="0" w:color="000000"/>
            </w:tcBorders>
          </w:tcPr>
          <w:p>
            <w:pPr>
              <w:pStyle w:val="Style71"/>
              <w:widowControl w:val="false"/>
              <w:rPr/>
            </w:pPr>
            <w:r>
              <w:rPr/>
            </w:r>
          </w:p>
        </w:tc>
        <w:tc>
          <w:tcPr>
            <w:tcW w:w="1920" w:type="dxa"/>
            <w:tcBorders>
              <w:left w:val="single" w:sz="4" w:space="0" w:color="000000"/>
              <w:bottom w:val="single" w:sz="4" w:space="0" w:color="000000"/>
            </w:tcBorders>
          </w:tcPr>
          <w:p>
            <w:pPr>
              <w:pStyle w:val="Style71"/>
              <w:widowControl w:val="false"/>
              <w:rPr/>
            </w:pPr>
            <w:r>
              <w:rPr/>
            </w:r>
          </w:p>
        </w:tc>
        <w:tc>
          <w:tcPr>
            <w:tcW w:w="1313" w:type="dxa"/>
            <w:tcBorders>
              <w:left w:val="single" w:sz="4" w:space="0" w:color="000000"/>
              <w:bottom w:val="single" w:sz="4" w:space="0" w:color="000000"/>
            </w:tcBorders>
          </w:tcPr>
          <w:p>
            <w:pPr>
              <w:pStyle w:val="Style71"/>
              <w:widowControl w:val="false"/>
              <w:rPr/>
            </w:pPr>
            <w:r>
              <w:rPr/>
            </w:r>
          </w:p>
        </w:tc>
        <w:tc>
          <w:tcPr>
            <w:tcW w:w="1638" w:type="dxa"/>
            <w:vMerge w:val="restart"/>
            <w:tcBorders>
              <w:left w:val="single" w:sz="4" w:space="0" w:color="000000"/>
              <w:bottom w:val="single" w:sz="4" w:space="0" w:color="000000"/>
              <w:right w:val="single" w:sz="4" w:space="0" w:color="000000"/>
            </w:tcBorders>
          </w:tcPr>
          <w:p>
            <w:pPr>
              <w:pStyle w:val="Style71"/>
              <w:widowControl w:val="false"/>
              <w:rPr/>
            </w:pPr>
            <w:r>
              <w:rPr/>
            </w:r>
          </w:p>
        </w:tc>
      </w:tr>
      <w:tr>
        <w:trPr/>
        <w:tc>
          <w:tcPr>
            <w:tcW w:w="1981" w:type="dxa"/>
            <w:vMerge w:val="continue"/>
            <w:tcBorders>
              <w:left w:val="single" w:sz="4" w:space="0" w:color="000000"/>
              <w:bottom w:val="single" w:sz="4" w:space="0" w:color="000000"/>
            </w:tcBorders>
          </w:tcPr>
          <w:p>
            <w:pPr>
              <w:pStyle w:val="Normal"/>
              <w:widowControl w:val="false"/>
              <w:rPr/>
            </w:pPr>
            <w:r>
              <w:rPr/>
            </w:r>
          </w:p>
        </w:tc>
        <w:tc>
          <w:tcPr>
            <w:tcW w:w="1247" w:type="dxa"/>
            <w:vMerge w:val="continue"/>
            <w:tcBorders>
              <w:left w:val="single" w:sz="4" w:space="0" w:color="000000"/>
              <w:bottom w:val="single" w:sz="4" w:space="0" w:color="000000"/>
            </w:tcBorders>
          </w:tcPr>
          <w:p>
            <w:pPr>
              <w:pStyle w:val="Normal"/>
              <w:widowControl w:val="false"/>
              <w:rPr/>
            </w:pPr>
            <w:r>
              <w:rPr/>
            </w:r>
          </w:p>
        </w:tc>
        <w:tc>
          <w:tcPr>
            <w:tcW w:w="1929" w:type="dxa"/>
            <w:tcBorders>
              <w:left w:val="single" w:sz="4" w:space="0" w:color="000000"/>
              <w:bottom w:val="single" w:sz="4" w:space="0" w:color="000000"/>
            </w:tcBorders>
          </w:tcPr>
          <w:p>
            <w:pPr>
              <w:pStyle w:val="Style71"/>
              <w:widowControl w:val="false"/>
              <w:rPr/>
            </w:pPr>
            <w:r>
              <w:rPr/>
            </w:r>
          </w:p>
        </w:tc>
        <w:tc>
          <w:tcPr>
            <w:tcW w:w="1306" w:type="dxa"/>
            <w:tcBorders>
              <w:left w:val="single" w:sz="4" w:space="0" w:color="000000"/>
              <w:bottom w:val="single" w:sz="4" w:space="0" w:color="000000"/>
            </w:tcBorders>
          </w:tcPr>
          <w:p>
            <w:pPr>
              <w:pStyle w:val="Style71"/>
              <w:widowControl w:val="false"/>
              <w:rPr/>
            </w:pPr>
            <w:r>
              <w:rPr/>
            </w:r>
          </w:p>
        </w:tc>
        <w:tc>
          <w:tcPr>
            <w:tcW w:w="1863" w:type="dxa"/>
            <w:tcBorders>
              <w:left w:val="single" w:sz="4" w:space="0" w:color="000000"/>
              <w:bottom w:val="single" w:sz="4" w:space="0" w:color="000000"/>
            </w:tcBorders>
          </w:tcPr>
          <w:p>
            <w:pPr>
              <w:pStyle w:val="Style71"/>
              <w:widowControl w:val="false"/>
              <w:rPr/>
            </w:pPr>
            <w:r>
              <w:rPr/>
            </w:r>
          </w:p>
        </w:tc>
        <w:tc>
          <w:tcPr>
            <w:tcW w:w="1371" w:type="dxa"/>
            <w:tcBorders>
              <w:left w:val="single" w:sz="4" w:space="0" w:color="000000"/>
              <w:bottom w:val="single" w:sz="4" w:space="0" w:color="000000"/>
            </w:tcBorders>
          </w:tcPr>
          <w:p>
            <w:pPr>
              <w:pStyle w:val="Style71"/>
              <w:widowControl w:val="false"/>
              <w:rPr/>
            </w:pPr>
            <w:r>
              <w:rPr/>
            </w:r>
          </w:p>
        </w:tc>
        <w:tc>
          <w:tcPr>
            <w:tcW w:w="1920" w:type="dxa"/>
            <w:tcBorders>
              <w:left w:val="single" w:sz="4" w:space="0" w:color="000000"/>
              <w:bottom w:val="single" w:sz="4" w:space="0" w:color="000000"/>
            </w:tcBorders>
          </w:tcPr>
          <w:p>
            <w:pPr>
              <w:pStyle w:val="Style71"/>
              <w:widowControl w:val="false"/>
              <w:rPr/>
            </w:pPr>
            <w:r>
              <w:rPr/>
            </w:r>
          </w:p>
        </w:tc>
        <w:tc>
          <w:tcPr>
            <w:tcW w:w="1313" w:type="dxa"/>
            <w:tcBorders>
              <w:left w:val="single" w:sz="4" w:space="0" w:color="000000"/>
              <w:bottom w:val="single" w:sz="4" w:space="0" w:color="000000"/>
            </w:tcBorders>
          </w:tcPr>
          <w:p>
            <w:pPr>
              <w:pStyle w:val="Style71"/>
              <w:widowControl w:val="false"/>
              <w:rPr/>
            </w:pPr>
            <w:r>
              <w:rPr/>
            </w:r>
          </w:p>
        </w:tc>
        <w:tc>
          <w:tcPr>
            <w:tcW w:w="1638" w:type="dxa"/>
            <w:vMerge w:val="continue"/>
            <w:tcBorders>
              <w:left w:val="single" w:sz="4" w:space="0" w:color="000000"/>
              <w:bottom w:val="single" w:sz="4" w:space="0" w:color="000000"/>
              <w:right w:val="single" w:sz="4" w:space="0" w:color="000000"/>
            </w:tcBorders>
          </w:tcPr>
          <w:p>
            <w:pPr>
              <w:pStyle w:val="Normal"/>
              <w:widowControl w:val="false"/>
              <w:rPr/>
            </w:pPr>
            <w:r>
              <w:rPr/>
            </w:r>
          </w:p>
        </w:tc>
      </w:tr>
      <w:tr>
        <w:trPr/>
        <w:tc>
          <w:tcPr>
            <w:tcW w:w="1981" w:type="dxa"/>
            <w:vMerge w:val="continue"/>
            <w:tcBorders>
              <w:left w:val="single" w:sz="4" w:space="0" w:color="000000"/>
              <w:bottom w:val="single" w:sz="4" w:space="0" w:color="000000"/>
            </w:tcBorders>
          </w:tcPr>
          <w:p>
            <w:pPr>
              <w:pStyle w:val="Normal"/>
              <w:widowControl w:val="false"/>
              <w:rPr/>
            </w:pPr>
            <w:r>
              <w:rPr/>
            </w:r>
          </w:p>
        </w:tc>
        <w:tc>
          <w:tcPr>
            <w:tcW w:w="1247" w:type="dxa"/>
            <w:vMerge w:val="continue"/>
            <w:tcBorders>
              <w:left w:val="single" w:sz="4" w:space="0" w:color="000000"/>
              <w:bottom w:val="single" w:sz="4" w:space="0" w:color="000000"/>
            </w:tcBorders>
          </w:tcPr>
          <w:p>
            <w:pPr>
              <w:pStyle w:val="Normal"/>
              <w:widowControl w:val="false"/>
              <w:rPr/>
            </w:pPr>
            <w:r>
              <w:rPr/>
            </w:r>
          </w:p>
        </w:tc>
        <w:tc>
          <w:tcPr>
            <w:tcW w:w="1929" w:type="dxa"/>
            <w:tcBorders>
              <w:left w:val="single" w:sz="4" w:space="0" w:color="000000"/>
              <w:bottom w:val="single" w:sz="4" w:space="0" w:color="000000"/>
            </w:tcBorders>
          </w:tcPr>
          <w:p>
            <w:pPr>
              <w:pStyle w:val="Style71"/>
              <w:widowControl w:val="false"/>
              <w:rPr/>
            </w:pPr>
            <w:r>
              <w:rPr/>
            </w:r>
          </w:p>
        </w:tc>
        <w:tc>
          <w:tcPr>
            <w:tcW w:w="1306" w:type="dxa"/>
            <w:tcBorders>
              <w:left w:val="single" w:sz="4" w:space="0" w:color="000000"/>
              <w:bottom w:val="single" w:sz="4" w:space="0" w:color="000000"/>
            </w:tcBorders>
          </w:tcPr>
          <w:p>
            <w:pPr>
              <w:pStyle w:val="Style71"/>
              <w:widowControl w:val="false"/>
              <w:rPr/>
            </w:pPr>
            <w:r>
              <w:rPr/>
            </w:r>
          </w:p>
        </w:tc>
        <w:tc>
          <w:tcPr>
            <w:tcW w:w="1863" w:type="dxa"/>
            <w:tcBorders>
              <w:left w:val="single" w:sz="4" w:space="0" w:color="000000"/>
              <w:bottom w:val="single" w:sz="4" w:space="0" w:color="000000"/>
            </w:tcBorders>
          </w:tcPr>
          <w:p>
            <w:pPr>
              <w:pStyle w:val="Style71"/>
              <w:widowControl w:val="false"/>
              <w:rPr/>
            </w:pPr>
            <w:r>
              <w:rPr/>
            </w:r>
          </w:p>
        </w:tc>
        <w:tc>
          <w:tcPr>
            <w:tcW w:w="1371" w:type="dxa"/>
            <w:tcBorders>
              <w:left w:val="single" w:sz="4" w:space="0" w:color="000000"/>
              <w:bottom w:val="single" w:sz="4" w:space="0" w:color="000000"/>
            </w:tcBorders>
          </w:tcPr>
          <w:p>
            <w:pPr>
              <w:pStyle w:val="Style71"/>
              <w:widowControl w:val="false"/>
              <w:rPr/>
            </w:pPr>
            <w:r>
              <w:rPr/>
            </w:r>
          </w:p>
        </w:tc>
        <w:tc>
          <w:tcPr>
            <w:tcW w:w="1920" w:type="dxa"/>
            <w:tcBorders>
              <w:left w:val="single" w:sz="4" w:space="0" w:color="000000"/>
              <w:bottom w:val="single" w:sz="4" w:space="0" w:color="000000"/>
            </w:tcBorders>
          </w:tcPr>
          <w:p>
            <w:pPr>
              <w:pStyle w:val="Style71"/>
              <w:widowControl w:val="false"/>
              <w:rPr/>
            </w:pPr>
            <w:r>
              <w:rPr/>
            </w:r>
          </w:p>
        </w:tc>
        <w:tc>
          <w:tcPr>
            <w:tcW w:w="1313" w:type="dxa"/>
            <w:tcBorders>
              <w:left w:val="single" w:sz="4" w:space="0" w:color="000000"/>
              <w:bottom w:val="single" w:sz="4" w:space="0" w:color="000000"/>
            </w:tcBorders>
          </w:tcPr>
          <w:p>
            <w:pPr>
              <w:pStyle w:val="Style71"/>
              <w:widowControl w:val="false"/>
              <w:rPr/>
            </w:pPr>
            <w:r>
              <w:rPr/>
            </w:r>
          </w:p>
        </w:tc>
        <w:tc>
          <w:tcPr>
            <w:tcW w:w="1638" w:type="dxa"/>
            <w:vMerge w:val="continue"/>
            <w:tcBorders>
              <w:left w:val="single" w:sz="4" w:space="0" w:color="000000"/>
              <w:bottom w:val="single" w:sz="4" w:space="0" w:color="000000"/>
              <w:right w:val="single" w:sz="4" w:space="0" w:color="000000"/>
            </w:tcBorders>
          </w:tcPr>
          <w:p>
            <w:pPr>
              <w:pStyle w:val="Normal"/>
              <w:widowControl w:val="false"/>
              <w:rPr/>
            </w:pPr>
            <w:r>
              <w:rPr/>
            </w:r>
          </w:p>
        </w:tc>
      </w:tr>
      <w:tr>
        <w:trPr/>
        <w:tc>
          <w:tcPr>
            <w:tcW w:w="1981" w:type="dxa"/>
            <w:vMerge w:val="restart"/>
            <w:tcBorders>
              <w:left w:val="single" w:sz="4" w:space="0" w:color="000000"/>
              <w:bottom w:val="single" w:sz="4" w:space="0" w:color="000000"/>
            </w:tcBorders>
          </w:tcPr>
          <w:p>
            <w:pPr>
              <w:pStyle w:val="Style71"/>
              <w:widowControl w:val="false"/>
              <w:rPr/>
            </w:pPr>
            <w:r>
              <w:rPr/>
            </w:r>
          </w:p>
        </w:tc>
        <w:tc>
          <w:tcPr>
            <w:tcW w:w="1247" w:type="dxa"/>
            <w:vMerge w:val="restart"/>
            <w:tcBorders>
              <w:left w:val="single" w:sz="4" w:space="0" w:color="000000"/>
              <w:bottom w:val="single" w:sz="4" w:space="0" w:color="000000"/>
            </w:tcBorders>
          </w:tcPr>
          <w:p>
            <w:pPr>
              <w:pStyle w:val="Style71"/>
              <w:widowControl w:val="false"/>
              <w:rPr/>
            </w:pPr>
            <w:r>
              <w:rPr/>
            </w:r>
          </w:p>
        </w:tc>
        <w:tc>
          <w:tcPr>
            <w:tcW w:w="1929" w:type="dxa"/>
            <w:tcBorders>
              <w:left w:val="single" w:sz="4" w:space="0" w:color="000000"/>
              <w:bottom w:val="single" w:sz="4" w:space="0" w:color="000000"/>
            </w:tcBorders>
          </w:tcPr>
          <w:p>
            <w:pPr>
              <w:pStyle w:val="Style71"/>
              <w:widowControl w:val="false"/>
              <w:rPr/>
            </w:pPr>
            <w:r>
              <w:rPr/>
            </w:r>
          </w:p>
        </w:tc>
        <w:tc>
          <w:tcPr>
            <w:tcW w:w="1306" w:type="dxa"/>
            <w:tcBorders>
              <w:left w:val="single" w:sz="4" w:space="0" w:color="000000"/>
              <w:bottom w:val="single" w:sz="4" w:space="0" w:color="000000"/>
            </w:tcBorders>
          </w:tcPr>
          <w:p>
            <w:pPr>
              <w:pStyle w:val="Style71"/>
              <w:widowControl w:val="false"/>
              <w:rPr/>
            </w:pPr>
            <w:r>
              <w:rPr/>
            </w:r>
          </w:p>
        </w:tc>
        <w:tc>
          <w:tcPr>
            <w:tcW w:w="1863" w:type="dxa"/>
            <w:tcBorders>
              <w:left w:val="single" w:sz="4" w:space="0" w:color="000000"/>
              <w:bottom w:val="single" w:sz="4" w:space="0" w:color="000000"/>
            </w:tcBorders>
          </w:tcPr>
          <w:p>
            <w:pPr>
              <w:pStyle w:val="Style71"/>
              <w:widowControl w:val="false"/>
              <w:rPr/>
            </w:pPr>
            <w:r>
              <w:rPr/>
            </w:r>
          </w:p>
        </w:tc>
        <w:tc>
          <w:tcPr>
            <w:tcW w:w="1371" w:type="dxa"/>
            <w:tcBorders>
              <w:left w:val="single" w:sz="4" w:space="0" w:color="000000"/>
              <w:bottom w:val="single" w:sz="4" w:space="0" w:color="000000"/>
            </w:tcBorders>
          </w:tcPr>
          <w:p>
            <w:pPr>
              <w:pStyle w:val="Style71"/>
              <w:widowControl w:val="false"/>
              <w:rPr/>
            </w:pPr>
            <w:r>
              <w:rPr/>
            </w:r>
          </w:p>
        </w:tc>
        <w:tc>
          <w:tcPr>
            <w:tcW w:w="1920" w:type="dxa"/>
            <w:tcBorders>
              <w:left w:val="single" w:sz="4" w:space="0" w:color="000000"/>
              <w:bottom w:val="single" w:sz="4" w:space="0" w:color="000000"/>
            </w:tcBorders>
          </w:tcPr>
          <w:p>
            <w:pPr>
              <w:pStyle w:val="Style71"/>
              <w:widowControl w:val="false"/>
              <w:rPr/>
            </w:pPr>
            <w:r>
              <w:rPr/>
            </w:r>
          </w:p>
        </w:tc>
        <w:tc>
          <w:tcPr>
            <w:tcW w:w="1313" w:type="dxa"/>
            <w:tcBorders>
              <w:left w:val="single" w:sz="4" w:space="0" w:color="000000"/>
              <w:bottom w:val="single" w:sz="4" w:space="0" w:color="000000"/>
            </w:tcBorders>
          </w:tcPr>
          <w:p>
            <w:pPr>
              <w:pStyle w:val="Style71"/>
              <w:widowControl w:val="false"/>
              <w:rPr/>
            </w:pPr>
            <w:r>
              <w:rPr/>
            </w:r>
          </w:p>
        </w:tc>
        <w:tc>
          <w:tcPr>
            <w:tcW w:w="1638" w:type="dxa"/>
            <w:vMerge w:val="restart"/>
            <w:tcBorders>
              <w:left w:val="single" w:sz="4" w:space="0" w:color="000000"/>
              <w:bottom w:val="single" w:sz="4" w:space="0" w:color="000000"/>
              <w:right w:val="single" w:sz="4" w:space="0" w:color="000000"/>
            </w:tcBorders>
          </w:tcPr>
          <w:p>
            <w:pPr>
              <w:pStyle w:val="Style71"/>
              <w:widowControl w:val="false"/>
              <w:rPr/>
            </w:pPr>
            <w:r>
              <w:rPr/>
            </w:r>
          </w:p>
        </w:tc>
      </w:tr>
      <w:tr>
        <w:trPr/>
        <w:tc>
          <w:tcPr>
            <w:tcW w:w="1981" w:type="dxa"/>
            <w:vMerge w:val="continue"/>
            <w:tcBorders>
              <w:left w:val="single" w:sz="4" w:space="0" w:color="000000"/>
              <w:bottom w:val="single" w:sz="4" w:space="0" w:color="000000"/>
            </w:tcBorders>
          </w:tcPr>
          <w:p>
            <w:pPr>
              <w:pStyle w:val="Normal"/>
              <w:widowControl w:val="false"/>
              <w:rPr/>
            </w:pPr>
            <w:r>
              <w:rPr/>
            </w:r>
          </w:p>
        </w:tc>
        <w:tc>
          <w:tcPr>
            <w:tcW w:w="1247" w:type="dxa"/>
            <w:vMerge w:val="continue"/>
            <w:tcBorders>
              <w:left w:val="single" w:sz="4" w:space="0" w:color="000000"/>
              <w:bottom w:val="single" w:sz="4" w:space="0" w:color="000000"/>
            </w:tcBorders>
          </w:tcPr>
          <w:p>
            <w:pPr>
              <w:pStyle w:val="Normal"/>
              <w:widowControl w:val="false"/>
              <w:rPr/>
            </w:pPr>
            <w:r>
              <w:rPr/>
            </w:r>
          </w:p>
        </w:tc>
        <w:tc>
          <w:tcPr>
            <w:tcW w:w="1929" w:type="dxa"/>
            <w:tcBorders>
              <w:left w:val="single" w:sz="4" w:space="0" w:color="000000"/>
              <w:bottom w:val="single" w:sz="4" w:space="0" w:color="000000"/>
            </w:tcBorders>
          </w:tcPr>
          <w:p>
            <w:pPr>
              <w:pStyle w:val="Style71"/>
              <w:widowControl w:val="false"/>
              <w:rPr/>
            </w:pPr>
            <w:r>
              <w:rPr/>
            </w:r>
          </w:p>
        </w:tc>
        <w:tc>
          <w:tcPr>
            <w:tcW w:w="1306" w:type="dxa"/>
            <w:tcBorders>
              <w:left w:val="single" w:sz="4" w:space="0" w:color="000000"/>
              <w:bottom w:val="single" w:sz="4" w:space="0" w:color="000000"/>
            </w:tcBorders>
          </w:tcPr>
          <w:p>
            <w:pPr>
              <w:pStyle w:val="Style71"/>
              <w:widowControl w:val="false"/>
              <w:rPr/>
            </w:pPr>
            <w:r>
              <w:rPr/>
            </w:r>
          </w:p>
        </w:tc>
        <w:tc>
          <w:tcPr>
            <w:tcW w:w="1863" w:type="dxa"/>
            <w:tcBorders>
              <w:left w:val="single" w:sz="4" w:space="0" w:color="000000"/>
              <w:bottom w:val="single" w:sz="4" w:space="0" w:color="000000"/>
            </w:tcBorders>
          </w:tcPr>
          <w:p>
            <w:pPr>
              <w:pStyle w:val="Style71"/>
              <w:widowControl w:val="false"/>
              <w:rPr/>
            </w:pPr>
            <w:r>
              <w:rPr/>
            </w:r>
          </w:p>
        </w:tc>
        <w:tc>
          <w:tcPr>
            <w:tcW w:w="1371" w:type="dxa"/>
            <w:tcBorders>
              <w:left w:val="single" w:sz="4" w:space="0" w:color="000000"/>
              <w:bottom w:val="single" w:sz="4" w:space="0" w:color="000000"/>
            </w:tcBorders>
          </w:tcPr>
          <w:p>
            <w:pPr>
              <w:pStyle w:val="Style71"/>
              <w:widowControl w:val="false"/>
              <w:rPr/>
            </w:pPr>
            <w:r>
              <w:rPr/>
            </w:r>
          </w:p>
        </w:tc>
        <w:tc>
          <w:tcPr>
            <w:tcW w:w="1920" w:type="dxa"/>
            <w:tcBorders>
              <w:left w:val="single" w:sz="4" w:space="0" w:color="000000"/>
              <w:bottom w:val="single" w:sz="4" w:space="0" w:color="000000"/>
            </w:tcBorders>
          </w:tcPr>
          <w:p>
            <w:pPr>
              <w:pStyle w:val="Style71"/>
              <w:widowControl w:val="false"/>
              <w:rPr/>
            </w:pPr>
            <w:r>
              <w:rPr/>
            </w:r>
          </w:p>
        </w:tc>
        <w:tc>
          <w:tcPr>
            <w:tcW w:w="1313" w:type="dxa"/>
            <w:tcBorders>
              <w:left w:val="single" w:sz="4" w:space="0" w:color="000000"/>
              <w:bottom w:val="single" w:sz="4" w:space="0" w:color="000000"/>
            </w:tcBorders>
          </w:tcPr>
          <w:p>
            <w:pPr>
              <w:pStyle w:val="Style71"/>
              <w:widowControl w:val="false"/>
              <w:rPr/>
            </w:pPr>
            <w:r>
              <w:rPr/>
            </w:r>
          </w:p>
        </w:tc>
        <w:tc>
          <w:tcPr>
            <w:tcW w:w="1638" w:type="dxa"/>
            <w:vMerge w:val="continue"/>
            <w:tcBorders>
              <w:left w:val="single" w:sz="4" w:space="0" w:color="000000"/>
              <w:bottom w:val="single" w:sz="4" w:space="0" w:color="000000"/>
              <w:right w:val="single" w:sz="4" w:space="0" w:color="000000"/>
            </w:tcBorders>
          </w:tcPr>
          <w:p>
            <w:pPr>
              <w:pStyle w:val="Normal"/>
              <w:widowControl w:val="false"/>
              <w:rPr/>
            </w:pPr>
            <w:r>
              <w:rPr/>
            </w:r>
          </w:p>
        </w:tc>
      </w:tr>
      <w:tr>
        <w:trPr/>
        <w:tc>
          <w:tcPr>
            <w:tcW w:w="1981" w:type="dxa"/>
            <w:vMerge w:val="continue"/>
            <w:tcBorders>
              <w:left w:val="single" w:sz="4" w:space="0" w:color="000000"/>
              <w:bottom w:val="single" w:sz="4" w:space="0" w:color="000000"/>
            </w:tcBorders>
          </w:tcPr>
          <w:p>
            <w:pPr>
              <w:pStyle w:val="Normal"/>
              <w:widowControl w:val="false"/>
              <w:rPr/>
            </w:pPr>
            <w:r>
              <w:rPr/>
            </w:r>
          </w:p>
        </w:tc>
        <w:tc>
          <w:tcPr>
            <w:tcW w:w="1247" w:type="dxa"/>
            <w:vMerge w:val="continue"/>
            <w:tcBorders>
              <w:left w:val="single" w:sz="4" w:space="0" w:color="000000"/>
              <w:bottom w:val="single" w:sz="4" w:space="0" w:color="000000"/>
            </w:tcBorders>
          </w:tcPr>
          <w:p>
            <w:pPr>
              <w:pStyle w:val="Normal"/>
              <w:widowControl w:val="false"/>
              <w:rPr/>
            </w:pPr>
            <w:r>
              <w:rPr/>
            </w:r>
          </w:p>
        </w:tc>
        <w:tc>
          <w:tcPr>
            <w:tcW w:w="1929" w:type="dxa"/>
            <w:tcBorders>
              <w:left w:val="single" w:sz="4" w:space="0" w:color="000000"/>
              <w:bottom w:val="single" w:sz="4" w:space="0" w:color="000000"/>
            </w:tcBorders>
          </w:tcPr>
          <w:p>
            <w:pPr>
              <w:pStyle w:val="Style71"/>
              <w:widowControl w:val="false"/>
              <w:rPr/>
            </w:pPr>
            <w:r>
              <w:rPr/>
            </w:r>
          </w:p>
        </w:tc>
        <w:tc>
          <w:tcPr>
            <w:tcW w:w="1306" w:type="dxa"/>
            <w:tcBorders>
              <w:left w:val="single" w:sz="4" w:space="0" w:color="000000"/>
              <w:bottom w:val="single" w:sz="4" w:space="0" w:color="000000"/>
            </w:tcBorders>
          </w:tcPr>
          <w:p>
            <w:pPr>
              <w:pStyle w:val="Style71"/>
              <w:widowControl w:val="false"/>
              <w:rPr/>
            </w:pPr>
            <w:r>
              <w:rPr/>
            </w:r>
          </w:p>
        </w:tc>
        <w:tc>
          <w:tcPr>
            <w:tcW w:w="1863" w:type="dxa"/>
            <w:tcBorders>
              <w:left w:val="single" w:sz="4" w:space="0" w:color="000000"/>
              <w:bottom w:val="single" w:sz="4" w:space="0" w:color="000000"/>
            </w:tcBorders>
          </w:tcPr>
          <w:p>
            <w:pPr>
              <w:pStyle w:val="Style71"/>
              <w:widowControl w:val="false"/>
              <w:rPr/>
            </w:pPr>
            <w:r>
              <w:rPr/>
            </w:r>
          </w:p>
        </w:tc>
        <w:tc>
          <w:tcPr>
            <w:tcW w:w="1371" w:type="dxa"/>
            <w:tcBorders>
              <w:left w:val="single" w:sz="4" w:space="0" w:color="000000"/>
              <w:bottom w:val="single" w:sz="4" w:space="0" w:color="000000"/>
            </w:tcBorders>
          </w:tcPr>
          <w:p>
            <w:pPr>
              <w:pStyle w:val="Style71"/>
              <w:widowControl w:val="false"/>
              <w:rPr/>
            </w:pPr>
            <w:r>
              <w:rPr/>
            </w:r>
          </w:p>
        </w:tc>
        <w:tc>
          <w:tcPr>
            <w:tcW w:w="1920" w:type="dxa"/>
            <w:tcBorders>
              <w:left w:val="single" w:sz="4" w:space="0" w:color="000000"/>
              <w:bottom w:val="single" w:sz="4" w:space="0" w:color="000000"/>
            </w:tcBorders>
          </w:tcPr>
          <w:p>
            <w:pPr>
              <w:pStyle w:val="Style71"/>
              <w:widowControl w:val="false"/>
              <w:rPr/>
            </w:pPr>
            <w:r>
              <w:rPr/>
            </w:r>
          </w:p>
        </w:tc>
        <w:tc>
          <w:tcPr>
            <w:tcW w:w="1313" w:type="dxa"/>
            <w:tcBorders>
              <w:left w:val="single" w:sz="4" w:space="0" w:color="000000"/>
              <w:bottom w:val="single" w:sz="4" w:space="0" w:color="000000"/>
            </w:tcBorders>
          </w:tcPr>
          <w:p>
            <w:pPr>
              <w:pStyle w:val="Style71"/>
              <w:widowControl w:val="false"/>
              <w:rPr/>
            </w:pPr>
            <w:r>
              <w:rPr/>
            </w:r>
          </w:p>
        </w:tc>
        <w:tc>
          <w:tcPr>
            <w:tcW w:w="1638" w:type="dxa"/>
            <w:vMerge w:val="continue"/>
            <w:tcBorders>
              <w:left w:val="single" w:sz="4" w:space="0" w:color="000000"/>
              <w:bottom w:val="single" w:sz="4" w:space="0" w:color="000000"/>
              <w:right w:val="single" w:sz="4" w:space="0" w:color="000000"/>
            </w:tcBorders>
          </w:tcPr>
          <w:p>
            <w:pPr>
              <w:pStyle w:val="Normal"/>
              <w:widowControl w:val="false"/>
              <w:rPr/>
            </w:pPr>
            <w:r>
              <w:rPr/>
            </w:r>
          </w:p>
        </w:tc>
      </w:tr>
      <w:tr>
        <w:trPr/>
        <w:tc>
          <w:tcPr>
            <w:tcW w:w="1981" w:type="dxa"/>
            <w:vMerge w:val="restart"/>
            <w:tcBorders>
              <w:left w:val="single" w:sz="4" w:space="0" w:color="000000"/>
              <w:bottom w:val="single" w:sz="4" w:space="0" w:color="000000"/>
            </w:tcBorders>
          </w:tcPr>
          <w:p>
            <w:pPr>
              <w:pStyle w:val="Style71"/>
              <w:widowControl w:val="false"/>
              <w:rPr/>
            </w:pPr>
            <w:r>
              <w:rPr/>
            </w:r>
          </w:p>
        </w:tc>
        <w:tc>
          <w:tcPr>
            <w:tcW w:w="1247" w:type="dxa"/>
            <w:vMerge w:val="restart"/>
            <w:tcBorders>
              <w:left w:val="single" w:sz="4" w:space="0" w:color="000000"/>
              <w:bottom w:val="single" w:sz="4" w:space="0" w:color="000000"/>
            </w:tcBorders>
          </w:tcPr>
          <w:p>
            <w:pPr>
              <w:pStyle w:val="Style71"/>
              <w:widowControl w:val="false"/>
              <w:rPr/>
            </w:pPr>
            <w:r>
              <w:rPr/>
            </w:r>
          </w:p>
        </w:tc>
        <w:tc>
          <w:tcPr>
            <w:tcW w:w="1929" w:type="dxa"/>
            <w:tcBorders>
              <w:left w:val="single" w:sz="4" w:space="0" w:color="000000"/>
              <w:bottom w:val="single" w:sz="4" w:space="0" w:color="000000"/>
            </w:tcBorders>
          </w:tcPr>
          <w:p>
            <w:pPr>
              <w:pStyle w:val="Style71"/>
              <w:widowControl w:val="false"/>
              <w:rPr/>
            </w:pPr>
            <w:r>
              <w:rPr/>
            </w:r>
          </w:p>
        </w:tc>
        <w:tc>
          <w:tcPr>
            <w:tcW w:w="1306" w:type="dxa"/>
            <w:tcBorders>
              <w:left w:val="single" w:sz="4" w:space="0" w:color="000000"/>
              <w:bottom w:val="single" w:sz="4" w:space="0" w:color="000000"/>
            </w:tcBorders>
          </w:tcPr>
          <w:p>
            <w:pPr>
              <w:pStyle w:val="Style71"/>
              <w:widowControl w:val="false"/>
              <w:rPr/>
            </w:pPr>
            <w:r>
              <w:rPr/>
            </w:r>
          </w:p>
        </w:tc>
        <w:tc>
          <w:tcPr>
            <w:tcW w:w="1863" w:type="dxa"/>
            <w:tcBorders>
              <w:left w:val="single" w:sz="4" w:space="0" w:color="000000"/>
              <w:bottom w:val="single" w:sz="4" w:space="0" w:color="000000"/>
            </w:tcBorders>
          </w:tcPr>
          <w:p>
            <w:pPr>
              <w:pStyle w:val="Style71"/>
              <w:widowControl w:val="false"/>
              <w:rPr/>
            </w:pPr>
            <w:r>
              <w:rPr/>
            </w:r>
          </w:p>
        </w:tc>
        <w:tc>
          <w:tcPr>
            <w:tcW w:w="1371" w:type="dxa"/>
            <w:tcBorders>
              <w:left w:val="single" w:sz="4" w:space="0" w:color="000000"/>
              <w:bottom w:val="single" w:sz="4" w:space="0" w:color="000000"/>
            </w:tcBorders>
          </w:tcPr>
          <w:p>
            <w:pPr>
              <w:pStyle w:val="Style71"/>
              <w:widowControl w:val="false"/>
              <w:rPr/>
            </w:pPr>
            <w:r>
              <w:rPr/>
            </w:r>
          </w:p>
        </w:tc>
        <w:tc>
          <w:tcPr>
            <w:tcW w:w="1920" w:type="dxa"/>
            <w:tcBorders>
              <w:left w:val="single" w:sz="4" w:space="0" w:color="000000"/>
              <w:bottom w:val="single" w:sz="4" w:space="0" w:color="000000"/>
            </w:tcBorders>
          </w:tcPr>
          <w:p>
            <w:pPr>
              <w:pStyle w:val="Style71"/>
              <w:widowControl w:val="false"/>
              <w:rPr/>
            </w:pPr>
            <w:r>
              <w:rPr/>
            </w:r>
          </w:p>
        </w:tc>
        <w:tc>
          <w:tcPr>
            <w:tcW w:w="1313" w:type="dxa"/>
            <w:tcBorders>
              <w:left w:val="single" w:sz="4" w:space="0" w:color="000000"/>
              <w:bottom w:val="single" w:sz="4" w:space="0" w:color="000000"/>
            </w:tcBorders>
          </w:tcPr>
          <w:p>
            <w:pPr>
              <w:pStyle w:val="Style71"/>
              <w:widowControl w:val="false"/>
              <w:rPr/>
            </w:pPr>
            <w:r>
              <w:rPr/>
            </w:r>
          </w:p>
        </w:tc>
        <w:tc>
          <w:tcPr>
            <w:tcW w:w="1638" w:type="dxa"/>
            <w:vMerge w:val="restart"/>
            <w:tcBorders>
              <w:left w:val="single" w:sz="4" w:space="0" w:color="000000"/>
              <w:bottom w:val="single" w:sz="4" w:space="0" w:color="000000"/>
              <w:right w:val="single" w:sz="4" w:space="0" w:color="000000"/>
            </w:tcBorders>
          </w:tcPr>
          <w:p>
            <w:pPr>
              <w:pStyle w:val="Style71"/>
              <w:widowControl w:val="false"/>
              <w:rPr/>
            </w:pPr>
            <w:r>
              <w:rPr/>
            </w:r>
          </w:p>
        </w:tc>
      </w:tr>
      <w:tr>
        <w:trPr/>
        <w:tc>
          <w:tcPr>
            <w:tcW w:w="1981" w:type="dxa"/>
            <w:vMerge w:val="continue"/>
            <w:tcBorders>
              <w:left w:val="single" w:sz="4" w:space="0" w:color="000000"/>
              <w:bottom w:val="single" w:sz="4" w:space="0" w:color="000000"/>
            </w:tcBorders>
          </w:tcPr>
          <w:p>
            <w:pPr>
              <w:pStyle w:val="Normal"/>
              <w:widowControl w:val="false"/>
              <w:rPr/>
            </w:pPr>
            <w:r>
              <w:rPr/>
            </w:r>
          </w:p>
        </w:tc>
        <w:tc>
          <w:tcPr>
            <w:tcW w:w="1247" w:type="dxa"/>
            <w:vMerge w:val="continue"/>
            <w:tcBorders>
              <w:left w:val="single" w:sz="4" w:space="0" w:color="000000"/>
              <w:bottom w:val="single" w:sz="4" w:space="0" w:color="000000"/>
            </w:tcBorders>
          </w:tcPr>
          <w:p>
            <w:pPr>
              <w:pStyle w:val="Normal"/>
              <w:widowControl w:val="false"/>
              <w:rPr/>
            </w:pPr>
            <w:r>
              <w:rPr/>
            </w:r>
          </w:p>
        </w:tc>
        <w:tc>
          <w:tcPr>
            <w:tcW w:w="1929" w:type="dxa"/>
            <w:tcBorders>
              <w:left w:val="single" w:sz="4" w:space="0" w:color="000000"/>
              <w:bottom w:val="single" w:sz="4" w:space="0" w:color="000000"/>
            </w:tcBorders>
          </w:tcPr>
          <w:p>
            <w:pPr>
              <w:pStyle w:val="Style71"/>
              <w:widowControl w:val="false"/>
              <w:rPr/>
            </w:pPr>
            <w:r>
              <w:rPr/>
            </w:r>
          </w:p>
        </w:tc>
        <w:tc>
          <w:tcPr>
            <w:tcW w:w="1306" w:type="dxa"/>
            <w:tcBorders>
              <w:left w:val="single" w:sz="4" w:space="0" w:color="000000"/>
              <w:bottom w:val="single" w:sz="4" w:space="0" w:color="000000"/>
            </w:tcBorders>
          </w:tcPr>
          <w:p>
            <w:pPr>
              <w:pStyle w:val="Style71"/>
              <w:widowControl w:val="false"/>
              <w:rPr/>
            </w:pPr>
            <w:r>
              <w:rPr/>
            </w:r>
          </w:p>
        </w:tc>
        <w:tc>
          <w:tcPr>
            <w:tcW w:w="1863" w:type="dxa"/>
            <w:tcBorders>
              <w:left w:val="single" w:sz="4" w:space="0" w:color="000000"/>
              <w:bottom w:val="single" w:sz="4" w:space="0" w:color="000000"/>
            </w:tcBorders>
          </w:tcPr>
          <w:p>
            <w:pPr>
              <w:pStyle w:val="Style71"/>
              <w:widowControl w:val="false"/>
              <w:rPr/>
            </w:pPr>
            <w:r>
              <w:rPr/>
            </w:r>
          </w:p>
        </w:tc>
        <w:tc>
          <w:tcPr>
            <w:tcW w:w="1371" w:type="dxa"/>
            <w:tcBorders>
              <w:left w:val="single" w:sz="4" w:space="0" w:color="000000"/>
              <w:bottom w:val="single" w:sz="4" w:space="0" w:color="000000"/>
            </w:tcBorders>
          </w:tcPr>
          <w:p>
            <w:pPr>
              <w:pStyle w:val="Style71"/>
              <w:widowControl w:val="false"/>
              <w:rPr/>
            </w:pPr>
            <w:r>
              <w:rPr/>
            </w:r>
          </w:p>
        </w:tc>
        <w:tc>
          <w:tcPr>
            <w:tcW w:w="1920" w:type="dxa"/>
            <w:tcBorders>
              <w:left w:val="single" w:sz="4" w:space="0" w:color="000000"/>
              <w:bottom w:val="single" w:sz="4" w:space="0" w:color="000000"/>
            </w:tcBorders>
          </w:tcPr>
          <w:p>
            <w:pPr>
              <w:pStyle w:val="Style71"/>
              <w:widowControl w:val="false"/>
              <w:rPr/>
            </w:pPr>
            <w:r>
              <w:rPr/>
            </w:r>
          </w:p>
        </w:tc>
        <w:tc>
          <w:tcPr>
            <w:tcW w:w="1313" w:type="dxa"/>
            <w:tcBorders>
              <w:left w:val="single" w:sz="4" w:space="0" w:color="000000"/>
              <w:bottom w:val="single" w:sz="4" w:space="0" w:color="000000"/>
            </w:tcBorders>
          </w:tcPr>
          <w:p>
            <w:pPr>
              <w:pStyle w:val="Style71"/>
              <w:widowControl w:val="false"/>
              <w:rPr/>
            </w:pPr>
            <w:r>
              <w:rPr/>
            </w:r>
          </w:p>
        </w:tc>
        <w:tc>
          <w:tcPr>
            <w:tcW w:w="1638" w:type="dxa"/>
            <w:vMerge w:val="continue"/>
            <w:tcBorders>
              <w:left w:val="single" w:sz="4" w:space="0" w:color="000000"/>
              <w:bottom w:val="single" w:sz="4" w:space="0" w:color="000000"/>
              <w:right w:val="single" w:sz="4" w:space="0" w:color="000000"/>
            </w:tcBorders>
          </w:tcPr>
          <w:p>
            <w:pPr>
              <w:pStyle w:val="Normal"/>
              <w:widowControl w:val="false"/>
              <w:rPr/>
            </w:pPr>
            <w:r>
              <w:rPr/>
            </w:r>
          </w:p>
        </w:tc>
      </w:tr>
      <w:tr>
        <w:trPr/>
        <w:tc>
          <w:tcPr>
            <w:tcW w:w="1981" w:type="dxa"/>
            <w:vMerge w:val="continue"/>
            <w:tcBorders>
              <w:left w:val="single" w:sz="4" w:space="0" w:color="000000"/>
              <w:bottom w:val="single" w:sz="4" w:space="0" w:color="000000"/>
            </w:tcBorders>
          </w:tcPr>
          <w:p>
            <w:pPr>
              <w:pStyle w:val="Normal"/>
              <w:widowControl w:val="false"/>
              <w:rPr/>
            </w:pPr>
            <w:r>
              <w:rPr/>
            </w:r>
          </w:p>
        </w:tc>
        <w:tc>
          <w:tcPr>
            <w:tcW w:w="1247" w:type="dxa"/>
            <w:vMerge w:val="continue"/>
            <w:tcBorders>
              <w:left w:val="single" w:sz="4" w:space="0" w:color="000000"/>
              <w:bottom w:val="single" w:sz="4" w:space="0" w:color="000000"/>
            </w:tcBorders>
          </w:tcPr>
          <w:p>
            <w:pPr>
              <w:pStyle w:val="Normal"/>
              <w:widowControl w:val="false"/>
              <w:rPr/>
            </w:pPr>
            <w:r>
              <w:rPr/>
            </w:r>
          </w:p>
        </w:tc>
        <w:tc>
          <w:tcPr>
            <w:tcW w:w="1929" w:type="dxa"/>
            <w:tcBorders>
              <w:left w:val="single" w:sz="4" w:space="0" w:color="000000"/>
              <w:bottom w:val="single" w:sz="4" w:space="0" w:color="000000"/>
            </w:tcBorders>
          </w:tcPr>
          <w:p>
            <w:pPr>
              <w:pStyle w:val="Style71"/>
              <w:widowControl w:val="false"/>
              <w:rPr/>
            </w:pPr>
            <w:r>
              <w:rPr/>
            </w:r>
          </w:p>
        </w:tc>
        <w:tc>
          <w:tcPr>
            <w:tcW w:w="1306" w:type="dxa"/>
            <w:tcBorders>
              <w:left w:val="single" w:sz="4" w:space="0" w:color="000000"/>
              <w:bottom w:val="single" w:sz="4" w:space="0" w:color="000000"/>
            </w:tcBorders>
          </w:tcPr>
          <w:p>
            <w:pPr>
              <w:pStyle w:val="Style71"/>
              <w:widowControl w:val="false"/>
              <w:rPr/>
            </w:pPr>
            <w:r>
              <w:rPr/>
            </w:r>
          </w:p>
        </w:tc>
        <w:tc>
          <w:tcPr>
            <w:tcW w:w="1863" w:type="dxa"/>
            <w:tcBorders>
              <w:left w:val="single" w:sz="4" w:space="0" w:color="000000"/>
              <w:bottom w:val="single" w:sz="4" w:space="0" w:color="000000"/>
            </w:tcBorders>
          </w:tcPr>
          <w:p>
            <w:pPr>
              <w:pStyle w:val="Style71"/>
              <w:widowControl w:val="false"/>
              <w:rPr/>
            </w:pPr>
            <w:r>
              <w:rPr/>
            </w:r>
          </w:p>
        </w:tc>
        <w:tc>
          <w:tcPr>
            <w:tcW w:w="1371" w:type="dxa"/>
            <w:tcBorders>
              <w:left w:val="single" w:sz="4" w:space="0" w:color="000000"/>
              <w:bottom w:val="single" w:sz="4" w:space="0" w:color="000000"/>
            </w:tcBorders>
          </w:tcPr>
          <w:p>
            <w:pPr>
              <w:pStyle w:val="Style71"/>
              <w:widowControl w:val="false"/>
              <w:rPr/>
            </w:pPr>
            <w:r>
              <w:rPr/>
            </w:r>
          </w:p>
        </w:tc>
        <w:tc>
          <w:tcPr>
            <w:tcW w:w="1920" w:type="dxa"/>
            <w:tcBorders>
              <w:left w:val="single" w:sz="4" w:space="0" w:color="000000"/>
              <w:bottom w:val="single" w:sz="4" w:space="0" w:color="000000"/>
            </w:tcBorders>
          </w:tcPr>
          <w:p>
            <w:pPr>
              <w:pStyle w:val="Style71"/>
              <w:widowControl w:val="false"/>
              <w:rPr/>
            </w:pPr>
            <w:r>
              <w:rPr/>
            </w:r>
          </w:p>
        </w:tc>
        <w:tc>
          <w:tcPr>
            <w:tcW w:w="1313" w:type="dxa"/>
            <w:tcBorders>
              <w:left w:val="single" w:sz="4" w:space="0" w:color="000000"/>
              <w:bottom w:val="single" w:sz="4" w:space="0" w:color="000000"/>
            </w:tcBorders>
          </w:tcPr>
          <w:p>
            <w:pPr>
              <w:pStyle w:val="Style71"/>
              <w:widowControl w:val="false"/>
              <w:rPr/>
            </w:pPr>
            <w:r>
              <w:rPr/>
            </w:r>
          </w:p>
        </w:tc>
        <w:tc>
          <w:tcPr>
            <w:tcW w:w="1638" w:type="dxa"/>
            <w:vMerge w:val="continue"/>
            <w:tcBorders>
              <w:left w:val="single" w:sz="4" w:space="0" w:color="000000"/>
              <w:bottom w:val="single" w:sz="4" w:space="0" w:color="000000"/>
              <w:right w:val="single" w:sz="4" w:space="0" w:color="000000"/>
            </w:tcBorders>
          </w:tcPr>
          <w:p>
            <w:pPr>
              <w:pStyle w:val="Normal"/>
              <w:widowControl w:val="false"/>
              <w:rPr/>
            </w:pPr>
            <w:r>
              <w:rPr/>
            </w:r>
          </w:p>
        </w:tc>
      </w:tr>
    </w:tbl>
    <w:p>
      <w:pPr>
        <w:pStyle w:val="Normal"/>
        <w:widowControl/>
        <w:suppressAutoHyphens w:val="true"/>
        <w:bidi w:val="0"/>
        <w:spacing w:lineRule="auto" w:line="240" w:before="0" w:after="0"/>
        <w:ind w:left="0" w:right="0" w:hanging="0"/>
        <w:jc w:val="left"/>
        <w:rPr>
          <w:rFonts w:ascii="Times New Roman" w:hAnsi="Times New Roman"/>
          <w:sz w:val="24"/>
          <w:szCs w:val="24"/>
        </w:rPr>
      </w:pPr>
      <w:r>
        <w:rPr>
          <w:rFonts w:ascii="Times New Roman" w:hAnsi="Times New Roman"/>
          <w:sz w:val="24"/>
          <w:szCs w:val="24"/>
        </w:rPr>
      </w:r>
    </w:p>
    <w:p>
      <w:pPr>
        <w:sectPr>
          <w:headerReference w:type="default" r:id="rId127"/>
          <w:headerReference w:type="first" r:id="rId128"/>
          <w:footerReference w:type="default" r:id="rId129"/>
          <w:footerReference w:type="first" r:id="rId130"/>
          <w:type w:val="nextPage"/>
          <w:pgSz w:orient="landscape" w:w="16838" w:h="11906"/>
          <w:pgMar w:left="1134" w:right="1134" w:gutter="0" w:header="0" w:top="1134" w:footer="1134" w:bottom="1686"/>
          <w:pgNumType w:fmt="decimal"/>
          <w:formProt w:val="false"/>
          <w:textDirection w:val="lrTb"/>
          <w:docGrid w:type="default" w:linePitch="100" w:charSpace="0"/>
        </w:sectPr>
        <w:pStyle w:val="Normal"/>
        <w:widowControl/>
        <w:suppressAutoHyphens w:val="true"/>
        <w:bidi w:val="0"/>
        <w:spacing w:lineRule="auto" w:line="240" w:before="0" w:after="0"/>
        <w:ind w:left="0" w:right="0" w:hanging="0"/>
        <w:jc w:val="left"/>
        <w:rPr>
          <w:rFonts w:ascii="Times New Roman" w:hAnsi="Times New Roman"/>
          <w:sz w:val="24"/>
          <w:szCs w:val="24"/>
        </w:rPr>
      </w:pPr>
      <w:r>
        <w:rPr>
          <w:rFonts w:ascii="Times New Roman" w:hAnsi="Times New Roman"/>
          <w:sz w:val="24"/>
          <w:szCs w:val="24"/>
        </w:rPr>
        <w:t>Подпись наблюдателя: __________________ ФИО наблюдателя: __________________</w:t>
      </w:r>
    </w:p>
    <w:p>
      <w:pPr>
        <w:pStyle w:val="Normal"/>
        <w:spacing w:lineRule="auto" w:line="240" w:before="0" w:after="0"/>
        <w:jc w:val="center"/>
        <w:rPr>
          <w:rFonts w:ascii="Times New Roman" w:hAnsi="Times New Roman" w:cs="Times New Roman"/>
          <w:b/>
          <w:bCs/>
          <w:szCs w:val="32"/>
        </w:rPr>
      </w:pPr>
      <w:r>
        <w:rPr>
          <w:rFonts w:cs="Times New Roman" w:ascii="Times New Roman" w:hAnsi="Times New Roman"/>
          <w:b/>
          <w:bCs/>
          <w:szCs w:val="32"/>
        </w:rPr>
        <w:t>Форма журнала наблюдений по обратным отвесам</w:t>
      </w:r>
    </w:p>
    <w:p>
      <w:pPr>
        <w:pStyle w:val="Normal"/>
        <w:spacing w:lineRule="auto" w:line="240" w:before="0" w:after="0"/>
        <w:jc w:val="center"/>
        <w:rPr>
          <w:rFonts w:ascii="Times New Roman" w:hAnsi="Times New Roman" w:cs="Times New Roman"/>
          <w:b/>
          <w:bCs/>
          <w:szCs w:val="32"/>
        </w:rPr>
      </w:pPr>
      <w:r>
        <w:rPr>
          <w:rFonts w:cs="Times New Roman" w:ascii="Times New Roman" w:hAnsi="Times New Roman"/>
          <w:b/>
          <w:bCs/>
          <w:szCs w:val="32"/>
        </w:rPr>
      </w:r>
    </w:p>
    <w:tbl>
      <w:tblPr>
        <w:tblW w:w="5000" w:type="pct"/>
        <w:jc w:val="left"/>
        <w:tblInd w:w="-5" w:type="dxa"/>
        <w:tblLayout w:type="fixed"/>
        <w:tblCellMar>
          <w:top w:w="55" w:type="dxa"/>
          <w:left w:w="55" w:type="dxa"/>
          <w:bottom w:w="55" w:type="dxa"/>
          <w:right w:w="55" w:type="dxa"/>
        </w:tblCellMar>
      </w:tblPr>
      <w:tblGrid>
        <w:gridCol w:w="9071"/>
      </w:tblGrid>
      <w:tr>
        <w:trPr>
          <w:trHeight w:val="9076" w:hRule="atLeast"/>
        </w:trPr>
        <w:tc>
          <w:tcPr>
            <w:tcW w:w="9071" w:type="dxa"/>
            <w:tcBorders>
              <w:top w:val="single" w:sz="4" w:space="0" w:color="000000"/>
              <w:left w:val="single" w:sz="4" w:space="0" w:color="000000"/>
              <w:bottom w:val="single" w:sz="4" w:space="0" w:color="000000"/>
              <w:right w:val="single" w:sz="4" w:space="0" w:color="000000"/>
            </w:tcBorders>
          </w:tcPr>
          <w:p>
            <w:pPr>
              <w:pStyle w:val="Style71"/>
              <w:widowControl w:val="false"/>
              <w:rPr>
                <w:rFonts w:ascii="Times New Roman" w:hAnsi="Times New Roman"/>
              </w:rPr>
            </w:pPr>
            <w:r>
              <w:rPr>
                <w:rFonts w:ascii="Times New Roman" w:hAnsi="Times New Roman"/>
              </w:rPr>
              <w:t>Наименование организации выполняющей наблюдения</w:t>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t>ПОЛЕВОЙ ЖУРНАЛ №___</w:t>
            </w:r>
          </w:p>
          <w:p>
            <w:pPr>
              <w:pStyle w:val="Style71"/>
              <w:widowControl w:val="false"/>
              <w:rPr>
                <w:rFonts w:ascii="Times New Roman" w:hAnsi="Times New Roman"/>
              </w:rPr>
            </w:pPr>
            <w:r>
              <w:rPr>
                <w:rFonts w:ascii="Times New Roman" w:hAnsi="Times New Roman"/>
              </w:rPr>
              <w:t>записи наблюдений за относительными смещениями по</w:t>
            </w:r>
          </w:p>
          <w:p>
            <w:pPr>
              <w:pStyle w:val="Style71"/>
              <w:widowControl w:val="false"/>
              <w:rPr>
                <w:rFonts w:ascii="Times New Roman" w:hAnsi="Times New Roman"/>
              </w:rPr>
            </w:pPr>
            <w:r>
              <w:rPr>
                <w:rFonts w:ascii="Times New Roman" w:hAnsi="Times New Roman"/>
              </w:rPr>
              <w:t>по обратным отвесам</w:t>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t>Гидроузел: _________________________________________________________</w:t>
            </w:r>
          </w:p>
          <w:p>
            <w:pPr>
              <w:pStyle w:val="Style71"/>
              <w:widowControl w:val="false"/>
              <w:rPr>
                <w:rFonts w:ascii="Times New Roman" w:hAnsi="Times New Roman"/>
              </w:rPr>
            </w:pPr>
            <w:r>
              <w:rPr>
                <w:rFonts w:ascii="Times New Roman" w:hAnsi="Times New Roman"/>
              </w:rPr>
              <w:t>Сооружение: _______________________________________________________</w:t>
            </w:r>
          </w:p>
          <w:p>
            <w:pPr>
              <w:pStyle w:val="Style71"/>
              <w:widowControl w:val="false"/>
              <w:rPr>
                <w:rFonts w:ascii="Times New Roman" w:hAnsi="Times New Roman"/>
              </w:rPr>
            </w:pPr>
            <w:r>
              <w:rPr>
                <w:rFonts w:ascii="Times New Roman" w:hAnsi="Times New Roman"/>
              </w:rPr>
              <w:t>Секции: ___________________________________________________________</w:t>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t xml:space="preserve">Начат  «___» _____________ 20   г.   </w:t>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t xml:space="preserve">    </w:t>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t xml:space="preserve">Окончен  «___» _____________ 20   г.                                                                </w:t>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tc>
      </w:tr>
    </w:tbl>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t>ОТВЕТСТВЕННЫЕ ЗА ВЕДЕНИЕ ЖУРНАЛА</w:t>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tbl>
      <w:tblPr>
        <w:tblW w:w="5000" w:type="pct"/>
        <w:jc w:val="left"/>
        <w:tblInd w:w="-5" w:type="dxa"/>
        <w:tblLayout w:type="fixed"/>
        <w:tblCellMar>
          <w:top w:w="55" w:type="dxa"/>
          <w:left w:w="55" w:type="dxa"/>
          <w:bottom w:w="55" w:type="dxa"/>
          <w:right w:w="55" w:type="dxa"/>
        </w:tblCellMar>
      </w:tblPr>
      <w:tblGrid>
        <w:gridCol w:w="2665"/>
        <w:gridCol w:w="1870"/>
        <w:gridCol w:w="2845"/>
        <w:gridCol w:w="1690"/>
      </w:tblGrid>
      <w:tr>
        <w:trPr/>
        <w:tc>
          <w:tcPr>
            <w:tcW w:w="2665" w:type="dxa"/>
            <w:tcBorders>
              <w:top w:val="single" w:sz="4" w:space="0" w:color="000000"/>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ФИО</w:t>
            </w:r>
          </w:p>
        </w:tc>
        <w:tc>
          <w:tcPr>
            <w:tcW w:w="1870" w:type="dxa"/>
            <w:tcBorders>
              <w:top w:val="single" w:sz="4" w:space="0" w:color="000000"/>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Должность</w:t>
            </w:r>
          </w:p>
        </w:tc>
        <w:tc>
          <w:tcPr>
            <w:tcW w:w="2845" w:type="dxa"/>
            <w:tcBorders>
              <w:top w:val="single" w:sz="4" w:space="0" w:color="000000"/>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Дата назначения на должность</w:t>
            </w:r>
          </w:p>
        </w:tc>
        <w:tc>
          <w:tcPr>
            <w:tcW w:w="1690" w:type="dxa"/>
            <w:tcBorders>
              <w:top w:val="single" w:sz="4" w:space="0" w:color="000000"/>
              <w:left w:val="single" w:sz="4" w:space="0" w:color="000000"/>
              <w:bottom w:val="single" w:sz="4" w:space="0" w:color="000000"/>
              <w:right w:val="single" w:sz="4" w:space="0" w:color="000000"/>
            </w:tcBorders>
            <w:vAlign w:val="center"/>
          </w:tcPr>
          <w:p>
            <w:pPr>
              <w:pStyle w:val="Style71"/>
              <w:widowControl w:val="false"/>
              <w:jc w:val="center"/>
              <w:rPr>
                <w:rFonts w:ascii="Times New Roman" w:hAnsi="Times New Roman"/>
              </w:rPr>
            </w:pPr>
            <w:r>
              <w:rPr>
                <w:rFonts w:ascii="Times New Roman" w:hAnsi="Times New Roman"/>
              </w:rPr>
              <w:t>Подпись</w:t>
            </w:r>
          </w:p>
        </w:tc>
      </w:tr>
      <w:tr>
        <w:trPr>
          <w:trHeight w:val="222" w:hRule="atLeast"/>
        </w:trPr>
        <w:tc>
          <w:tcPr>
            <w:tcW w:w="2665" w:type="dxa"/>
            <w:tcBorders>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1</w:t>
            </w:r>
          </w:p>
        </w:tc>
        <w:tc>
          <w:tcPr>
            <w:tcW w:w="1870" w:type="dxa"/>
            <w:tcBorders>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2</w:t>
            </w:r>
          </w:p>
        </w:tc>
        <w:tc>
          <w:tcPr>
            <w:tcW w:w="2845" w:type="dxa"/>
            <w:tcBorders>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3</w:t>
            </w:r>
          </w:p>
        </w:tc>
        <w:tc>
          <w:tcPr>
            <w:tcW w:w="1690" w:type="dxa"/>
            <w:tcBorders>
              <w:left w:val="single" w:sz="4" w:space="0" w:color="000000"/>
              <w:bottom w:val="single" w:sz="4" w:space="0" w:color="000000"/>
              <w:right w:val="single" w:sz="4" w:space="0" w:color="000000"/>
            </w:tcBorders>
            <w:vAlign w:val="center"/>
          </w:tcPr>
          <w:p>
            <w:pPr>
              <w:pStyle w:val="Style71"/>
              <w:widowControl w:val="false"/>
              <w:jc w:val="center"/>
              <w:rPr>
                <w:rFonts w:ascii="Times New Roman" w:hAnsi="Times New Roman"/>
              </w:rPr>
            </w:pPr>
            <w:r>
              <w:rPr>
                <w:rFonts w:ascii="Times New Roman" w:hAnsi="Times New Roman"/>
              </w:rPr>
              <w:t>4</w:t>
            </w:r>
          </w:p>
        </w:tc>
      </w:tr>
      <w:tr>
        <w:trPr/>
        <w:tc>
          <w:tcPr>
            <w:tcW w:w="2665" w:type="dxa"/>
            <w:tcBorders>
              <w:left w:val="single" w:sz="4" w:space="0" w:color="000000"/>
              <w:bottom w:val="single" w:sz="4" w:space="0" w:color="000000"/>
            </w:tcBorders>
            <w:vAlign w:val="center"/>
          </w:tcPr>
          <w:p>
            <w:pPr>
              <w:pStyle w:val="Style71"/>
              <w:widowControl w:val="false"/>
              <w:rPr/>
            </w:pPr>
            <w:r>
              <w:rPr/>
            </w:r>
          </w:p>
        </w:tc>
        <w:tc>
          <w:tcPr>
            <w:tcW w:w="1870" w:type="dxa"/>
            <w:tcBorders>
              <w:left w:val="single" w:sz="4" w:space="0" w:color="000000"/>
              <w:bottom w:val="single" w:sz="4" w:space="0" w:color="000000"/>
            </w:tcBorders>
            <w:vAlign w:val="center"/>
          </w:tcPr>
          <w:p>
            <w:pPr>
              <w:pStyle w:val="Style71"/>
              <w:widowControl w:val="false"/>
              <w:rPr/>
            </w:pPr>
            <w:r>
              <w:rPr/>
            </w:r>
          </w:p>
        </w:tc>
        <w:tc>
          <w:tcPr>
            <w:tcW w:w="2845" w:type="dxa"/>
            <w:tcBorders>
              <w:left w:val="single" w:sz="4" w:space="0" w:color="000000"/>
              <w:bottom w:val="single" w:sz="4" w:space="0" w:color="000000"/>
            </w:tcBorders>
            <w:vAlign w:val="center"/>
          </w:tcPr>
          <w:p>
            <w:pPr>
              <w:pStyle w:val="Style71"/>
              <w:widowControl w:val="false"/>
              <w:rPr/>
            </w:pPr>
            <w:r>
              <w:rPr/>
            </w:r>
          </w:p>
        </w:tc>
        <w:tc>
          <w:tcPr>
            <w:tcW w:w="1690"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2665" w:type="dxa"/>
            <w:tcBorders>
              <w:left w:val="single" w:sz="4" w:space="0" w:color="000000"/>
              <w:bottom w:val="single" w:sz="4" w:space="0" w:color="000000"/>
            </w:tcBorders>
            <w:vAlign w:val="center"/>
          </w:tcPr>
          <w:p>
            <w:pPr>
              <w:pStyle w:val="Style71"/>
              <w:widowControl w:val="false"/>
              <w:rPr/>
            </w:pPr>
            <w:r>
              <w:rPr/>
            </w:r>
          </w:p>
        </w:tc>
        <w:tc>
          <w:tcPr>
            <w:tcW w:w="1870" w:type="dxa"/>
            <w:tcBorders>
              <w:left w:val="single" w:sz="4" w:space="0" w:color="000000"/>
              <w:bottom w:val="single" w:sz="4" w:space="0" w:color="000000"/>
            </w:tcBorders>
            <w:vAlign w:val="center"/>
          </w:tcPr>
          <w:p>
            <w:pPr>
              <w:pStyle w:val="Style71"/>
              <w:widowControl w:val="false"/>
              <w:rPr/>
            </w:pPr>
            <w:r>
              <w:rPr/>
            </w:r>
          </w:p>
        </w:tc>
        <w:tc>
          <w:tcPr>
            <w:tcW w:w="2845" w:type="dxa"/>
            <w:tcBorders>
              <w:left w:val="single" w:sz="4" w:space="0" w:color="000000"/>
              <w:bottom w:val="single" w:sz="4" w:space="0" w:color="000000"/>
            </w:tcBorders>
            <w:vAlign w:val="center"/>
          </w:tcPr>
          <w:p>
            <w:pPr>
              <w:pStyle w:val="Style71"/>
              <w:widowControl w:val="false"/>
              <w:rPr/>
            </w:pPr>
            <w:r>
              <w:rPr/>
            </w:r>
          </w:p>
        </w:tc>
        <w:tc>
          <w:tcPr>
            <w:tcW w:w="1690"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2665" w:type="dxa"/>
            <w:tcBorders>
              <w:left w:val="single" w:sz="4" w:space="0" w:color="000000"/>
              <w:bottom w:val="single" w:sz="4" w:space="0" w:color="000000"/>
            </w:tcBorders>
            <w:vAlign w:val="center"/>
          </w:tcPr>
          <w:p>
            <w:pPr>
              <w:pStyle w:val="Style71"/>
              <w:widowControl w:val="false"/>
              <w:rPr/>
            </w:pPr>
            <w:r>
              <w:rPr/>
            </w:r>
          </w:p>
        </w:tc>
        <w:tc>
          <w:tcPr>
            <w:tcW w:w="1870" w:type="dxa"/>
            <w:tcBorders>
              <w:left w:val="single" w:sz="4" w:space="0" w:color="000000"/>
              <w:bottom w:val="single" w:sz="4" w:space="0" w:color="000000"/>
            </w:tcBorders>
            <w:vAlign w:val="center"/>
          </w:tcPr>
          <w:p>
            <w:pPr>
              <w:pStyle w:val="Style71"/>
              <w:widowControl w:val="false"/>
              <w:rPr/>
            </w:pPr>
            <w:r>
              <w:rPr/>
            </w:r>
          </w:p>
        </w:tc>
        <w:tc>
          <w:tcPr>
            <w:tcW w:w="2845" w:type="dxa"/>
            <w:tcBorders>
              <w:left w:val="single" w:sz="4" w:space="0" w:color="000000"/>
              <w:bottom w:val="single" w:sz="4" w:space="0" w:color="000000"/>
            </w:tcBorders>
            <w:vAlign w:val="center"/>
          </w:tcPr>
          <w:p>
            <w:pPr>
              <w:pStyle w:val="Style71"/>
              <w:widowControl w:val="false"/>
              <w:rPr/>
            </w:pPr>
            <w:r>
              <w:rPr/>
            </w:r>
          </w:p>
        </w:tc>
        <w:tc>
          <w:tcPr>
            <w:tcW w:w="1690"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2665" w:type="dxa"/>
            <w:tcBorders>
              <w:left w:val="single" w:sz="4" w:space="0" w:color="000000"/>
              <w:bottom w:val="single" w:sz="4" w:space="0" w:color="000000"/>
            </w:tcBorders>
            <w:vAlign w:val="center"/>
          </w:tcPr>
          <w:p>
            <w:pPr>
              <w:pStyle w:val="Style71"/>
              <w:widowControl w:val="false"/>
              <w:rPr/>
            </w:pPr>
            <w:r>
              <w:rPr/>
            </w:r>
          </w:p>
        </w:tc>
        <w:tc>
          <w:tcPr>
            <w:tcW w:w="1870" w:type="dxa"/>
            <w:tcBorders>
              <w:left w:val="single" w:sz="4" w:space="0" w:color="000000"/>
              <w:bottom w:val="single" w:sz="4" w:space="0" w:color="000000"/>
            </w:tcBorders>
            <w:vAlign w:val="center"/>
          </w:tcPr>
          <w:p>
            <w:pPr>
              <w:pStyle w:val="Style71"/>
              <w:widowControl w:val="false"/>
              <w:rPr/>
            </w:pPr>
            <w:r>
              <w:rPr/>
            </w:r>
          </w:p>
        </w:tc>
        <w:tc>
          <w:tcPr>
            <w:tcW w:w="2845" w:type="dxa"/>
            <w:tcBorders>
              <w:left w:val="single" w:sz="4" w:space="0" w:color="000000"/>
              <w:bottom w:val="single" w:sz="4" w:space="0" w:color="000000"/>
            </w:tcBorders>
            <w:vAlign w:val="center"/>
          </w:tcPr>
          <w:p>
            <w:pPr>
              <w:pStyle w:val="Style71"/>
              <w:widowControl w:val="false"/>
              <w:rPr/>
            </w:pPr>
            <w:r>
              <w:rPr/>
            </w:r>
          </w:p>
        </w:tc>
        <w:tc>
          <w:tcPr>
            <w:tcW w:w="1690"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2665" w:type="dxa"/>
            <w:tcBorders>
              <w:left w:val="single" w:sz="4" w:space="0" w:color="000000"/>
              <w:bottom w:val="single" w:sz="4" w:space="0" w:color="000000"/>
            </w:tcBorders>
            <w:vAlign w:val="center"/>
          </w:tcPr>
          <w:p>
            <w:pPr>
              <w:pStyle w:val="Style71"/>
              <w:widowControl w:val="false"/>
              <w:rPr/>
            </w:pPr>
            <w:r>
              <w:rPr/>
            </w:r>
          </w:p>
        </w:tc>
        <w:tc>
          <w:tcPr>
            <w:tcW w:w="1870" w:type="dxa"/>
            <w:tcBorders>
              <w:left w:val="single" w:sz="4" w:space="0" w:color="000000"/>
              <w:bottom w:val="single" w:sz="4" w:space="0" w:color="000000"/>
            </w:tcBorders>
            <w:vAlign w:val="center"/>
          </w:tcPr>
          <w:p>
            <w:pPr>
              <w:pStyle w:val="Style71"/>
              <w:widowControl w:val="false"/>
              <w:rPr/>
            </w:pPr>
            <w:r>
              <w:rPr/>
            </w:r>
          </w:p>
        </w:tc>
        <w:tc>
          <w:tcPr>
            <w:tcW w:w="2845" w:type="dxa"/>
            <w:tcBorders>
              <w:left w:val="single" w:sz="4" w:space="0" w:color="000000"/>
              <w:bottom w:val="single" w:sz="4" w:space="0" w:color="000000"/>
            </w:tcBorders>
            <w:vAlign w:val="center"/>
          </w:tcPr>
          <w:p>
            <w:pPr>
              <w:pStyle w:val="Style71"/>
              <w:widowControl w:val="false"/>
              <w:rPr/>
            </w:pPr>
            <w:r>
              <w:rPr/>
            </w:r>
          </w:p>
        </w:tc>
        <w:tc>
          <w:tcPr>
            <w:tcW w:w="1690"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bl>
    <w:p>
      <w:pPr>
        <w:pStyle w:val="Normal"/>
        <w:spacing w:lineRule="auto" w:line="240" w:before="0" w:after="0"/>
        <w:ind w:left="0" w:right="0" w:hanging="0"/>
        <w:jc w:val="left"/>
        <w:rPr>
          <w:rFonts w:ascii="Times New Roman" w:hAnsi="Times New Roman" w:cs="Times New Roman"/>
          <w:szCs w:val="32"/>
        </w:rPr>
      </w:pPr>
      <w:r>
        <w:br w:type="page"/>
      </w:r>
      <w:r>
        <w:rPr>
          <w:rFonts w:cs="Times New Roman" w:ascii="Times New Roman" w:hAnsi="Times New Roman"/>
          <w:szCs w:val="32"/>
        </w:rPr>
        <w:t>Дата: «___»________20___г.  Время: _______</w:t>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tbl>
      <w:tblPr>
        <w:tblW w:w="5000" w:type="pct"/>
        <w:jc w:val="left"/>
        <w:tblInd w:w="-5" w:type="dxa"/>
        <w:tblLayout w:type="fixed"/>
        <w:tblCellMar>
          <w:top w:w="55" w:type="dxa"/>
          <w:left w:w="55" w:type="dxa"/>
          <w:bottom w:w="55" w:type="dxa"/>
          <w:right w:w="55" w:type="dxa"/>
        </w:tblCellMar>
      </w:tblPr>
      <w:tblGrid>
        <w:gridCol w:w="1922"/>
        <w:gridCol w:w="1366"/>
        <w:gridCol w:w="1244"/>
        <w:gridCol w:w="1649"/>
        <w:gridCol w:w="1591"/>
        <w:gridCol w:w="1298"/>
      </w:tblGrid>
      <w:tr>
        <w:trPr/>
        <w:tc>
          <w:tcPr>
            <w:tcW w:w="1922" w:type="dxa"/>
            <w:vMerge w:val="restart"/>
            <w:tcBorders>
              <w:top w:val="single" w:sz="4" w:space="0" w:color="000000"/>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Установочный номер обратного отвеса</w:t>
            </w:r>
          </w:p>
        </w:tc>
        <w:tc>
          <w:tcPr>
            <w:tcW w:w="2610" w:type="dxa"/>
            <w:gridSpan w:val="2"/>
            <w:tcBorders>
              <w:top w:val="single" w:sz="4" w:space="0" w:color="000000"/>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Отсчеты по координатомеру, мм</w:t>
            </w:r>
          </w:p>
        </w:tc>
        <w:tc>
          <w:tcPr>
            <w:tcW w:w="1649" w:type="dxa"/>
            <w:vMerge w:val="restart"/>
            <w:tcBorders>
              <w:top w:val="single" w:sz="4" w:space="0" w:color="000000"/>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ФИО Исполнителя</w:t>
            </w:r>
          </w:p>
        </w:tc>
        <w:tc>
          <w:tcPr>
            <w:tcW w:w="1591" w:type="dxa"/>
            <w:vMerge w:val="restart"/>
            <w:tcBorders>
              <w:top w:val="single" w:sz="4" w:space="0" w:color="000000"/>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Подпись исполнителя</w:t>
            </w:r>
          </w:p>
        </w:tc>
        <w:tc>
          <w:tcPr>
            <w:tcW w:w="1298" w:type="dxa"/>
            <w:vMerge w:val="restart"/>
            <w:tcBorders>
              <w:top w:val="single" w:sz="4" w:space="0" w:color="000000"/>
              <w:left w:val="single" w:sz="4" w:space="0" w:color="000000"/>
              <w:bottom w:val="single" w:sz="4" w:space="0" w:color="000000"/>
              <w:right w:val="single" w:sz="4" w:space="0" w:color="000000"/>
            </w:tcBorders>
            <w:vAlign w:val="center"/>
          </w:tcPr>
          <w:p>
            <w:pPr>
              <w:pStyle w:val="Style71"/>
              <w:widowControl w:val="false"/>
              <w:jc w:val="center"/>
              <w:rPr>
                <w:rFonts w:ascii="Times New Roman" w:hAnsi="Times New Roman"/>
              </w:rPr>
            </w:pPr>
            <w:r>
              <w:rPr>
                <w:rFonts w:ascii="Times New Roman" w:hAnsi="Times New Roman"/>
              </w:rPr>
              <w:t>Примечание</w:t>
            </w:r>
          </w:p>
        </w:tc>
      </w:tr>
      <w:tr>
        <w:trPr>
          <w:trHeight w:val="222" w:hRule="atLeast"/>
        </w:trPr>
        <w:tc>
          <w:tcPr>
            <w:tcW w:w="1922" w:type="dxa"/>
            <w:vMerge w:val="continue"/>
            <w:tcBorders>
              <w:top w:val="single" w:sz="4" w:space="0" w:color="000000"/>
              <w:left w:val="single" w:sz="4" w:space="0" w:color="000000"/>
              <w:bottom w:val="single" w:sz="4" w:space="0" w:color="000000"/>
            </w:tcBorders>
            <w:vAlign w:val="center"/>
          </w:tcPr>
          <w:p>
            <w:pPr>
              <w:pStyle w:val="Normal"/>
              <w:widowControl w:val="false"/>
              <w:rPr/>
            </w:pPr>
            <w:r>
              <w:rPr/>
            </w:r>
          </w:p>
        </w:tc>
        <w:tc>
          <w:tcPr>
            <w:tcW w:w="1366" w:type="dxa"/>
            <w:tcBorders>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X</w:t>
            </w:r>
          </w:p>
        </w:tc>
        <w:tc>
          <w:tcPr>
            <w:tcW w:w="1244" w:type="dxa"/>
            <w:tcBorders>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Y</w:t>
            </w:r>
          </w:p>
        </w:tc>
        <w:tc>
          <w:tcPr>
            <w:tcW w:w="1649" w:type="dxa"/>
            <w:vMerge w:val="continue"/>
            <w:tcBorders>
              <w:top w:val="single" w:sz="4" w:space="0" w:color="000000"/>
              <w:left w:val="single" w:sz="4" w:space="0" w:color="000000"/>
              <w:bottom w:val="single" w:sz="4" w:space="0" w:color="000000"/>
            </w:tcBorders>
            <w:vAlign w:val="center"/>
          </w:tcPr>
          <w:p>
            <w:pPr>
              <w:pStyle w:val="Normal"/>
              <w:widowControl w:val="false"/>
              <w:rPr/>
            </w:pPr>
            <w:r>
              <w:rPr/>
            </w:r>
          </w:p>
        </w:tc>
        <w:tc>
          <w:tcPr>
            <w:tcW w:w="1591" w:type="dxa"/>
            <w:vMerge w:val="continue"/>
            <w:tcBorders>
              <w:top w:val="single" w:sz="4" w:space="0" w:color="000000"/>
              <w:left w:val="single" w:sz="4" w:space="0" w:color="000000"/>
              <w:bottom w:val="single" w:sz="4" w:space="0" w:color="000000"/>
            </w:tcBorders>
            <w:vAlign w:val="center"/>
          </w:tcPr>
          <w:p>
            <w:pPr>
              <w:pStyle w:val="Normal"/>
              <w:widowControl w:val="false"/>
              <w:rPr/>
            </w:pPr>
            <w:r>
              <w:rPr/>
            </w:r>
          </w:p>
        </w:tc>
        <w:tc>
          <w:tcPr>
            <w:tcW w:w="12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c>
          <w:tcPr>
            <w:tcW w:w="1922" w:type="dxa"/>
            <w:tcBorders>
              <w:left w:val="single" w:sz="4" w:space="0" w:color="000000"/>
              <w:bottom w:val="single" w:sz="4" w:space="0" w:color="000000"/>
            </w:tcBorders>
            <w:vAlign w:val="center"/>
          </w:tcPr>
          <w:p>
            <w:pPr>
              <w:pStyle w:val="Style71"/>
              <w:widowControl w:val="false"/>
              <w:rPr/>
            </w:pPr>
            <w:r>
              <w:rPr/>
            </w:r>
          </w:p>
        </w:tc>
        <w:tc>
          <w:tcPr>
            <w:tcW w:w="1366" w:type="dxa"/>
            <w:tcBorders>
              <w:left w:val="single" w:sz="4" w:space="0" w:color="000000"/>
              <w:bottom w:val="single" w:sz="4" w:space="0" w:color="000000"/>
            </w:tcBorders>
            <w:vAlign w:val="center"/>
          </w:tcPr>
          <w:p>
            <w:pPr>
              <w:pStyle w:val="Style71"/>
              <w:widowControl w:val="false"/>
              <w:rPr/>
            </w:pPr>
            <w:r>
              <w:rPr/>
            </w:r>
          </w:p>
        </w:tc>
        <w:tc>
          <w:tcPr>
            <w:tcW w:w="1244" w:type="dxa"/>
            <w:tcBorders>
              <w:left w:val="single" w:sz="4" w:space="0" w:color="000000"/>
              <w:bottom w:val="single" w:sz="4" w:space="0" w:color="000000"/>
            </w:tcBorders>
            <w:vAlign w:val="center"/>
          </w:tcPr>
          <w:p>
            <w:pPr>
              <w:pStyle w:val="Style71"/>
              <w:widowControl w:val="false"/>
              <w:rPr/>
            </w:pPr>
            <w:r>
              <w:rPr/>
            </w:r>
          </w:p>
        </w:tc>
        <w:tc>
          <w:tcPr>
            <w:tcW w:w="1649" w:type="dxa"/>
            <w:tcBorders>
              <w:left w:val="single" w:sz="4" w:space="0" w:color="000000"/>
              <w:bottom w:val="single" w:sz="4" w:space="0" w:color="000000"/>
            </w:tcBorders>
            <w:vAlign w:val="center"/>
          </w:tcPr>
          <w:p>
            <w:pPr>
              <w:pStyle w:val="Style71"/>
              <w:widowControl w:val="false"/>
              <w:rPr/>
            </w:pPr>
            <w:r>
              <w:rPr/>
            </w:r>
          </w:p>
        </w:tc>
        <w:tc>
          <w:tcPr>
            <w:tcW w:w="1591" w:type="dxa"/>
            <w:tcBorders>
              <w:left w:val="single" w:sz="4" w:space="0" w:color="000000"/>
              <w:bottom w:val="single" w:sz="4" w:space="0" w:color="000000"/>
            </w:tcBorders>
            <w:vAlign w:val="center"/>
          </w:tcPr>
          <w:p>
            <w:pPr>
              <w:pStyle w:val="Style71"/>
              <w:widowControl w:val="false"/>
              <w:rPr/>
            </w:pPr>
            <w:r>
              <w:rPr/>
            </w:r>
          </w:p>
        </w:tc>
        <w:tc>
          <w:tcPr>
            <w:tcW w:w="1298"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1922" w:type="dxa"/>
            <w:tcBorders>
              <w:left w:val="single" w:sz="4" w:space="0" w:color="000000"/>
              <w:bottom w:val="single" w:sz="4" w:space="0" w:color="000000"/>
            </w:tcBorders>
            <w:vAlign w:val="center"/>
          </w:tcPr>
          <w:p>
            <w:pPr>
              <w:pStyle w:val="Style71"/>
              <w:widowControl w:val="false"/>
              <w:rPr/>
            </w:pPr>
            <w:r>
              <w:rPr/>
            </w:r>
          </w:p>
        </w:tc>
        <w:tc>
          <w:tcPr>
            <w:tcW w:w="1366" w:type="dxa"/>
            <w:tcBorders>
              <w:left w:val="single" w:sz="4" w:space="0" w:color="000000"/>
              <w:bottom w:val="single" w:sz="4" w:space="0" w:color="000000"/>
            </w:tcBorders>
            <w:vAlign w:val="center"/>
          </w:tcPr>
          <w:p>
            <w:pPr>
              <w:pStyle w:val="Style71"/>
              <w:widowControl w:val="false"/>
              <w:rPr/>
            </w:pPr>
            <w:r>
              <w:rPr/>
            </w:r>
          </w:p>
        </w:tc>
        <w:tc>
          <w:tcPr>
            <w:tcW w:w="1244" w:type="dxa"/>
            <w:tcBorders>
              <w:left w:val="single" w:sz="4" w:space="0" w:color="000000"/>
              <w:bottom w:val="single" w:sz="4" w:space="0" w:color="000000"/>
            </w:tcBorders>
            <w:vAlign w:val="center"/>
          </w:tcPr>
          <w:p>
            <w:pPr>
              <w:pStyle w:val="Style71"/>
              <w:widowControl w:val="false"/>
              <w:rPr/>
            </w:pPr>
            <w:r>
              <w:rPr/>
            </w:r>
          </w:p>
        </w:tc>
        <w:tc>
          <w:tcPr>
            <w:tcW w:w="1649" w:type="dxa"/>
            <w:tcBorders>
              <w:left w:val="single" w:sz="4" w:space="0" w:color="000000"/>
              <w:bottom w:val="single" w:sz="4" w:space="0" w:color="000000"/>
            </w:tcBorders>
            <w:vAlign w:val="center"/>
          </w:tcPr>
          <w:p>
            <w:pPr>
              <w:pStyle w:val="Style71"/>
              <w:widowControl w:val="false"/>
              <w:rPr/>
            </w:pPr>
            <w:r>
              <w:rPr/>
            </w:r>
          </w:p>
        </w:tc>
        <w:tc>
          <w:tcPr>
            <w:tcW w:w="1591" w:type="dxa"/>
            <w:tcBorders>
              <w:left w:val="single" w:sz="4" w:space="0" w:color="000000"/>
              <w:bottom w:val="single" w:sz="4" w:space="0" w:color="000000"/>
            </w:tcBorders>
            <w:vAlign w:val="center"/>
          </w:tcPr>
          <w:p>
            <w:pPr>
              <w:pStyle w:val="Style71"/>
              <w:widowControl w:val="false"/>
              <w:rPr/>
            </w:pPr>
            <w:r>
              <w:rPr/>
            </w:r>
          </w:p>
        </w:tc>
        <w:tc>
          <w:tcPr>
            <w:tcW w:w="1298"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1922" w:type="dxa"/>
            <w:tcBorders>
              <w:left w:val="single" w:sz="4" w:space="0" w:color="000000"/>
              <w:bottom w:val="single" w:sz="4" w:space="0" w:color="000000"/>
            </w:tcBorders>
            <w:vAlign w:val="center"/>
          </w:tcPr>
          <w:p>
            <w:pPr>
              <w:pStyle w:val="Style71"/>
              <w:widowControl w:val="false"/>
              <w:rPr/>
            </w:pPr>
            <w:r>
              <w:rPr/>
            </w:r>
          </w:p>
        </w:tc>
        <w:tc>
          <w:tcPr>
            <w:tcW w:w="1366" w:type="dxa"/>
            <w:tcBorders>
              <w:left w:val="single" w:sz="4" w:space="0" w:color="000000"/>
              <w:bottom w:val="single" w:sz="4" w:space="0" w:color="000000"/>
            </w:tcBorders>
            <w:vAlign w:val="center"/>
          </w:tcPr>
          <w:p>
            <w:pPr>
              <w:pStyle w:val="Style71"/>
              <w:widowControl w:val="false"/>
              <w:rPr/>
            </w:pPr>
            <w:r>
              <w:rPr/>
            </w:r>
          </w:p>
        </w:tc>
        <w:tc>
          <w:tcPr>
            <w:tcW w:w="1244" w:type="dxa"/>
            <w:tcBorders>
              <w:left w:val="single" w:sz="4" w:space="0" w:color="000000"/>
              <w:bottom w:val="single" w:sz="4" w:space="0" w:color="000000"/>
            </w:tcBorders>
            <w:vAlign w:val="center"/>
          </w:tcPr>
          <w:p>
            <w:pPr>
              <w:pStyle w:val="Style71"/>
              <w:widowControl w:val="false"/>
              <w:rPr/>
            </w:pPr>
            <w:r>
              <w:rPr/>
            </w:r>
          </w:p>
        </w:tc>
        <w:tc>
          <w:tcPr>
            <w:tcW w:w="1649" w:type="dxa"/>
            <w:tcBorders>
              <w:left w:val="single" w:sz="4" w:space="0" w:color="000000"/>
              <w:bottom w:val="single" w:sz="4" w:space="0" w:color="000000"/>
            </w:tcBorders>
            <w:vAlign w:val="center"/>
          </w:tcPr>
          <w:p>
            <w:pPr>
              <w:pStyle w:val="Style71"/>
              <w:widowControl w:val="false"/>
              <w:rPr/>
            </w:pPr>
            <w:r>
              <w:rPr/>
            </w:r>
          </w:p>
        </w:tc>
        <w:tc>
          <w:tcPr>
            <w:tcW w:w="1591" w:type="dxa"/>
            <w:tcBorders>
              <w:left w:val="single" w:sz="4" w:space="0" w:color="000000"/>
              <w:bottom w:val="single" w:sz="4" w:space="0" w:color="000000"/>
            </w:tcBorders>
            <w:vAlign w:val="center"/>
          </w:tcPr>
          <w:p>
            <w:pPr>
              <w:pStyle w:val="Style71"/>
              <w:widowControl w:val="false"/>
              <w:rPr/>
            </w:pPr>
            <w:r>
              <w:rPr/>
            </w:r>
          </w:p>
        </w:tc>
        <w:tc>
          <w:tcPr>
            <w:tcW w:w="1298"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1922" w:type="dxa"/>
            <w:tcBorders>
              <w:left w:val="single" w:sz="4" w:space="0" w:color="000000"/>
              <w:bottom w:val="single" w:sz="4" w:space="0" w:color="000000"/>
            </w:tcBorders>
            <w:vAlign w:val="center"/>
          </w:tcPr>
          <w:p>
            <w:pPr>
              <w:pStyle w:val="Style71"/>
              <w:widowControl w:val="false"/>
              <w:rPr/>
            </w:pPr>
            <w:r>
              <w:rPr/>
            </w:r>
          </w:p>
        </w:tc>
        <w:tc>
          <w:tcPr>
            <w:tcW w:w="1366" w:type="dxa"/>
            <w:tcBorders>
              <w:left w:val="single" w:sz="4" w:space="0" w:color="000000"/>
              <w:bottom w:val="single" w:sz="4" w:space="0" w:color="000000"/>
            </w:tcBorders>
            <w:vAlign w:val="center"/>
          </w:tcPr>
          <w:p>
            <w:pPr>
              <w:pStyle w:val="Style71"/>
              <w:widowControl w:val="false"/>
              <w:rPr/>
            </w:pPr>
            <w:r>
              <w:rPr/>
            </w:r>
          </w:p>
        </w:tc>
        <w:tc>
          <w:tcPr>
            <w:tcW w:w="1244" w:type="dxa"/>
            <w:tcBorders>
              <w:left w:val="single" w:sz="4" w:space="0" w:color="000000"/>
              <w:bottom w:val="single" w:sz="4" w:space="0" w:color="000000"/>
            </w:tcBorders>
            <w:vAlign w:val="center"/>
          </w:tcPr>
          <w:p>
            <w:pPr>
              <w:pStyle w:val="Style71"/>
              <w:widowControl w:val="false"/>
              <w:rPr/>
            </w:pPr>
            <w:r>
              <w:rPr/>
            </w:r>
          </w:p>
        </w:tc>
        <w:tc>
          <w:tcPr>
            <w:tcW w:w="1649" w:type="dxa"/>
            <w:tcBorders>
              <w:left w:val="single" w:sz="4" w:space="0" w:color="000000"/>
              <w:bottom w:val="single" w:sz="4" w:space="0" w:color="000000"/>
            </w:tcBorders>
            <w:vAlign w:val="center"/>
          </w:tcPr>
          <w:p>
            <w:pPr>
              <w:pStyle w:val="Style71"/>
              <w:widowControl w:val="false"/>
              <w:rPr/>
            </w:pPr>
            <w:r>
              <w:rPr/>
            </w:r>
          </w:p>
        </w:tc>
        <w:tc>
          <w:tcPr>
            <w:tcW w:w="1591" w:type="dxa"/>
            <w:tcBorders>
              <w:left w:val="single" w:sz="4" w:space="0" w:color="000000"/>
              <w:bottom w:val="single" w:sz="4" w:space="0" w:color="000000"/>
            </w:tcBorders>
            <w:vAlign w:val="center"/>
          </w:tcPr>
          <w:p>
            <w:pPr>
              <w:pStyle w:val="Style71"/>
              <w:widowControl w:val="false"/>
              <w:rPr/>
            </w:pPr>
            <w:r>
              <w:rPr/>
            </w:r>
          </w:p>
        </w:tc>
        <w:tc>
          <w:tcPr>
            <w:tcW w:w="1298"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1922" w:type="dxa"/>
            <w:tcBorders>
              <w:left w:val="single" w:sz="4" w:space="0" w:color="000000"/>
              <w:bottom w:val="single" w:sz="4" w:space="0" w:color="000000"/>
            </w:tcBorders>
            <w:vAlign w:val="center"/>
          </w:tcPr>
          <w:p>
            <w:pPr>
              <w:pStyle w:val="Style71"/>
              <w:widowControl w:val="false"/>
              <w:rPr/>
            </w:pPr>
            <w:r>
              <w:rPr/>
            </w:r>
          </w:p>
        </w:tc>
        <w:tc>
          <w:tcPr>
            <w:tcW w:w="1366" w:type="dxa"/>
            <w:tcBorders>
              <w:left w:val="single" w:sz="4" w:space="0" w:color="000000"/>
              <w:bottom w:val="single" w:sz="4" w:space="0" w:color="000000"/>
            </w:tcBorders>
            <w:vAlign w:val="center"/>
          </w:tcPr>
          <w:p>
            <w:pPr>
              <w:pStyle w:val="Style71"/>
              <w:widowControl w:val="false"/>
              <w:rPr/>
            </w:pPr>
            <w:r>
              <w:rPr/>
            </w:r>
          </w:p>
        </w:tc>
        <w:tc>
          <w:tcPr>
            <w:tcW w:w="1244" w:type="dxa"/>
            <w:tcBorders>
              <w:left w:val="single" w:sz="4" w:space="0" w:color="000000"/>
              <w:bottom w:val="single" w:sz="4" w:space="0" w:color="000000"/>
            </w:tcBorders>
            <w:vAlign w:val="center"/>
          </w:tcPr>
          <w:p>
            <w:pPr>
              <w:pStyle w:val="Style71"/>
              <w:widowControl w:val="false"/>
              <w:rPr/>
            </w:pPr>
            <w:r>
              <w:rPr/>
            </w:r>
          </w:p>
        </w:tc>
        <w:tc>
          <w:tcPr>
            <w:tcW w:w="1649" w:type="dxa"/>
            <w:tcBorders>
              <w:left w:val="single" w:sz="4" w:space="0" w:color="000000"/>
              <w:bottom w:val="single" w:sz="4" w:space="0" w:color="000000"/>
            </w:tcBorders>
            <w:vAlign w:val="center"/>
          </w:tcPr>
          <w:p>
            <w:pPr>
              <w:pStyle w:val="Style71"/>
              <w:widowControl w:val="false"/>
              <w:rPr/>
            </w:pPr>
            <w:r>
              <w:rPr/>
            </w:r>
          </w:p>
        </w:tc>
        <w:tc>
          <w:tcPr>
            <w:tcW w:w="1591" w:type="dxa"/>
            <w:tcBorders>
              <w:left w:val="single" w:sz="4" w:space="0" w:color="000000"/>
              <w:bottom w:val="single" w:sz="4" w:space="0" w:color="000000"/>
            </w:tcBorders>
            <w:vAlign w:val="center"/>
          </w:tcPr>
          <w:p>
            <w:pPr>
              <w:pStyle w:val="Style71"/>
              <w:widowControl w:val="false"/>
              <w:rPr/>
            </w:pPr>
            <w:r>
              <w:rPr/>
            </w:r>
          </w:p>
        </w:tc>
        <w:tc>
          <w:tcPr>
            <w:tcW w:w="1298"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1366" w:type="dxa"/>
            <w:tcBorders>
              <w:left w:val="single" w:sz="4" w:space="0" w:color="000000"/>
              <w:bottom w:val="single" w:sz="4" w:space="0" w:color="000000"/>
            </w:tcBorders>
          </w:tcPr>
          <w:p>
            <w:pPr>
              <w:pStyle w:val="Style71"/>
              <w:widowControl w:val="false"/>
              <w:rPr/>
            </w:pPr>
            <w:r>
              <w:rPr/>
            </w:r>
          </w:p>
        </w:tc>
        <w:tc>
          <w:tcPr>
            <w:tcW w:w="1244" w:type="dxa"/>
            <w:tcBorders>
              <w:left w:val="single" w:sz="4" w:space="0" w:color="000000"/>
              <w:bottom w:val="single" w:sz="4" w:space="0" w:color="000000"/>
            </w:tcBorders>
          </w:tcPr>
          <w:p>
            <w:pPr>
              <w:pStyle w:val="Style71"/>
              <w:widowControl w:val="false"/>
              <w:rPr/>
            </w:pPr>
            <w:r>
              <w:rPr/>
            </w:r>
          </w:p>
        </w:tc>
        <w:tc>
          <w:tcPr>
            <w:tcW w:w="1649" w:type="dxa"/>
            <w:tcBorders>
              <w:left w:val="single" w:sz="4" w:space="0" w:color="000000"/>
              <w:bottom w:val="single" w:sz="4" w:space="0" w:color="000000"/>
            </w:tcBorders>
          </w:tcPr>
          <w:p>
            <w:pPr>
              <w:pStyle w:val="Style71"/>
              <w:widowControl w:val="false"/>
              <w:rPr/>
            </w:pPr>
            <w:r>
              <w:rPr/>
            </w:r>
          </w:p>
        </w:tc>
        <w:tc>
          <w:tcPr>
            <w:tcW w:w="1591"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1366" w:type="dxa"/>
            <w:tcBorders>
              <w:left w:val="single" w:sz="4" w:space="0" w:color="000000"/>
              <w:bottom w:val="single" w:sz="4" w:space="0" w:color="000000"/>
            </w:tcBorders>
          </w:tcPr>
          <w:p>
            <w:pPr>
              <w:pStyle w:val="Style71"/>
              <w:widowControl w:val="false"/>
              <w:rPr/>
            </w:pPr>
            <w:r>
              <w:rPr/>
            </w:r>
          </w:p>
        </w:tc>
        <w:tc>
          <w:tcPr>
            <w:tcW w:w="1244" w:type="dxa"/>
            <w:tcBorders>
              <w:left w:val="single" w:sz="4" w:space="0" w:color="000000"/>
              <w:bottom w:val="single" w:sz="4" w:space="0" w:color="000000"/>
            </w:tcBorders>
          </w:tcPr>
          <w:p>
            <w:pPr>
              <w:pStyle w:val="Style71"/>
              <w:widowControl w:val="false"/>
              <w:rPr/>
            </w:pPr>
            <w:r>
              <w:rPr/>
            </w:r>
          </w:p>
        </w:tc>
        <w:tc>
          <w:tcPr>
            <w:tcW w:w="1649" w:type="dxa"/>
            <w:tcBorders>
              <w:left w:val="single" w:sz="4" w:space="0" w:color="000000"/>
              <w:bottom w:val="single" w:sz="4" w:space="0" w:color="000000"/>
            </w:tcBorders>
          </w:tcPr>
          <w:p>
            <w:pPr>
              <w:pStyle w:val="Style71"/>
              <w:widowControl w:val="false"/>
              <w:rPr/>
            </w:pPr>
            <w:r>
              <w:rPr/>
            </w:r>
          </w:p>
        </w:tc>
        <w:tc>
          <w:tcPr>
            <w:tcW w:w="1591"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1366" w:type="dxa"/>
            <w:tcBorders>
              <w:left w:val="single" w:sz="4" w:space="0" w:color="000000"/>
              <w:bottom w:val="single" w:sz="4" w:space="0" w:color="000000"/>
            </w:tcBorders>
          </w:tcPr>
          <w:p>
            <w:pPr>
              <w:pStyle w:val="Style71"/>
              <w:widowControl w:val="false"/>
              <w:rPr/>
            </w:pPr>
            <w:r>
              <w:rPr/>
            </w:r>
          </w:p>
        </w:tc>
        <w:tc>
          <w:tcPr>
            <w:tcW w:w="1244" w:type="dxa"/>
            <w:tcBorders>
              <w:left w:val="single" w:sz="4" w:space="0" w:color="000000"/>
              <w:bottom w:val="single" w:sz="4" w:space="0" w:color="000000"/>
            </w:tcBorders>
          </w:tcPr>
          <w:p>
            <w:pPr>
              <w:pStyle w:val="Style71"/>
              <w:widowControl w:val="false"/>
              <w:rPr/>
            </w:pPr>
            <w:r>
              <w:rPr/>
            </w:r>
          </w:p>
        </w:tc>
        <w:tc>
          <w:tcPr>
            <w:tcW w:w="1649" w:type="dxa"/>
            <w:tcBorders>
              <w:left w:val="single" w:sz="4" w:space="0" w:color="000000"/>
              <w:bottom w:val="single" w:sz="4" w:space="0" w:color="000000"/>
            </w:tcBorders>
          </w:tcPr>
          <w:p>
            <w:pPr>
              <w:pStyle w:val="Style71"/>
              <w:widowControl w:val="false"/>
              <w:rPr/>
            </w:pPr>
            <w:r>
              <w:rPr/>
            </w:r>
          </w:p>
        </w:tc>
        <w:tc>
          <w:tcPr>
            <w:tcW w:w="1591"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1366" w:type="dxa"/>
            <w:tcBorders>
              <w:left w:val="single" w:sz="4" w:space="0" w:color="000000"/>
              <w:bottom w:val="single" w:sz="4" w:space="0" w:color="000000"/>
            </w:tcBorders>
          </w:tcPr>
          <w:p>
            <w:pPr>
              <w:pStyle w:val="Style71"/>
              <w:widowControl w:val="false"/>
              <w:rPr/>
            </w:pPr>
            <w:r>
              <w:rPr/>
            </w:r>
          </w:p>
        </w:tc>
        <w:tc>
          <w:tcPr>
            <w:tcW w:w="1244" w:type="dxa"/>
            <w:tcBorders>
              <w:left w:val="single" w:sz="4" w:space="0" w:color="000000"/>
              <w:bottom w:val="single" w:sz="4" w:space="0" w:color="000000"/>
            </w:tcBorders>
          </w:tcPr>
          <w:p>
            <w:pPr>
              <w:pStyle w:val="Style71"/>
              <w:widowControl w:val="false"/>
              <w:rPr/>
            </w:pPr>
            <w:r>
              <w:rPr/>
            </w:r>
          </w:p>
        </w:tc>
        <w:tc>
          <w:tcPr>
            <w:tcW w:w="1649" w:type="dxa"/>
            <w:tcBorders>
              <w:left w:val="single" w:sz="4" w:space="0" w:color="000000"/>
              <w:bottom w:val="single" w:sz="4" w:space="0" w:color="000000"/>
            </w:tcBorders>
          </w:tcPr>
          <w:p>
            <w:pPr>
              <w:pStyle w:val="Style71"/>
              <w:widowControl w:val="false"/>
              <w:rPr/>
            </w:pPr>
            <w:r>
              <w:rPr/>
            </w:r>
          </w:p>
        </w:tc>
        <w:tc>
          <w:tcPr>
            <w:tcW w:w="1591"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1366" w:type="dxa"/>
            <w:tcBorders>
              <w:left w:val="single" w:sz="4" w:space="0" w:color="000000"/>
              <w:bottom w:val="single" w:sz="4" w:space="0" w:color="000000"/>
            </w:tcBorders>
          </w:tcPr>
          <w:p>
            <w:pPr>
              <w:pStyle w:val="Style71"/>
              <w:widowControl w:val="false"/>
              <w:rPr/>
            </w:pPr>
            <w:r>
              <w:rPr/>
            </w:r>
          </w:p>
        </w:tc>
        <w:tc>
          <w:tcPr>
            <w:tcW w:w="1244" w:type="dxa"/>
            <w:tcBorders>
              <w:left w:val="single" w:sz="4" w:space="0" w:color="000000"/>
              <w:bottom w:val="single" w:sz="4" w:space="0" w:color="000000"/>
            </w:tcBorders>
          </w:tcPr>
          <w:p>
            <w:pPr>
              <w:pStyle w:val="Style71"/>
              <w:widowControl w:val="false"/>
              <w:rPr/>
            </w:pPr>
            <w:r>
              <w:rPr/>
            </w:r>
          </w:p>
        </w:tc>
        <w:tc>
          <w:tcPr>
            <w:tcW w:w="1649" w:type="dxa"/>
            <w:tcBorders>
              <w:left w:val="single" w:sz="4" w:space="0" w:color="000000"/>
              <w:bottom w:val="single" w:sz="4" w:space="0" w:color="000000"/>
            </w:tcBorders>
          </w:tcPr>
          <w:p>
            <w:pPr>
              <w:pStyle w:val="Style71"/>
              <w:widowControl w:val="false"/>
              <w:rPr/>
            </w:pPr>
            <w:r>
              <w:rPr/>
            </w:r>
          </w:p>
        </w:tc>
        <w:tc>
          <w:tcPr>
            <w:tcW w:w="1591"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1366" w:type="dxa"/>
            <w:tcBorders>
              <w:left w:val="single" w:sz="4" w:space="0" w:color="000000"/>
              <w:bottom w:val="single" w:sz="4" w:space="0" w:color="000000"/>
            </w:tcBorders>
          </w:tcPr>
          <w:p>
            <w:pPr>
              <w:pStyle w:val="Style71"/>
              <w:widowControl w:val="false"/>
              <w:rPr/>
            </w:pPr>
            <w:r>
              <w:rPr/>
            </w:r>
          </w:p>
        </w:tc>
        <w:tc>
          <w:tcPr>
            <w:tcW w:w="1244" w:type="dxa"/>
            <w:tcBorders>
              <w:left w:val="single" w:sz="4" w:space="0" w:color="000000"/>
              <w:bottom w:val="single" w:sz="4" w:space="0" w:color="000000"/>
            </w:tcBorders>
          </w:tcPr>
          <w:p>
            <w:pPr>
              <w:pStyle w:val="Style71"/>
              <w:widowControl w:val="false"/>
              <w:rPr/>
            </w:pPr>
            <w:r>
              <w:rPr/>
            </w:r>
          </w:p>
        </w:tc>
        <w:tc>
          <w:tcPr>
            <w:tcW w:w="1649" w:type="dxa"/>
            <w:tcBorders>
              <w:left w:val="single" w:sz="4" w:space="0" w:color="000000"/>
              <w:bottom w:val="single" w:sz="4" w:space="0" w:color="000000"/>
            </w:tcBorders>
          </w:tcPr>
          <w:p>
            <w:pPr>
              <w:pStyle w:val="Style71"/>
              <w:widowControl w:val="false"/>
              <w:rPr/>
            </w:pPr>
            <w:r>
              <w:rPr/>
            </w:r>
          </w:p>
        </w:tc>
        <w:tc>
          <w:tcPr>
            <w:tcW w:w="1591"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1366" w:type="dxa"/>
            <w:tcBorders>
              <w:left w:val="single" w:sz="4" w:space="0" w:color="000000"/>
              <w:bottom w:val="single" w:sz="4" w:space="0" w:color="000000"/>
            </w:tcBorders>
          </w:tcPr>
          <w:p>
            <w:pPr>
              <w:pStyle w:val="Style71"/>
              <w:widowControl w:val="false"/>
              <w:rPr/>
            </w:pPr>
            <w:r>
              <w:rPr/>
            </w:r>
          </w:p>
        </w:tc>
        <w:tc>
          <w:tcPr>
            <w:tcW w:w="1244" w:type="dxa"/>
            <w:tcBorders>
              <w:left w:val="single" w:sz="4" w:space="0" w:color="000000"/>
              <w:bottom w:val="single" w:sz="4" w:space="0" w:color="000000"/>
            </w:tcBorders>
          </w:tcPr>
          <w:p>
            <w:pPr>
              <w:pStyle w:val="Style71"/>
              <w:widowControl w:val="false"/>
              <w:rPr/>
            </w:pPr>
            <w:r>
              <w:rPr/>
            </w:r>
          </w:p>
        </w:tc>
        <w:tc>
          <w:tcPr>
            <w:tcW w:w="1649" w:type="dxa"/>
            <w:tcBorders>
              <w:left w:val="single" w:sz="4" w:space="0" w:color="000000"/>
              <w:bottom w:val="single" w:sz="4" w:space="0" w:color="000000"/>
            </w:tcBorders>
          </w:tcPr>
          <w:p>
            <w:pPr>
              <w:pStyle w:val="Style71"/>
              <w:widowControl w:val="false"/>
              <w:rPr/>
            </w:pPr>
            <w:r>
              <w:rPr/>
            </w:r>
          </w:p>
        </w:tc>
        <w:tc>
          <w:tcPr>
            <w:tcW w:w="1591"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1366" w:type="dxa"/>
            <w:tcBorders>
              <w:left w:val="single" w:sz="4" w:space="0" w:color="000000"/>
              <w:bottom w:val="single" w:sz="4" w:space="0" w:color="000000"/>
            </w:tcBorders>
          </w:tcPr>
          <w:p>
            <w:pPr>
              <w:pStyle w:val="Style71"/>
              <w:widowControl w:val="false"/>
              <w:rPr/>
            </w:pPr>
            <w:r>
              <w:rPr/>
            </w:r>
          </w:p>
        </w:tc>
        <w:tc>
          <w:tcPr>
            <w:tcW w:w="1244" w:type="dxa"/>
            <w:tcBorders>
              <w:left w:val="single" w:sz="4" w:space="0" w:color="000000"/>
              <w:bottom w:val="single" w:sz="4" w:space="0" w:color="000000"/>
            </w:tcBorders>
          </w:tcPr>
          <w:p>
            <w:pPr>
              <w:pStyle w:val="Style71"/>
              <w:widowControl w:val="false"/>
              <w:rPr/>
            </w:pPr>
            <w:r>
              <w:rPr/>
            </w:r>
          </w:p>
        </w:tc>
        <w:tc>
          <w:tcPr>
            <w:tcW w:w="1649" w:type="dxa"/>
            <w:tcBorders>
              <w:left w:val="single" w:sz="4" w:space="0" w:color="000000"/>
              <w:bottom w:val="single" w:sz="4" w:space="0" w:color="000000"/>
            </w:tcBorders>
          </w:tcPr>
          <w:p>
            <w:pPr>
              <w:pStyle w:val="Style71"/>
              <w:widowControl w:val="false"/>
              <w:rPr/>
            </w:pPr>
            <w:r>
              <w:rPr/>
            </w:r>
          </w:p>
        </w:tc>
        <w:tc>
          <w:tcPr>
            <w:tcW w:w="1591"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1366" w:type="dxa"/>
            <w:tcBorders>
              <w:left w:val="single" w:sz="4" w:space="0" w:color="000000"/>
              <w:bottom w:val="single" w:sz="4" w:space="0" w:color="000000"/>
            </w:tcBorders>
          </w:tcPr>
          <w:p>
            <w:pPr>
              <w:pStyle w:val="Style71"/>
              <w:widowControl w:val="false"/>
              <w:rPr/>
            </w:pPr>
            <w:r>
              <w:rPr/>
            </w:r>
          </w:p>
        </w:tc>
        <w:tc>
          <w:tcPr>
            <w:tcW w:w="1244" w:type="dxa"/>
            <w:tcBorders>
              <w:left w:val="single" w:sz="4" w:space="0" w:color="000000"/>
              <w:bottom w:val="single" w:sz="4" w:space="0" w:color="000000"/>
            </w:tcBorders>
          </w:tcPr>
          <w:p>
            <w:pPr>
              <w:pStyle w:val="Style71"/>
              <w:widowControl w:val="false"/>
              <w:rPr/>
            </w:pPr>
            <w:r>
              <w:rPr/>
            </w:r>
          </w:p>
        </w:tc>
        <w:tc>
          <w:tcPr>
            <w:tcW w:w="1649" w:type="dxa"/>
            <w:tcBorders>
              <w:left w:val="single" w:sz="4" w:space="0" w:color="000000"/>
              <w:bottom w:val="single" w:sz="4" w:space="0" w:color="000000"/>
            </w:tcBorders>
          </w:tcPr>
          <w:p>
            <w:pPr>
              <w:pStyle w:val="Style71"/>
              <w:widowControl w:val="false"/>
              <w:rPr/>
            </w:pPr>
            <w:r>
              <w:rPr/>
            </w:r>
          </w:p>
        </w:tc>
        <w:tc>
          <w:tcPr>
            <w:tcW w:w="1591"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1366" w:type="dxa"/>
            <w:tcBorders>
              <w:left w:val="single" w:sz="4" w:space="0" w:color="000000"/>
              <w:bottom w:val="single" w:sz="4" w:space="0" w:color="000000"/>
            </w:tcBorders>
          </w:tcPr>
          <w:p>
            <w:pPr>
              <w:pStyle w:val="Style71"/>
              <w:widowControl w:val="false"/>
              <w:rPr/>
            </w:pPr>
            <w:r>
              <w:rPr/>
            </w:r>
          </w:p>
        </w:tc>
        <w:tc>
          <w:tcPr>
            <w:tcW w:w="1244" w:type="dxa"/>
            <w:tcBorders>
              <w:left w:val="single" w:sz="4" w:space="0" w:color="000000"/>
              <w:bottom w:val="single" w:sz="4" w:space="0" w:color="000000"/>
            </w:tcBorders>
          </w:tcPr>
          <w:p>
            <w:pPr>
              <w:pStyle w:val="Style71"/>
              <w:widowControl w:val="false"/>
              <w:rPr/>
            </w:pPr>
            <w:r>
              <w:rPr/>
            </w:r>
          </w:p>
        </w:tc>
        <w:tc>
          <w:tcPr>
            <w:tcW w:w="1649" w:type="dxa"/>
            <w:tcBorders>
              <w:left w:val="single" w:sz="4" w:space="0" w:color="000000"/>
              <w:bottom w:val="single" w:sz="4" w:space="0" w:color="000000"/>
            </w:tcBorders>
          </w:tcPr>
          <w:p>
            <w:pPr>
              <w:pStyle w:val="Style71"/>
              <w:widowControl w:val="false"/>
              <w:rPr/>
            </w:pPr>
            <w:r>
              <w:rPr/>
            </w:r>
          </w:p>
        </w:tc>
        <w:tc>
          <w:tcPr>
            <w:tcW w:w="1591"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1366" w:type="dxa"/>
            <w:tcBorders>
              <w:left w:val="single" w:sz="4" w:space="0" w:color="000000"/>
              <w:bottom w:val="single" w:sz="4" w:space="0" w:color="000000"/>
            </w:tcBorders>
          </w:tcPr>
          <w:p>
            <w:pPr>
              <w:pStyle w:val="Style71"/>
              <w:widowControl w:val="false"/>
              <w:rPr/>
            </w:pPr>
            <w:r>
              <w:rPr/>
            </w:r>
          </w:p>
        </w:tc>
        <w:tc>
          <w:tcPr>
            <w:tcW w:w="1244" w:type="dxa"/>
            <w:tcBorders>
              <w:left w:val="single" w:sz="4" w:space="0" w:color="000000"/>
              <w:bottom w:val="single" w:sz="4" w:space="0" w:color="000000"/>
            </w:tcBorders>
          </w:tcPr>
          <w:p>
            <w:pPr>
              <w:pStyle w:val="Style71"/>
              <w:widowControl w:val="false"/>
              <w:rPr/>
            </w:pPr>
            <w:r>
              <w:rPr/>
            </w:r>
          </w:p>
        </w:tc>
        <w:tc>
          <w:tcPr>
            <w:tcW w:w="1649" w:type="dxa"/>
            <w:tcBorders>
              <w:left w:val="single" w:sz="4" w:space="0" w:color="000000"/>
              <w:bottom w:val="single" w:sz="4" w:space="0" w:color="000000"/>
            </w:tcBorders>
          </w:tcPr>
          <w:p>
            <w:pPr>
              <w:pStyle w:val="Style71"/>
              <w:widowControl w:val="false"/>
              <w:rPr/>
            </w:pPr>
            <w:r>
              <w:rPr/>
            </w:r>
          </w:p>
        </w:tc>
        <w:tc>
          <w:tcPr>
            <w:tcW w:w="1591"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1366" w:type="dxa"/>
            <w:tcBorders>
              <w:left w:val="single" w:sz="4" w:space="0" w:color="000000"/>
              <w:bottom w:val="single" w:sz="4" w:space="0" w:color="000000"/>
            </w:tcBorders>
          </w:tcPr>
          <w:p>
            <w:pPr>
              <w:pStyle w:val="Style71"/>
              <w:widowControl w:val="false"/>
              <w:rPr/>
            </w:pPr>
            <w:r>
              <w:rPr/>
            </w:r>
          </w:p>
        </w:tc>
        <w:tc>
          <w:tcPr>
            <w:tcW w:w="1244" w:type="dxa"/>
            <w:tcBorders>
              <w:left w:val="single" w:sz="4" w:space="0" w:color="000000"/>
              <w:bottom w:val="single" w:sz="4" w:space="0" w:color="000000"/>
            </w:tcBorders>
          </w:tcPr>
          <w:p>
            <w:pPr>
              <w:pStyle w:val="Style71"/>
              <w:widowControl w:val="false"/>
              <w:rPr/>
            </w:pPr>
            <w:r>
              <w:rPr/>
            </w:r>
          </w:p>
        </w:tc>
        <w:tc>
          <w:tcPr>
            <w:tcW w:w="1649" w:type="dxa"/>
            <w:tcBorders>
              <w:left w:val="single" w:sz="4" w:space="0" w:color="000000"/>
              <w:bottom w:val="single" w:sz="4" w:space="0" w:color="000000"/>
            </w:tcBorders>
          </w:tcPr>
          <w:p>
            <w:pPr>
              <w:pStyle w:val="Style71"/>
              <w:widowControl w:val="false"/>
              <w:rPr/>
            </w:pPr>
            <w:r>
              <w:rPr/>
            </w:r>
          </w:p>
        </w:tc>
        <w:tc>
          <w:tcPr>
            <w:tcW w:w="1591"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1366" w:type="dxa"/>
            <w:tcBorders>
              <w:left w:val="single" w:sz="4" w:space="0" w:color="000000"/>
              <w:bottom w:val="single" w:sz="4" w:space="0" w:color="000000"/>
            </w:tcBorders>
          </w:tcPr>
          <w:p>
            <w:pPr>
              <w:pStyle w:val="Style71"/>
              <w:widowControl w:val="false"/>
              <w:rPr/>
            </w:pPr>
            <w:r>
              <w:rPr/>
            </w:r>
          </w:p>
        </w:tc>
        <w:tc>
          <w:tcPr>
            <w:tcW w:w="1244" w:type="dxa"/>
            <w:tcBorders>
              <w:left w:val="single" w:sz="4" w:space="0" w:color="000000"/>
              <w:bottom w:val="single" w:sz="4" w:space="0" w:color="000000"/>
            </w:tcBorders>
          </w:tcPr>
          <w:p>
            <w:pPr>
              <w:pStyle w:val="Style71"/>
              <w:widowControl w:val="false"/>
              <w:rPr/>
            </w:pPr>
            <w:r>
              <w:rPr/>
            </w:r>
          </w:p>
        </w:tc>
        <w:tc>
          <w:tcPr>
            <w:tcW w:w="1649" w:type="dxa"/>
            <w:tcBorders>
              <w:left w:val="single" w:sz="4" w:space="0" w:color="000000"/>
              <w:bottom w:val="single" w:sz="4" w:space="0" w:color="000000"/>
            </w:tcBorders>
          </w:tcPr>
          <w:p>
            <w:pPr>
              <w:pStyle w:val="Style71"/>
              <w:widowControl w:val="false"/>
              <w:rPr/>
            </w:pPr>
            <w:r>
              <w:rPr/>
            </w:r>
          </w:p>
        </w:tc>
        <w:tc>
          <w:tcPr>
            <w:tcW w:w="1591"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1366" w:type="dxa"/>
            <w:tcBorders>
              <w:left w:val="single" w:sz="4" w:space="0" w:color="000000"/>
              <w:bottom w:val="single" w:sz="4" w:space="0" w:color="000000"/>
            </w:tcBorders>
          </w:tcPr>
          <w:p>
            <w:pPr>
              <w:pStyle w:val="Style71"/>
              <w:widowControl w:val="false"/>
              <w:rPr/>
            </w:pPr>
            <w:r>
              <w:rPr/>
            </w:r>
          </w:p>
        </w:tc>
        <w:tc>
          <w:tcPr>
            <w:tcW w:w="1244" w:type="dxa"/>
            <w:tcBorders>
              <w:left w:val="single" w:sz="4" w:space="0" w:color="000000"/>
              <w:bottom w:val="single" w:sz="4" w:space="0" w:color="000000"/>
            </w:tcBorders>
          </w:tcPr>
          <w:p>
            <w:pPr>
              <w:pStyle w:val="Style71"/>
              <w:widowControl w:val="false"/>
              <w:rPr/>
            </w:pPr>
            <w:r>
              <w:rPr/>
            </w:r>
          </w:p>
        </w:tc>
        <w:tc>
          <w:tcPr>
            <w:tcW w:w="1649" w:type="dxa"/>
            <w:tcBorders>
              <w:left w:val="single" w:sz="4" w:space="0" w:color="000000"/>
              <w:bottom w:val="single" w:sz="4" w:space="0" w:color="000000"/>
            </w:tcBorders>
          </w:tcPr>
          <w:p>
            <w:pPr>
              <w:pStyle w:val="Style71"/>
              <w:widowControl w:val="false"/>
              <w:rPr/>
            </w:pPr>
            <w:r>
              <w:rPr/>
            </w:r>
          </w:p>
        </w:tc>
        <w:tc>
          <w:tcPr>
            <w:tcW w:w="1591"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1366" w:type="dxa"/>
            <w:tcBorders>
              <w:left w:val="single" w:sz="4" w:space="0" w:color="000000"/>
              <w:bottom w:val="single" w:sz="4" w:space="0" w:color="000000"/>
            </w:tcBorders>
          </w:tcPr>
          <w:p>
            <w:pPr>
              <w:pStyle w:val="Style71"/>
              <w:widowControl w:val="false"/>
              <w:rPr/>
            </w:pPr>
            <w:r>
              <w:rPr/>
            </w:r>
          </w:p>
        </w:tc>
        <w:tc>
          <w:tcPr>
            <w:tcW w:w="1244" w:type="dxa"/>
            <w:tcBorders>
              <w:left w:val="single" w:sz="4" w:space="0" w:color="000000"/>
              <w:bottom w:val="single" w:sz="4" w:space="0" w:color="000000"/>
            </w:tcBorders>
          </w:tcPr>
          <w:p>
            <w:pPr>
              <w:pStyle w:val="Style71"/>
              <w:widowControl w:val="false"/>
              <w:rPr/>
            </w:pPr>
            <w:r>
              <w:rPr/>
            </w:r>
          </w:p>
        </w:tc>
        <w:tc>
          <w:tcPr>
            <w:tcW w:w="1649" w:type="dxa"/>
            <w:tcBorders>
              <w:left w:val="single" w:sz="4" w:space="0" w:color="000000"/>
              <w:bottom w:val="single" w:sz="4" w:space="0" w:color="000000"/>
            </w:tcBorders>
          </w:tcPr>
          <w:p>
            <w:pPr>
              <w:pStyle w:val="Style71"/>
              <w:widowControl w:val="false"/>
              <w:rPr/>
            </w:pPr>
            <w:r>
              <w:rPr/>
            </w:r>
          </w:p>
        </w:tc>
        <w:tc>
          <w:tcPr>
            <w:tcW w:w="1591"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1366" w:type="dxa"/>
            <w:tcBorders>
              <w:left w:val="single" w:sz="4" w:space="0" w:color="000000"/>
              <w:bottom w:val="single" w:sz="4" w:space="0" w:color="000000"/>
            </w:tcBorders>
          </w:tcPr>
          <w:p>
            <w:pPr>
              <w:pStyle w:val="Style71"/>
              <w:widowControl w:val="false"/>
              <w:rPr/>
            </w:pPr>
            <w:r>
              <w:rPr/>
            </w:r>
          </w:p>
        </w:tc>
        <w:tc>
          <w:tcPr>
            <w:tcW w:w="1244" w:type="dxa"/>
            <w:tcBorders>
              <w:left w:val="single" w:sz="4" w:space="0" w:color="000000"/>
              <w:bottom w:val="single" w:sz="4" w:space="0" w:color="000000"/>
            </w:tcBorders>
          </w:tcPr>
          <w:p>
            <w:pPr>
              <w:pStyle w:val="Style71"/>
              <w:widowControl w:val="false"/>
              <w:rPr/>
            </w:pPr>
            <w:r>
              <w:rPr/>
            </w:r>
          </w:p>
        </w:tc>
        <w:tc>
          <w:tcPr>
            <w:tcW w:w="1649" w:type="dxa"/>
            <w:tcBorders>
              <w:left w:val="single" w:sz="4" w:space="0" w:color="000000"/>
              <w:bottom w:val="single" w:sz="4" w:space="0" w:color="000000"/>
            </w:tcBorders>
          </w:tcPr>
          <w:p>
            <w:pPr>
              <w:pStyle w:val="Style71"/>
              <w:widowControl w:val="false"/>
              <w:rPr/>
            </w:pPr>
            <w:r>
              <w:rPr/>
            </w:r>
          </w:p>
        </w:tc>
        <w:tc>
          <w:tcPr>
            <w:tcW w:w="1591"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1366" w:type="dxa"/>
            <w:tcBorders>
              <w:left w:val="single" w:sz="4" w:space="0" w:color="000000"/>
              <w:bottom w:val="single" w:sz="4" w:space="0" w:color="000000"/>
            </w:tcBorders>
          </w:tcPr>
          <w:p>
            <w:pPr>
              <w:pStyle w:val="Style71"/>
              <w:widowControl w:val="false"/>
              <w:rPr/>
            </w:pPr>
            <w:r>
              <w:rPr/>
            </w:r>
          </w:p>
        </w:tc>
        <w:tc>
          <w:tcPr>
            <w:tcW w:w="1244" w:type="dxa"/>
            <w:tcBorders>
              <w:left w:val="single" w:sz="4" w:space="0" w:color="000000"/>
              <w:bottom w:val="single" w:sz="4" w:space="0" w:color="000000"/>
            </w:tcBorders>
          </w:tcPr>
          <w:p>
            <w:pPr>
              <w:pStyle w:val="Style71"/>
              <w:widowControl w:val="false"/>
              <w:rPr/>
            </w:pPr>
            <w:r>
              <w:rPr/>
            </w:r>
          </w:p>
        </w:tc>
        <w:tc>
          <w:tcPr>
            <w:tcW w:w="1649" w:type="dxa"/>
            <w:tcBorders>
              <w:left w:val="single" w:sz="4" w:space="0" w:color="000000"/>
              <w:bottom w:val="single" w:sz="4" w:space="0" w:color="000000"/>
            </w:tcBorders>
          </w:tcPr>
          <w:p>
            <w:pPr>
              <w:pStyle w:val="Style71"/>
              <w:widowControl w:val="false"/>
              <w:rPr/>
            </w:pPr>
            <w:r>
              <w:rPr/>
            </w:r>
          </w:p>
        </w:tc>
        <w:tc>
          <w:tcPr>
            <w:tcW w:w="1591"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1366" w:type="dxa"/>
            <w:tcBorders>
              <w:left w:val="single" w:sz="4" w:space="0" w:color="000000"/>
              <w:bottom w:val="single" w:sz="4" w:space="0" w:color="000000"/>
            </w:tcBorders>
          </w:tcPr>
          <w:p>
            <w:pPr>
              <w:pStyle w:val="Style71"/>
              <w:widowControl w:val="false"/>
              <w:rPr/>
            </w:pPr>
            <w:r>
              <w:rPr/>
            </w:r>
          </w:p>
        </w:tc>
        <w:tc>
          <w:tcPr>
            <w:tcW w:w="1244" w:type="dxa"/>
            <w:tcBorders>
              <w:left w:val="single" w:sz="4" w:space="0" w:color="000000"/>
              <w:bottom w:val="single" w:sz="4" w:space="0" w:color="000000"/>
            </w:tcBorders>
          </w:tcPr>
          <w:p>
            <w:pPr>
              <w:pStyle w:val="Style71"/>
              <w:widowControl w:val="false"/>
              <w:rPr/>
            </w:pPr>
            <w:r>
              <w:rPr/>
            </w:r>
          </w:p>
        </w:tc>
        <w:tc>
          <w:tcPr>
            <w:tcW w:w="1649" w:type="dxa"/>
            <w:tcBorders>
              <w:left w:val="single" w:sz="4" w:space="0" w:color="000000"/>
              <w:bottom w:val="single" w:sz="4" w:space="0" w:color="000000"/>
            </w:tcBorders>
          </w:tcPr>
          <w:p>
            <w:pPr>
              <w:pStyle w:val="Style71"/>
              <w:widowControl w:val="false"/>
              <w:rPr/>
            </w:pPr>
            <w:r>
              <w:rPr/>
            </w:r>
          </w:p>
        </w:tc>
        <w:tc>
          <w:tcPr>
            <w:tcW w:w="1591"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1366" w:type="dxa"/>
            <w:tcBorders>
              <w:left w:val="single" w:sz="4" w:space="0" w:color="000000"/>
              <w:bottom w:val="single" w:sz="4" w:space="0" w:color="000000"/>
            </w:tcBorders>
          </w:tcPr>
          <w:p>
            <w:pPr>
              <w:pStyle w:val="Style71"/>
              <w:widowControl w:val="false"/>
              <w:rPr/>
            </w:pPr>
            <w:r>
              <w:rPr/>
            </w:r>
          </w:p>
        </w:tc>
        <w:tc>
          <w:tcPr>
            <w:tcW w:w="1244" w:type="dxa"/>
            <w:tcBorders>
              <w:left w:val="single" w:sz="4" w:space="0" w:color="000000"/>
              <w:bottom w:val="single" w:sz="4" w:space="0" w:color="000000"/>
            </w:tcBorders>
          </w:tcPr>
          <w:p>
            <w:pPr>
              <w:pStyle w:val="Style71"/>
              <w:widowControl w:val="false"/>
              <w:rPr/>
            </w:pPr>
            <w:r>
              <w:rPr/>
            </w:r>
          </w:p>
        </w:tc>
        <w:tc>
          <w:tcPr>
            <w:tcW w:w="1649" w:type="dxa"/>
            <w:tcBorders>
              <w:left w:val="single" w:sz="4" w:space="0" w:color="000000"/>
              <w:bottom w:val="single" w:sz="4" w:space="0" w:color="000000"/>
            </w:tcBorders>
          </w:tcPr>
          <w:p>
            <w:pPr>
              <w:pStyle w:val="Style71"/>
              <w:widowControl w:val="false"/>
              <w:rPr/>
            </w:pPr>
            <w:r>
              <w:rPr/>
            </w:r>
          </w:p>
        </w:tc>
        <w:tc>
          <w:tcPr>
            <w:tcW w:w="1591"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1366" w:type="dxa"/>
            <w:tcBorders>
              <w:left w:val="single" w:sz="4" w:space="0" w:color="000000"/>
              <w:bottom w:val="single" w:sz="4" w:space="0" w:color="000000"/>
            </w:tcBorders>
          </w:tcPr>
          <w:p>
            <w:pPr>
              <w:pStyle w:val="Style71"/>
              <w:widowControl w:val="false"/>
              <w:rPr/>
            </w:pPr>
            <w:r>
              <w:rPr/>
            </w:r>
          </w:p>
        </w:tc>
        <w:tc>
          <w:tcPr>
            <w:tcW w:w="1244" w:type="dxa"/>
            <w:tcBorders>
              <w:left w:val="single" w:sz="4" w:space="0" w:color="000000"/>
              <w:bottom w:val="single" w:sz="4" w:space="0" w:color="000000"/>
            </w:tcBorders>
          </w:tcPr>
          <w:p>
            <w:pPr>
              <w:pStyle w:val="Style71"/>
              <w:widowControl w:val="false"/>
              <w:rPr/>
            </w:pPr>
            <w:r>
              <w:rPr/>
            </w:r>
          </w:p>
        </w:tc>
        <w:tc>
          <w:tcPr>
            <w:tcW w:w="1649" w:type="dxa"/>
            <w:tcBorders>
              <w:left w:val="single" w:sz="4" w:space="0" w:color="000000"/>
              <w:bottom w:val="single" w:sz="4" w:space="0" w:color="000000"/>
            </w:tcBorders>
          </w:tcPr>
          <w:p>
            <w:pPr>
              <w:pStyle w:val="Style71"/>
              <w:widowControl w:val="false"/>
              <w:rPr/>
            </w:pPr>
            <w:r>
              <w:rPr/>
            </w:r>
          </w:p>
        </w:tc>
        <w:tc>
          <w:tcPr>
            <w:tcW w:w="1591"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1366" w:type="dxa"/>
            <w:tcBorders>
              <w:left w:val="single" w:sz="4" w:space="0" w:color="000000"/>
              <w:bottom w:val="single" w:sz="4" w:space="0" w:color="000000"/>
            </w:tcBorders>
          </w:tcPr>
          <w:p>
            <w:pPr>
              <w:pStyle w:val="Style71"/>
              <w:widowControl w:val="false"/>
              <w:rPr/>
            </w:pPr>
            <w:r>
              <w:rPr/>
            </w:r>
          </w:p>
        </w:tc>
        <w:tc>
          <w:tcPr>
            <w:tcW w:w="1244" w:type="dxa"/>
            <w:tcBorders>
              <w:left w:val="single" w:sz="4" w:space="0" w:color="000000"/>
              <w:bottom w:val="single" w:sz="4" w:space="0" w:color="000000"/>
            </w:tcBorders>
          </w:tcPr>
          <w:p>
            <w:pPr>
              <w:pStyle w:val="Style71"/>
              <w:widowControl w:val="false"/>
              <w:rPr/>
            </w:pPr>
            <w:r>
              <w:rPr/>
            </w:r>
          </w:p>
        </w:tc>
        <w:tc>
          <w:tcPr>
            <w:tcW w:w="1649" w:type="dxa"/>
            <w:tcBorders>
              <w:left w:val="single" w:sz="4" w:space="0" w:color="000000"/>
              <w:bottom w:val="single" w:sz="4" w:space="0" w:color="000000"/>
            </w:tcBorders>
          </w:tcPr>
          <w:p>
            <w:pPr>
              <w:pStyle w:val="Style71"/>
              <w:widowControl w:val="false"/>
              <w:rPr/>
            </w:pPr>
            <w:r>
              <w:rPr/>
            </w:r>
          </w:p>
        </w:tc>
        <w:tc>
          <w:tcPr>
            <w:tcW w:w="1591"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1366" w:type="dxa"/>
            <w:tcBorders>
              <w:left w:val="single" w:sz="4" w:space="0" w:color="000000"/>
              <w:bottom w:val="single" w:sz="4" w:space="0" w:color="000000"/>
            </w:tcBorders>
          </w:tcPr>
          <w:p>
            <w:pPr>
              <w:pStyle w:val="Style71"/>
              <w:widowControl w:val="false"/>
              <w:rPr/>
            </w:pPr>
            <w:r>
              <w:rPr/>
            </w:r>
          </w:p>
        </w:tc>
        <w:tc>
          <w:tcPr>
            <w:tcW w:w="1244" w:type="dxa"/>
            <w:tcBorders>
              <w:left w:val="single" w:sz="4" w:space="0" w:color="000000"/>
              <w:bottom w:val="single" w:sz="4" w:space="0" w:color="000000"/>
            </w:tcBorders>
          </w:tcPr>
          <w:p>
            <w:pPr>
              <w:pStyle w:val="Style71"/>
              <w:widowControl w:val="false"/>
              <w:rPr/>
            </w:pPr>
            <w:r>
              <w:rPr/>
            </w:r>
          </w:p>
        </w:tc>
        <w:tc>
          <w:tcPr>
            <w:tcW w:w="1649" w:type="dxa"/>
            <w:tcBorders>
              <w:left w:val="single" w:sz="4" w:space="0" w:color="000000"/>
              <w:bottom w:val="single" w:sz="4" w:space="0" w:color="000000"/>
            </w:tcBorders>
          </w:tcPr>
          <w:p>
            <w:pPr>
              <w:pStyle w:val="Style71"/>
              <w:widowControl w:val="false"/>
              <w:rPr/>
            </w:pPr>
            <w:r>
              <w:rPr/>
            </w:r>
          </w:p>
        </w:tc>
        <w:tc>
          <w:tcPr>
            <w:tcW w:w="1591"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1366" w:type="dxa"/>
            <w:tcBorders>
              <w:left w:val="single" w:sz="4" w:space="0" w:color="000000"/>
              <w:bottom w:val="single" w:sz="4" w:space="0" w:color="000000"/>
            </w:tcBorders>
          </w:tcPr>
          <w:p>
            <w:pPr>
              <w:pStyle w:val="Style71"/>
              <w:widowControl w:val="false"/>
              <w:rPr/>
            </w:pPr>
            <w:r>
              <w:rPr/>
            </w:r>
          </w:p>
        </w:tc>
        <w:tc>
          <w:tcPr>
            <w:tcW w:w="1244" w:type="dxa"/>
            <w:tcBorders>
              <w:left w:val="single" w:sz="4" w:space="0" w:color="000000"/>
              <w:bottom w:val="single" w:sz="4" w:space="0" w:color="000000"/>
            </w:tcBorders>
          </w:tcPr>
          <w:p>
            <w:pPr>
              <w:pStyle w:val="Style71"/>
              <w:widowControl w:val="false"/>
              <w:rPr/>
            </w:pPr>
            <w:r>
              <w:rPr/>
            </w:r>
          </w:p>
        </w:tc>
        <w:tc>
          <w:tcPr>
            <w:tcW w:w="1649" w:type="dxa"/>
            <w:tcBorders>
              <w:left w:val="single" w:sz="4" w:space="0" w:color="000000"/>
              <w:bottom w:val="single" w:sz="4" w:space="0" w:color="000000"/>
            </w:tcBorders>
          </w:tcPr>
          <w:p>
            <w:pPr>
              <w:pStyle w:val="Style71"/>
              <w:widowControl w:val="false"/>
              <w:rPr/>
            </w:pPr>
            <w:r>
              <w:rPr/>
            </w:r>
          </w:p>
        </w:tc>
        <w:tc>
          <w:tcPr>
            <w:tcW w:w="1591"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1366" w:type="dxa"/>
            <w:tcBorders>
              <w:left w:val="single" w:sz="4" w:space="0" w:color="000000"/>
              <w:bottom w:val="single" w:sz="4" w:space="0" w:color="000000"/>
            </w:tcBorders>
          </w:tcPr>
          <w:p>
            <w:pPr>
              <w:pStyle w:val="Style71"/>
              <w:widowControl w:val="false"/>
              <w:rPr/>
            </w:pPr>
            <w:r>
              <w:rPr/>
            </w:r>
          </w:p>
        </w:tc>
        <w:tc>
          <w:tcPr>
            <w:tcW w:w="1244" w:type="dxa"/>
            <w:tcBorders>
              <w:left w:val="single" w:sz="4" w:space="0" w:color="000000"/>
              <w:bottom w:val="single" w:sz="4" w:space="0" w:color="000000"/>
            </w:tcBorders>
          </w:tcPr>
          <w:p>
            <w:pPr>
              <w:pStyle w:val="Style71"/>
              <w:widowControl w:val="false"/>
              <w:rPr/>
            </w:pPr>
            <w:r>
              <w:rPr/>
            </w:r>
          </w:p>
        </w:tc>
        <w:tc>
          <w:tcPr>
            <w:tcW w:w="1649" w:type="dxa"/>
            <w:tcBorders>
              <w:left w:val="single" w:sz="4" w:space="0" w:color="000000"/>
              <w:bottom w:val="single" w:sz="4" w:space="0" w:color="000000"/>
            </w:tcBorders>
          </w:tcPr>
          <w:p>
            <w:pPr>
              <w:pStyle w:val="Style71"/>
              <w:widowControl w:val="false"/>
              <w:rPr/>
            </w:pPr>
            <w:r>
              <w:rPr/>
            </w:r>
          </w:p>
        </w:tc>
        <w:tc>
          <w:tcPr>
            <w:tcW w:w="1591"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1366" w:type="dxa"/>
            <w:tcBorders>
              <w:left w:val="single" w:sz="4" w:space="0" w:color="000000"/>
              <w:bottom w:val="single" w:sz="4" w:space="0" w:color="000000"/>
            </w:tcBorders>
          </w:tcPr>
          <w:p>
            <w:pPr>
              <w:pStyle w:val="Style71"/>
              <w:widowControl w:val="false"/>
              <w:rPr/>
            </w:pPr>
            <w:r>
              <w:rPr/>
            </w:r>
          </w:p>
        </w:tc>
        <w:tc>
          <w:tcPr>
            <w:tcW w:w="1244" w:type="dxa"/>
            <w:tcBorders>
              <w:left w:val="single" w:sz="4" w:space="0" w:color="000000"/>
              <w:bottom w:val="single" w:sz="4" w:space="0" w:color="000000"/>
            </w:tcBorders>
          </w:tcPr>
          <w:p>
            <w:pPr>
              <w:pStyle w:val="Style71"/>
              <w:widowControl w:val="false"/>
              <w:rPr/>
            </w:pPr>
            <w:r>
              <w:rPr/>
            </w:r>
          </w:p>
        </w:tc>
        <w:tc>
          <w:tcPr>
            <w:tcW w:w="1649" w:type="dxa"/>
            <w:tcBorders>
              <w:left w:val="single" w:sz="4" w:space="0" w:color="000000"/>
              <w:bottom w:val="single" w:sz="4" w:space="0" w:color="000000"/>
            </w:tcBorders>
          </w:tcPr>
          <w:p>
            <w:pPr>
              <w:pStyle w:val="Style71"/>
              <w:widowControl w:val="false"/>
              <w:rPr/>
            </w:pPr>
            <w:r>
              <w:rPr/>
            </w:r>
          </w:p>
        </w:tc>
        <w:tc>
          <w:tcPr>
            <w:tcW w:w="1591"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1366" w:type="dxa"/>
            <w:tcBorders>
              <w:left w:val="single" w:sz="4" w:space="0" w:color="000000"/>
              <w:bottom w:val="single" w:sz="4" w:space="0" w:color="000000"/>
            </w:tcBorders>
          </w:tcPr>
          <w:p>
            <w:pPr>
              <w:pStyle w:val="Style71"/>
              <w:widowControl w:val="false"/>
              <w:rPr/>
            </w:pPr>
            <w:r>
              <w:rPr/>
            </w:r>
          </w:p>
        </w:tc>
        <w:tc>
          <w:tcPr>
            <w:tcW w:w="1244" w:type="dxa"/>
            <w:tcBorders>
              <w:left w:val="single" w:sz="4" w:space="0" w:color="000000"/>
              <w:bottom w:val="single" w:sz="4" w:space="0" w:color="000000"/>
            </w:tcBorders>
          </w:tcPr>
          <w:p>
            <w:pPr>
              <w:pStyle w:val="Style71"/>
              <w:widowControl w:val="false"/>
              <w:rPr/>
            </w:pPr>
            <w:r>
              <w:rPr/>
            </w:r>
          </w:p>
        </w:tc>
        <w:tc>
          <w:tcPr>
            <w:tcW w:w="1649" w:type="dxa"/>
            <w:tcBorders>
              <w:left w:val="single" w:sz="4" w:space="0" w:color="000000"/>
              <w:bottom w:val="single" w:sz="4" w:space="0" w:color="000000"/>
            </w:tcBorders>
          </w:tcPr>
          <w:p>
            <w:pPr>
              <w:pStyle w:val="Style71"/>
              <w:widowControl w:val="false"/>
              <w:rPr/>
            </w:pPr>
            <w:r>
              <w:rPr/>
            </w:r>
          </w:p>
        </w:tc>
        <w:tc>
          <w:tcPr>
            <w:tcW w:w="1591"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bl>
    <w:p>
      <w:pPr>
        <w:pStyle w:val="Normal"/>
        <w:widowControl/>
        <w:suppressAutoHyphens w:val="true"/>
        <w:bidi w:val="0"/>
        <w:spacing w:lineRule="auto" w:line="240" w:before="0" w:after="0"/>
        <w:ind w:left="0" w:right="0" w:hanging="0"/>
        <w:jc w:val="left"/>
        <w:rPr>
          <w:rFonts w:ascii="Times New Roman" w:hAnsi="Times New Roman"/>
          <w:sz w:val="24"/>
          <w:szCs w:val="24"/>
        </w:rPr>
      </w:pPr>
      <w:r>
        <w:rPr>
          <w:rFonts w:ascii="Times New Roman" w:hAnsi="Times New Roman"/>
          <w:sz w:val="24"/>
          <w:szCs w:val="24"/>
        </w:rPr>
      </w:r>
    </w:p>
    <w:p>
      <w:pPr>
        <w:pStyle w:val="Normal"/>
        <w:widowControl/>
        <w:suppressAutoHyphens w:val="true"/>
        <w:bidi w:val="0"/>
        <w:spacing w:lineRule="auto" w:line="240" w:before="0" w:after="0"/>
        <w:ind w:left="0" w:right="0" w:hanging="0"/>
        <w:jc w:val="left"/>
        <w:rPr>
          <w:rFonts w:ascii="Times New Roman" w:hAnsi="Times New Roman"/>
          <w:sz w:val="24"/>
          <w:szCs w:val="24"/>
        </w:rPr>
      </w:pPr>
      <w:r>
        <w:rPr>
          <w:rFonts w:ascii="Times New Roman" w:hAnsi="Times New Roman"/>
          <w:sz w:val="24"/>
          <w:szCs w:val="24"/>
        </w:rPr>
        <w:t>Подпись наблюдателя: _____________________ ФИО наблюдателя: ________________</w:t>
      </w:r>
      <w:r>
        <w:br w:type="page"/>
      </w:r>
    </w:p>
    <w:p>
      <w:pPr>
        <w:pStyle w:val="Normal"/>
        <w:spacing w:lineRule="auto" w:line="240" w:before="0" w:after="0"/>
        <w:jc w:val="center"/>
        <w:rPr>
          <w:rFonts w:ascii="Times New Roman" w:hAnsi="Times New Roman" w:cs="Times New Roman"/>
          <w:b/>
          <w:bCs/>
          <w:szCs w:val="32"/>
        </w:rPr>
      </w:pPr>
      <w:r>
        <w:rPr>
          <w:rFonts w:cs="Times New Roman" w:ascii="Times New Roman" w:hAnsi="Times New Roman"/>
          <w:b/>
          <w:bCs/>
          <w:szCs w:val="32"/>
        </w:rPr>
        <w:t>Форма журнала гидрологических наблюдений за уровнями воды</w:t>
      </w:r>
    </w:p>
    <w:p>
      <w:pPr>
        <w:pStyle w:val="Normal"/>
        <w:spacing w:lineRule="auto" w:line="240" w:before="0" w:after="0"/>
        <w:jc w:val="center"/>
        <w:rPr>
          <w:rFonts w:ascii="Times New Roman" w:hAnsi="Times New Roman" w:cs="Times New Roman"/>
          <w:b/>
          <w:bCs/>
          <w:szCs w:val="32"/>
        </w:rPr>
      </w:pPr>
      <w:r>
        <w:rPr>
          <w:rFonts w:cs="Times New Roman" w:ascii="Times New Roman" w:hAnsi="Times New Roman"/>
          <w:b/>
          <w:bCs/>
          <w:szCs w:val="32"/>
        </w:rPr>
      </w:r>
    </w:p>
    <w:tbl>
      <w:tblPr>
        <w:tblW w:w="5000" w:type="pct"/>
        <w:jc w:val="left"/>
        <w:tblInd w:w="-5" w:type="dxa"/>
        <w:tblLayout w:type="fixed"/>
        <w:tblCellMar>
          <w:top w:w="55" w:type="dxa"/>
          <w:left w:w="55" w:type="dxa"/>
          <w:bottom w:w="55" w:type="dxa"/>
          <w:right w:w="55" w:type="dxa"/>
        </w:tblCellMar>
      </w:tblPr>
      <w:tblGrid>
        <w:gridCol w:w="9071"/>
      </w:tblGrid>
      <w:tr>
        <w:trPr>
          <w:trHeight w:val="9076" w:hRule="atLeast"/>
        </w:trPr>
        <w:tc>
          <w:tcPr>
            <w:tcW w:w="9071" w:type="dxa"/>
            <w:tcBorders>
              <w:top w:val="single" w:sz="4" w:space="0" w:color="000000"/>
              <w:left w:val="single" w:sz="4" w:space="0" w:color="000000"/>
              <w:bottom w:val="single" w:sz="4" w:space="0" w:color="000000"/>
              <w:right w:val="single" w:sz="4" w:space="0" w:color="000000"/>
            </w:tcBorders>
          </w:tcPr>
          <w:p>
            <w:pPr>
              <w:pStyle w:val="Style71"/>
              <w:widowControl w:val="false"/>
              <w:rPr>
                <w:rFonts w:ascii="Times New Roman" w:hAnsi="Times New Roman"/>
              </w:rPr>
            </w:pPr>
            <w:r>
              <w:rPr>
                <w:rFonts w:ascii="Times New Roman" w:hAnsi="Times New Roman"/>
              </w:rPr>
              <w:t>Наименование организации выполняющей наблюдения</w:t>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t>ПОЛЕВОЙ ЖУРНАЛ №___</w:t>
            </w:r>
          </w:p>
          <w:p>
            <w:pPr>
              <w:pStyle w:val="Style71"/>
              <w:widowControl w:val="false"/>
              <w:rPr>
                <w:rFonts w:ascii="Times New Roman" w:hAnsi="Times New Roman"/>
              </w:rPr>
            </w:pPr>
            <w:r>
              <w:rPr>
                <w:rFonts w:ascii="Times New Roman" w:hAnsi="Times New Roman"/>
              </w:rPr>
              <w:t>записи гидрологических наблюдений за уровнями воды</w:t>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t>Гидроузел: _________________________________________________________</w:t>
            </w:r>
          </w:p>
          <w:p>
            <w:pPr>
              <w:pStyle w:val="Style71"/>
              <w:widowControl w:val="false"/>
              <w:rPr>
                <w:rFonts w:ascii="Times New Roman" w:hAnsi="Times New Roman"/>
              </w:rPr>
            </w:pPr>
            <w:r>
              <w:rPr>
                <w:rFonts w:ascii="Times New Roman" w:hAnsi="Times New Roman"/>
              </w:rPr>
              <w:t>Сооружение: _______________________________________________________</w:t>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t xml:space="preserve">Начат  «___» _____________ 20   г.   </w:t>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t xml:space="preserve">    </w:t>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t xml:space="preserve">Окончен  «___» _____________ 20   г.                                                                </w:t>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tc>
      </w:tr>
    </w:tbl>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t>ОТВЕТСТВЕННЫЕ ЗА ВЕДЕНИЕ ЖУРНАЛА</w:t>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tbl>
      <w:tblPr>
        <w:tblW w:w="5000" w:type="pct"/>
        <w:jc w:val="left"/>
        <w:tblInd w:w="-5" w:type="dxa"/>
        <w:tblLayout w:type="fixed"/>
        <w:tblCellMar>
          <w:top w:w="55" w:type="dxa"/>
          <w:left w:w="55" w:type="dxa"/>
          <w:bottom w:w="55" w:type="dxa"/>
          <w:right w:w="55" w:type="dxa"/>
        </w:tblCellMar>
      </w:tblPr>
      <w:tblGrid>
        <w:gridCol w:w="2665"/>
        <w:gridCol w:w="1870"/>
        <w:gridCol w:w="2845"/>
        <w:gridCol w:w="1690"/>
      </w:tblGrid>
      <w:tr>
        <w:trPr/>
        <w:tc>
          <w:tcPr>
            <w:tcW w:w="2665" w:type="dxa"/>
            <w:tcBorders>
              <w:top w:val="single" w:sz="4" w:space="0" w:color="000000"/>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ФИО</w:t>
            </w:r>
          </w:p>
        </w:tc>
        <w:tc>
          <w:tcPr>
            <w:tcW w:w="1870" w:type="dxa"/>
            <w:tcBorders>
              <w:top w:val="single" w:sz="4" w:space="0" w:color="000000"/>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Должность</w:t>
            </w:r>
          </w:p>
        </w:tc>
        <w:tc>
          <w:tcPr>
            <w:tcW w:w="2845" w:type="dxa"/>
            <w:tcBorders>
              <w:top w:val="single" w:sz="4" w:space="0" w:color="000000"/>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Дата назначения на должность</w:t>
            </w:r>
          </w:p>
        </w:tc>
        <w:tc>
          <w:tcPr>
            <w:tcW w:w="1690" w:type="dxa"/>
            <w:tcBorders>
              <w:top w:val="single" w:sz="4" w:space="0" w:color="000000"/>
              <w:left w:val="single" w:sz="4" w:space="0" w:color="000000"/>
              <w:bottom w:val="single" w:sz="4" w:space="0" w:color="000000"/>
              <w:right w:val="single" w:sz="4" w:space="0" w:color="000000"/>
            </w:tcBorders>
            <w:vAlign w:val="center"/>
          </w:tcPr>
          <w:p>
            <w:pPr>
              <w:pStyle w:val="Style71"/>
              <w:widowControl w:val="false"/>
              <w:jc w:val="center"/>
              <w:rPr>
                <w:rFonts w:ascii="Times New Roman" w:hAnsi="Times New Roman"/>
              </w:rPr>
            </w:pPr>
            <w:r>
              <w:rPr>
                <w:rFonts w:ascii="Times New Roman" w:hAnsi="Times New Roman"/>
              </w:rPr>
              <w:t>Подпись</w:t>
            </w:r>
          </w:p>
        </w:tc>
      </w:tr>
      <w:tr>
        <w:trPr>
          <w:trHeight w:val="222" w:hRule="atLeast"/>
        </w:trPr>
        <w:tc>
          <w:tcPr>
            <w:tcW w:w="2665" w:type="dxa"/>
            <w:tcBorders>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1</w:t>
            </w:r>
          </w:p>
        </w:tc>
        <w:tc>
          <w:tcPr>
            <w:tcW w:w="1870" w:type="dxa"/>
            <w:tcBorders>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2</w:t>
            </w:r>
          </w:p>
        </w:tc>
        <w:tc>
          <w:tcPr>
            <w:tcW w:w="2845" w:type="dxa"/>
            <w:tcBorders>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3</w:t>
            </w:r>
          </w:p>
        </w:tc>
        <w:tc>
          <w:tcPr>
            <w:tcW w:w="1690" w:type="dxa"/>
            <w:tcBorders>
              <w:left w:val="single" w:sz="4" w:space="0" w:color="000000"/>
              <w:bottom w:val="single" w:sz="4" w:space="0" w:color="000000"/>
              <w:right w:val="single" w:sz="4" w:space="0" w:color="000000"/>
            </w:tcBorders>
            <w:vAlign w:val="center"/>
          </w:tcPr>
          <w:p>
            <w:pPr>
              <w:pStyle w:val="Style71"/>
              <w:widowControl w:val="false"/>
              <w:jc w:val="center"/>
              <w:rPr>
                <w:rFonts w:ascii="Times New Roman" w:hAnsi="Times New Roman"/>
              </w:rPr>
            </w:pPr>
            <w:r>
              <w:rPr>
                <w:rFonts w:ascii="Times New Roman" w:hAnsi="Times New Roman"/>
              </w:rPr>
              <w:t>4</w:t>
            </w:r>
          </w:p>
        </w:tc>
      </w:tr>
      <w:tr>
        <w:trPr/>
        <w:tc>
          <w:tcPr>
            <w:tcW w:w="2665" w:type="dxa"/>
            <w:tcBorders>
              <w:left w:val="single" w:sz="4" w:space="0" w:color="000000"/>
              <w:bottom w:val="single" w:sz="4" w:space="0" w:color="000000"/>
            </w:tcBorders>
            <w:vAlign w:val="center"/>
          </w:tcPr>
          <w:p>
            <w:pPr>
              <w:pStyle w:val="Style71"/>
              <w:widowControl w:val="false"/>
              <w:rPr/>
            </w:pPr>
            <w:r>
              <w:rPr/>
            </w:r>
          </w:p>
        </w:tc>
        <w:tc>
          <w:tcPr>
            <w:tcW w:w="1870" w:type="dxa"/>
            <w:tcBorders>
              <w:left w:val="single" w:sz="4" w:space="0" w:color="000000"/>
              <w:bottom w:val="single" w:sz="4" w:space="0" w:color="000000"/>
            </w:tcBorders>
            <w:vAlign w:val="center"/>
          </w:tcPr>
          <w:p>
            <w:pPr>
              <w:pStyle w:val="Style71"/>
              <w:widowControl w:val="false"/>
              <w:rPr/>
            </w:pPr>
            <w:r>
              <w:rPr/>
            </w:r>
          </w:p>
        </w:tc>
        <w:tc>
          <w:tcPr>
            <w:tcW w:w="2845" w:type="dxa"/>
            <w:tcBorders>
              <w:left w:val="single" w:sz="4" w:space="0" w:color="000000"/>
              <w:bottom w:val="single" w:sz="4" w:space="0" w:color="000000"/>
            </w:tcBorders>
            <w:vAlign w:val="center"/>
          </w:tcPr>
          <w:p>
            <w:pPr>
              <w:pStyle w:val="Style71"/>
              <w:widowControl w:val="false"/>
              <w:rPr/>
            </w:pPr>
            <w:r>
              <w:rPr/>
            </w:r>
          </w:p>
        </w:tc>
        <w:tc>
          <w:tcPr>
            <w:tcW w:w="1690"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2665" w:type="dxa"/>
            <w:tcBorders>
              <w:left w:val="single" w:sz="4" w:space="0" w:color="000000"/>
              <w:bottom w:val="single" w:sz="4" w:space="0" w:color="000000"/>
            </w:tcBorders>
            <w:vAlign w:val="center"/>
          </w:tcPr>
          <w:p>
            <w:pPr>
              <w:pStyle w:val="Style71"/>
              <w:widowControl w:val="false"/>
              <w:rPr/>
            </w:pPr>
            <w:r>
              <w:rPr/>
            </w:r>
          </w:p>
        </w:tc>
        <w:tc>
          <w:tcPr>
            <w:tcW w:w="1870" w:type="dxa"/>
            <w:tcBorders>
              <w:left w:val="single" w:sz="4" w:space="0" w:color="000000"/>
              <w:bottom w:val="single" w:sz="4" w:space="0" w:color="000000"/>
            </w:tcBorders>
            <w:vAlign w:val="center"/>
          </w:tcPr>
          <w:p>
            <w:pPr>
              <w:pStyle w:val="Style71"/>
              <w:widowControl w:val="false"/>
              <w:rPr/>
            </w:pPr>
            <w:r>
              <w:rPr/>
            </w:r>
          </w:p>
        </w:tc>
        <w:tc>
          <w:tcPr>
            <w:tcW w:w="2845" w:type="dxa"/>
            <w:tcBorders>
              <w:left w:val="single" w:sz="4" w:space="0" w:color="000000"/>
              <w:bottom w:val="single" w:sz="4" w:space="0" w:color="000000"/>
            </w:tcBorders>
            <w:vAlign w:val="center"/>
          </w:tcPr>
          <w:p>
            <w:pPr>
              <w:pStyle w:val="Style71"/>
              <w:widowControl w:val="false"/>
              <w:rPr/>
            </w:pPr>
            <w:r>
              <w:rPr/>
            </w:r>
          </w:p>
        </w:tc>
        <w:tc>
          <w:tcPr>
            <w:tcW w:w="1690"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2665" w:type="dxa"/>
            <w:tcBorders>
              <w:left w:val="single" w:sz="4" w:space="0" w:color="000000"/>
              <w:bottom w:val="single" w:sz="4" w:space="0" w:color="000000"/>
            </w:tcBorders>
            <w:vAlign w:val="center"/>
          </w:tcPr>
          <w:p>
            <w:pPr>
              <w:pStyle w:val="Style71"/>
              <w:widowControl w:val="false"/>
              <w:rPr/>
            </w:pPr>
            <w:r>
              <w:rPr/>
            </w:r>
          </w:p>
        </w:tc>
        <w:tc>
          <w:tcPr>
            <w:tcW w:w="1870" w:type="dxa"/>
            <w:tcBorders>
              <w:left w:val="single" w:sz="4" w:space="0" w:color="000000"/>
              <w:bottom w:val="single" w:sz="4" w:space="0" w:color="000000"/>
            </w:tcBorders>
            <w:vAlign w:val="center"/>
          </w:tcPr>
          <w:p>
            <w:pPr>
              <w:pStyle w:val="Style71"/>
              <w:widowControl w:val="false"/>
              <w:rPr/>
            </w:pPr>
            <w:r>
              <w:rPr/>
            </w:r>
          </w:p>
        </w:tc>
        <w:tc>
          <w:tcPr>
            <w:tcW w:w="2845" w:type="dxa"/>
            <w:tcBorders>
              <w:left w:val="single" w:sz="4" w:space="0" w:color="000000"/>
              <w:bottom w:val="single" w:sz="4" w:space="0" w:color="000000"/>
            </w:tcBorders>
            <w:vAlign w:val="center"/>
          </w:tcPr>
          <w:p>
            <w:pPr>
              <w:pStyle w:val="Style71"/>
              <w:widowControl w:val="false"/>
              <w:rPr/>
            </w:pPr>
            <w:r>
              <w:rPr/>
            </w:r>
          </w:p>
        </w:tc>
        <w:tc>
          <w:tcPr>
            <w:tcW w:w="1690"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2665" w:type="dxa"/>
            <w:tcBorders>
              <w:left w:val="single" w:sz="4" w:space="0" w:color="000000"/>
              <w:bottom w:val="single" w:sz="4" w:space="0" w:color="000000"/>
            </w:tcBorders>
            <w:vAlign w:val="center"/>
          </w:tcPr>
          <w:p>
            <w:pPr>
              <w:pStyle w:val="Style71"/>
              <w:widowControl w:val="false"/>
              <w:rPr/>
            </w:pPr>
            <w:r>
              <w:rPr/>
            </w:r>
          </w:p>
        </w:tc>
        <w:tc>
          <w:tcPr>
            <w:tcW w:w="1870" w:type="dxa"/>
            <w:tcBorders>
              <w:left w:val="single" w:sz="4" w:space="0" w:color="000000"/>
              <w:bottom w:val="single" w:sz="4" w:space="0" w:color="000000"/>
            </w:tcBorders>
            <w:vAlign w:val="center"/>
          </w:tcPr>
          <w:p>
            <w:pPr>
              <w:pStyle w:val="Style71"/>
              <w:widowControl w:val="false"/>
              <w:rPr/>
            </w:pPr>
            <w:r>
              <w:rPr/>
            </w:r>
          </w:p>
        </w:tc>
        <w:tc>
          <w:tcPr>
            <w:tcW w:w="2845" w:type="dxa"/>
            <w:tcBorders>
              <w:left w:val="single" w:sz="4" w:space="0" w:color="000000"/>
              <w:bottom w:val="single" w:sz="4" w:space="0" w:color="000000"/>
            </w:tcBorders>
            <w:vAlign w:val="center"/>
          </w:tcPr>
          <w:p>
            <w:pPr>
              <w:pStyle w:val="Style71"/>
              <w:widowControl w:val="false"/>
              <w:rPr/>
            </w:pPr>
            <w:r>
              <w:rPr/>
            </w:r>
          </w:p>
        </w:tc>
        <w:tc>
          <w:tcPr>
            <w:tcW w:w="1690"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2665" w:type="dxa"/>
            <w:tcBorders>
              <w:left w:val="single" w:sz="4" w:space="0" w:color="000000"/>
              <w:bottom w:val="single" w:sz="4" w:space="0" w:color="000000"/>
            </w:tcBorders>
            <w:vAlign w:val="center"/>
          </w:tcPr>
          <w:p>
            <w:pPr>
              <w:pStyle w:val="Style71"/>
              <w:widowControl w:val="false"/>
              <w:rPr/>
            </w:pPr>
            <w:r>
              <w:rPr/>
            </w:r>
          </w:p>
        </w:tc>
        <w:tc>
          <w:tcPr>
            <w:tcW w:w="1870" w:type="dxa"/>
            <w:tcBorders>
              <w:left w:val="single" w:sz="4" w:space="0" w:color="000000"/>
              <w:bottom w:val="single" w:sz="4" w:space="0" w:color="000000"/>
            </w:tcBorders>
            <w:vAlign w:val="center"/>
          </w:tcPr>
          <w:p>
            <w:pPr>
              <w:pStyle w:val="Style71"/>
              <w:widowControl w:val="false"/>
              <w:rPr/>
            </w:pPr>
            <w:r>
              <w:rPr/>
            </w:r>
          </w:p>
        </w:tc>
        <w:tc>
          <w:tcPr>
            <w:tcW w:w="2845" w:type="dxa"/>
            <w:tcBorders>
              <w:left w:val="single" w:sz="4" w:space="0" w:color="000000"/>
              <w:bottom w:val="single" w:sz="4" w:space="0" w:color="000000"/>
            </w:tcBorders>
            <w:vAlign w:val="center"/>
          </w:tcPr>
          <w:p>
            <w:pPr>
              <w:pStyle w:val="Style71"/>
              <w:widowControl w:val="false"/>
              <w:rPr/>
            </w:pPr>
            <w:r>
              <w:rPr/>
            </w:r>
          </w:p>
        </w:tc>
        <w:tc>
          <w:tcPr>
            <w:tcW w:w="1690"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bl>
    <w:p>
      <w:pPr>
        <w:pStyle w:val="Normal"/>
        <w:spacing w:lineRule="auto" w:line="240" w:before="0" w:after="0"/>
        <w:ind w:left="0" w:right="0" w:hanging="0"/>
        <w:jc w:val="left"/>
        <w:rPr>
          <w:rFonts w:ascii="Times New Roman" w:hAnsi="Times New Roman" w:cs="Times New Roman"/>
          <w:szCs w:val="32"/>
        </w:rPr>
      </w:pPr>
      <w:r>
        <w:br w:type="page"/>
      </w:r>
      <w:r>
        <w:rPr>
          <w:rFonts w:cs="Times New Roman" w:ascii="Times New Roman" w:hAnsi="Times New Roman"/>
          <w:szCs w:val="32"/>
        </w:rPr>
        <w:t>Дата: «___»________20___г.  Время: _______</w:t>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tbl>
      <w:tblPr>
        <w:tblW w:w="5000" w:type="pct"/>
        <w:jc w:val="left"/>
        <w:tblInd w:w="-5" w:type="dxa"/>
        <w:tblLayout w:type="fixed"/>
        <w:tblCellMar>
          <w:top w:w="55" w:type="dxa"/>
          <w:left w:w="55" w:type="dxa"/>
          <w:bottom w:w="55" w:type="dxa"/>
          <w:right w:w="55" w:type="dxa"/>
        </w:tblCellMar>
      </w:tblPr>
      <w:tblGrid>
        <w:gridCol w:w="1922"/>
        <w:gridCol w:w="2334"/>
        <w:gridCol w:w="2090"/>
        <w:gridCol w:w="1306"/>
        <w:gridCol w:w="1419"/>
      </w:tblGrid>
      <w:tr>
        <w:trPr/>
        <w:tc>
          <w:tcPr>
            <w:tcW w:w="1922" w:type="dxa"/>
            <w:tcBorders>
              <w:top w:val="single" w:sz="4" w:space="0" w:color="000000"/>
              <w:left w:val="single" w:sz="4" w:space="0" w:color="000000"/>
              <w:bottom w:val="single" w:sz="4" w:space="0" w:color="000000"/>
            </w:tcBorders>
            <w:vAlign w:val="center"/>
          </w:tcPr>
          <w:p>
            <w:pPr>
              <w:pStyle w:val="Style71"/>
              <w:widowControl w:val="false"/>
              <w:rPr/>
            </w:pPr>
            <w:r>
              <w:rPr/>
              <w:t>Наименование соорудения</w:t>
            </w:r>
          </w:p>
        </w:tc>
        <w:tc>
          <w:tcPr>
            <w:tcW w:w="2334" w:type="dxa"/>
            <w:tcBorders>
              <w:top w:val="single" w:sz="4" w:space="0" w:color="000000"/>
              <w:left w:val="single" w:sz="4" w:space="0" w:color="000000"/>
              <w:bottom w:val="single" w:sz="4" w:space="0" w:color="000000"/>
            </w:tcBorders>
            <w:vAlign w:val="center"/>
          </w:tcPr>
          <w:p>
            <w:pPr>
              <w:pStyle w:val="Style71"/>
              <w:widowControl w:val="false"/>
              <w:rPr/>
            </w:pPr>
            <w:r>
              <w:rPr/>
              <w:t>Номер водомерной рейки</w:t>
            </w:r>
          </w:p>
        </w:tc>
        <w:tc>
          <w:tcPr>
            <w:tcW w:w="2090" w:type="dxa"/>
            <w:tcBorders>
              <w:top w:val="single" w:sz="4" w:space="0" w:color="000000"/>
              <w:left w:val="single" w:sz="4" w:space="0" w:color="000000"/>
              <w:bottom w:val="single" w:sz="4" w:space="0" w:color="000000"/>
            </w:tcBorders>
            <w:vAlign w:val="center"/>
          </w:tcPr>
          <w:p>
            <w:pPr>
              <w:pStyle w:val="Style71"/>
              <w:widowControl w:val="false"/>
              <w:rPr/>
            </w:pPr>
            <w:r>
              <w:rPr/>
              <w:t>Уровень вода над нулем поста, см</w:t>
            </w:r>
          </w:p>
        </w:tc>
        <w:tc>
          <w:tcPr>
            <w:tcW w:w="1306" w:type="dxa"/>
            <w:tcBorders>
              <w:top w:val="single" w:sz="4" w:space="0" w:color="000000"/>
              <w:left w:val="single" w:sz="4" w:space="0" w:color="000000"/>
              <w:bottom w:val="single" w:sz="4" w:space="0" w:color="000000"/>
            </w:tcBorders>
            <w:vAlign w:val="center"/>
          </w:tcPr>
          <w:p>
            <w:pPr>
              <w:pStyle w:val="Style71"/>
              <w:widowControl w:val="false"/>
              <w:rPr/>
            </w:pPr>
            <w:r>
              <w:rPr/>
              <w:t>Уровень ВБ, м</w:t>
            </w:r>
          </w:p>
        </w:tc>
        <w:tc>
          <w:tcPr>
            <w:tcW w:w="1419" w:type="dxa"/>
            <w:tcBorders>
              <w:top w:val="single" w:sz="4" w:space="0" w:color="000000"/>
              <w:left w:val="single" w:sz="4" w:space="0" w:color="000000"/>
              <w:bottom w:val="single" w:sz="4" w:space="0" w:color="000000"/>
              <w:right w:val="single" w:sz="4" w:space="0" w:color="000000"/>
            </w:tcBorders>
            <w:vAlign w:val="center"/>
          </w:tcPr>
          <w:p>
            <w:pPr>
              <w:pStyle w:val="Style71"/>
              <w:widowControl w:val="false"/>
              <w:rPr/>
            </w:pPr>
            <w:r>
              <w:rPr/>
              <w:t>Уровень НБ, м</w:t>
            </w:r>
          </w:p>
        </w:tc>
      </w:tr>
      <w:tr>
        <w:trPr/>
        <w:tc>
          <w:tcPr>
            <w:tcW w:w="1922" w:type="dxa"/>
            <w:tcBorders>
              <w:left w:val="single" w:sz="4" w:space="0" w:color="000000"/>
              <w:bottom w:val="single" w:sz="4" w:space="0" w:color="000000"/>
            </w:tcBorders>
            <w:vAlign w:val="center"/>
          </w:tcPr>
          <w:p>
            <w:pPr>
              <w:pStyle w:val="Style71"/>
              <w:widowControl w:val="false"/>
              <w:rPr/>
            </w:pPr>
            <w:r>
              <w:rPr/>
            </w:r>
          </w:p>
        </w:tc>
        <w:tc>
          <w:tcPr>
            <w:tcW w:w="2334" w:type="dxa"/>
            <w:tcBorders>
              <w:left w:val="single" w:sz="4" w:space="0" w:color="000000"/>
              <w:bottom w:val="single" w:sz="4" w:space="0" w:color="000000"/>
            </w:tcBorders>
            <w:vAlign w:val="center"/>
          </w:tcPr>
          <w:p>
            <w:pPr>
              <w:pStyle w:val="Style71"/>
              <w:widowControl w:val="false"/>
              <w:rPr/>
            </w:pPr>
            <w:r>
              <w:rPr/>
            </w:r>
          </w:p>
        </w:tc>
        <w:tc>
          <w:tcPr>
            <w:tcW w:w="2090" w:type="dxa"/>
            <w:tcBorders>
              <w:left w:val="single" w:sz="4" w:space="0" w:color="000000"/>
              <w:bottom w:val="single" w:sz="4" w:space="0" w:color="000000"/>
            </w:tcBorders>
            <w:vAlign w:val="center"/>
          </w:tcPr>
          <w:p>
            <w:pPr>
              <w:pStyle w:val="Style71"/>
              <w:widowControl w:val="false"/>
              <w:rPr/>
            </w:pPr>
            <w:r>
              <w:rPr/>
            </w:r>
          </w:p>
        </w:tc>
        <w:tc>
          <w:tcPr>
            <w:tcW w:w="1306" w:type="dxa"/>
            <w:tcBorders>
              <w:left w:val="single" w:sz="4" w:space="0" w:color="000000"/>
              <w:bottom w:val="single" w:sz="4" w:space="0" w:color="000000"/>
            </w:tcBorders>
            <w:vAlign w:val="center"/>
          </w:tcPr>
          <w:p>
            <w:pPr>
              <w:pStyle w:val="Style71"/>
              <w:widowControl w:val="false"/>
              <w:rPr/>
            </w:pPr>
            <w:r>
              <w:rPr/>
            </w:r>
          </w:p>
        </w:tc>
        <w:tc>
          <w:tcPr>
            <w:tcW w:w="1419"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2334" w:type="dxa"/>
            <w:tcBorders>
              <w:left w:val="single" w:sz="4" w:space="0" w:color="000000"/>
              <w:bottom w:val="single" w:sz="4" w:space="0" w:color="000000"/>
            </w:tcBorders>
          </w:tcPr>
          <w:p>
            <w:pPr>
              <w:pStyle w:val="Style71"/>
              <w:widowControl w:val="false"/>
              <w:rPr/>
            </w:pPr>
            <w:r>
              <w:rPr/>
            </w:r>
          </w:p>
        </w:tc>
        <w:tc>
          <w:tcPr>
            <w:tcW w:w="2090" w:type="dxa"/>
            <w:tcBorders>
              <w:left w:val="single" w:sz="4" w:space="0" w:color="000000"/>
              <w:bottom w:val="single" w:sz="4" w:space="0" w:color="000000"/>
            </w:tcBorders>
          </w:tcPr>
          <w:p>
            <w:pPr>
              <w:pStyle w:val="Style71"/>
              <w:widowControl w:val="false"/>
              <w:rPr/>
            </w:pPr>
            <w:r>
              <w:rPr/>
            </w:r>
          </w:p>
        </w:tc>
        <w:tc>
          <w:tcPr>
            <w:tcW w:w="1306" w:type="dxa"/>
            <w:tcBorders>
              <w:left w:val="single" w:sz="4" w:space="0" w:color="000000"/>
              <w:bottom w:val="single" w:sz="4" w:space="0" w:color="000000"/>
            </w:tcBorders>
          </w:tcPr>
          <w:p>
            <w:pPr>
              <w:pStyle w:val="Style71"/>
              <w:widowControl w:val="false"/>
              <w:rPr/>
            </w:pPr>
            <w:r>
              <w:rPr/>
            </w:r>
          </w:p>
        </w:tc>
        <w:tc>
          <w:tcPr>
            <w:tcW w:w="1419"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2334" w:type="dxa"/>
            <w:tcBorders>
              <w:left w:val="single" w:sz="4" w:space="0" w:color="000000"/>
              <w:bottom w:val="single" w:sz="4" w:space="0" w:color="000000"/>
            </w:tcBorders>
          </w:tcPr>
          <w:p>
            <w:pPr>
              <w:pStyle w:val="Style71"/>
              <w:widowControl w:val="false"/>
              <w:rPr/>
            </w:pPr>
            <w:r>
              <w:rPr/>
            </w:r>
          </w:p>
        </w:tc>
        <w:tc>
          <w:tcPr>
            <w:tcW w:w="2090" w:type="dxa"/>
            <w:tcBorders>
              <w:left w:val="single" w:sz="4" w:space="0" w:color="000000"/>
              <w:bottom w:val="single" w:sz="4" w:space="0" w:color="000000"/>
            </w:tcBorders>
          </w:tcPr>
          <w:p>
            <w:pPr>
              <w:pStyle w:val="Style71"/>
              <w:widowControl w:val="false"/>
              <w:rPr/>
            </w:pPr>
            <w:r>
              <w:rPr/>
            </w:r>
          </w:p>
        </w:tc>
        <w:tc>
          <w:tcPr>
            <w:tcW w:w="1306" w:type="dxa"/>
            <w:tcBorders>
              <w:left w:val="single" w:sz="4" w:space="0" w:color="000000"/>
              <w:bottom w:val="single" w:sz="4" w:space="0" w:color="000000"/>
            </w:tcBorders>
          </w:tcPr>
          <w:p>
            <w:pPr>
              <w:pStyle w:val="Style71"/>
              <w:widowControl w:val="false"/>
              <w:rPr/>
            </w:pPr>
            <w:r>
              <w:rPr/>
            </w:r>
          </w:p>
        </w:tc>
        <w:tc>
          <w:tcPr>
            <w:tcW w:w="1419"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2334" w:type="dxa"/>
            <w:tcBorders>
              <w:left w:val="single" w:sz="4" w:space="0" w:color="000000"/>
              <w:bottom w:val="single" w:sz="4" w:space="0" w:color="000000"/>
            </w:tcBorders>
          </w:tcPr>
          <w:p>
            <w:pPr>
              <w:pStyle w:val="Style71"/>
              <w:widowControl w:val="false"/>
              <w:rPr/>
            </w:pPr>
            <w:r>
              <w:rPr/>
            </w:r>
          </w:p>
        </w:tc>
        <w:tc>
          <w:tcPr>
            <w:tcW w:w="2090" w:type="dxa"/>
            <w:tcBorders>
              <w:left w:val="single" w:sz="4" w:space="0" w:color="000000"/>
              <w:bottom w:val="single" w:sz="4" w:space="0" w:color="000000"/>
            </w:tcBorders>
          </w:tcPr>
          <w:p>
            <w:pPr>
              <w:pStyle w:val="Style71"/>
              <w:widowControl w:val="false"/>
              <w:rPr/>
            </w:pPr>
            <w:r>
              <w:rPr/>
            </w:r>
          </w:p>
        </w:tc>
        <w:tc>
          <w:tcPr>
            <w:tcW w:w="1306" w:type="dxa"/>
            <w:tcBorders>
              <w:left w:val="single" w:sz="4" w:space="0" w:color="000000"/>
              <w:bottom w:val="single" w:sz="4" w:space="0" w:color="000000"/>
            </w:tcBorders>
          </w:tcPr>
          <w:p>
            <w:pPr>
              <w:pStyle w:val="Style71"/>
              <w:widowControl w:val="false"/>
              <w:rPr/>
            </w:pPr>
            <w:r>
              <w:rPr/>
            </w:r>
          </w:p>
        </w:tc>
        <w:tc>
          <w:tcPr>
            <w:tcW w:w="1419"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2334" w:type="dxa"/>
            <w:tcBorders>
              <w:left w:val="single" w:sz="4" w:space="0" w:color="000000"/>
              <w:bottom w:val="single" w:sz="4" w:space="0" w:color="000000"/>
            </w:tcBorders>
          </w:tcPr>
          <w:p>
            <w:pPr>
              <w:pStyle w:val="Style71"/>
              <w:widowControl w:val="false"/>
              <w:rPr/>
            </w:pPr>
            <w:r>
              <w:rPr/>
            </w:r>
          </w:p>
        </w:tc>
        <w:tc>
          <w:tcPr>
            <w:tcW w:w="2090" w:type="dxa"/>
            <w:tcBorders>
              <w:left w:val="single" w:sz="4" w:space="0" w:color="000000"/>
              <w:bottom w:val="single" w:sz="4" w:space="0" w:color="000000"/>
            </w:tcBorders>
          </w:tcPr>
          <w:p>
            <w:pPr>
              <w:pStyle w:val="Style71"/>
              <w:widowControl w:val="false"/>
              <w:rPr/>
            </w:pPr>
            <w:r>
              <w:rPr/>
            </w:r>
          </w:p>
        </w:tc>
        <w:tc>
          <w:tcPr>
            <w:tcW w:w="1306" w:type="dxa"/>
            <w:tcBorders>
              <w:left w:val="single" w:sz="4" w:space="0" w:color="000000"/>
              <w:bottom w:val="single" w:sz="4" w:space="0" w:color="000000"/>
            </w:tcBorders>
          </w:tcPr>
          <w:p>
            <w:pPr>
              <w:pStyle w:val="Style71"/>
              <w:widowControl w:val="false"/>
              <w:rPr/>
            </w:pPr>
            <w:r>
              <w:rPr/>
            </w:r>
          </w:p>
        </w:tc>
        <w:tc>
          <w:tcPr>
            <w:tcW w:w="1419"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2334" w:type="dxa"/>
            <w:tcBorders>
              <w:left w:val="single" w:sz="4" w:space="0" w:color="000000"/>
              <w:bottom w:val="single" w:sz="4" w:space="0" w:color="000000"/>
            </w:tcBorders>
          </w:tcPr>
          <w:p>
            <w:pPr>
              <w:pStyle w:val="Style71"/>
              <w:widowControl w:val="false"/>
              <w:rPr/>
            </w:pPr>
            <w:r>
              <w:rPr/>
            </w:r>
          </w:p>
        </w:tc>
        <w:tc>
          <w:tcPr>
            <w:tcW w:w="2090" w:type="dxa"/>
            <w:tcBorders>
              <w:left w:val="single" w:sz="4" w:space="0" w:color="000000"/>
              <w:bottom w:val="single" w:sz="4" w:space="0" w:color="000000"/>
            </w:tcBorders>
          </w:tcPr>
          <w:p>
            <w:pPr>
              <w:pStyle w:val="Style71"/>
              <w:widowControl w:val="false"/>
              <w:rPr/>
            </w:pPr>
            <w:r>
              <w:rPr/>
            </w:r>
          </w:p>
        </w:tc>
        <w:tc>
          <w:tcPr>
            <w:tcW w:w="1306" w:type="dxa"/>
            <w:tcBorders>
              <w:left w:val="single" w:sz="4" w:space="0" w:color="000000"/>
              <w:bottom w:val="single" w:sz="4" w:space="0" w:color="000000"/>
            </w:tcBorders>
          </w:tcPr>
          <w:p>
            <w:pPr>
              <w:pStyle w:val="Style71"/>
              <w:widowControl w:val="false"/>
              <w:rPr/>
            </w:pPr>
            <w:r>
              <w:rPr/>
            </w:r>
          </w:p>
        </w:tc>
        <w:tc>
          <w:tcPr>
            <w:tcW w:w="1419"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2334" w:type="dxa"/>
            <w:tcBorders>
              <w:left w:val="single" w:sz="4" w:space="0" w:color="000000"/>
              <w:bottom w:val="single" w:sz="4" w:space="0" w:color="000000"/>
            </w:tcBorders>
          </w:tcPr>
          <w:p>
            <w:pPr>
              <w:pStyle w:val="Style71"/>
              <w:widowControl w:val="false"/>
              <w:rPr/>
            </w:pPr>
            <w:r>
              <w:rPr/>
            </w:r>
          </w:p>
        </w:tc>
        <w:tc>
          <w:tcPr>
            <w:tcW w:w="2090" w:type="dxa"/>
            <w:tcBorders>
              <w:left w:val="single" w:sz="4" w:space="0" w:color="000000"/>
              <w:bottom w:val="single" w:sz="4" w:space="0" w:color="000000"/>
            </w:tcBorders>
          </w:tcPr>
          <w:p>
            <w:pPr>
              <w:pStyle w:val="Style71"/>
              <w:widowControl w:val="false"/>
              <w:rPr/>
            </w:pPr>
            <w:r>
              <w:rPr/>
            </w:r>
          </w:p>
        </w:tc>
        <w:tc>
          <w:tcPr>
            <w:tcW w:w="1306" w:type="dxa"/>
            <w:tcBorders>
              <w:left w:val="single" w:sz="4" w:space="0" w:color="000000"/>
              <w:bottom w:val="single" w:sz="4" w:space="0" w:color="000000"/>
            </w:tcBorders>
          </w:tcPr>
          <w:p>
            <w:pPr>
              <w:pStyle w:val="Style71"/>
              <w:widowControl w:val="false"/>
              <w:rPr/>
            </w:pPr>
            <w:r>
              <w:rPr/>
            </w:r>
          </w:p>
        </w:tc>
        <w:tc>
          <w:tcPr>
            <w:tcW w:w="1419"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2334" w:type="dxa"/>
            <w:tcBorders>
              <w:left w:val="single" w:sz="4" w:space="0" w:color="000000"/>
              <w:bottom w:val="single" w:sz="4" w:space="0" w:color="000000"/>
            </w:tcBorders>
          </w:tcPr>
          <w:p>
            <w:pPr>
              <w:pStyle w:val="Style71"/>
              <w:widowControl w:val="false"/>
              <w:rPr/>
            </w:pPr>
            <w:r>
              <w:rPr/>
            </w:r>
          </w:p>
        </w:tc>
        <w:tc>
          <w:tcPr>
            <w:tcW w:w="2090" w:type="dxa"/>
            <w:tcBorders>
              <w:left w:val="single" w:sz="4" w:space="0" w:color="000000"/>
              <w:bottom w:val="single" w:sz="4" w:space="0" w:color="000000"/>
            </w:tcBorders>
          </w:tcPr>
          <w:p>
            <w:pPr>
              <w:pStyle w:val="Style71"/>
              <w:widowControl w:val="false"/>
              <w:rPr/>
            </w:pPr>
            <w:r>
              <w:rPr/>
            </w:r>
          </w:p>
        </w:tc>
        <w:tc>
          <w:tcPr>
            <w:tcW w:w="1306" w:type="dxa"/>
            <w:tcBorders>
              <w:left w:val="single" w:sz="4" w:space="0" w:color="000000"/>
              <w:bottom w:val="single" w:sz="4" w:space="0" w:color="000000"/>
            </w:tcBorders>
          </w:tcPr>
          <w:p>
            <w:pPr>
              <w:pStyle w:val="Style71"/>
              <w:widowControl w:val="false"/>
              <w:rPr/>
            </w:pPr>
            <w:r>
              <w:rPr/>
            </w:r>
          </w:p>
        </w:tc>
        <w:tc>
          <w:tcPr>
            <w:tcW w:w="1419"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2334" w:type="dxa"/>
            <w:tcBorders>
              <w:left w:val="single" w:sz="4" w:space="0" w:color="000000"/>
              <w:bottom w:val="single" w:sz="4" w:space="0" w:color="000000"/>
            </w:tcBorders>
          </w:tcPr>
          <w:p>
            <w:pPr>
              <w:pStyle w:val="Style71"/>
              <w:widowControl w:val="false"/>
              <w:rPr/>
            </w:pPr>
            <w:r>
              <w:rPr/>
            </w:r>
          </w:p>
        </w:tc>
        <w:tc>
          <w:tcPr>
            <w:tcW w:w="2090" w:type="dxa"/>
            <w:tcBorders>
              <w:left w:val="single" w:sz="4" w:space="0" w:color="000000"/>
              <w:bottom w:val="single" w:sz="4" w:space="0" w:color="000000"/>
            </w:tcBorders>
          </w:tcPr>
          <w:p>
            <w:pPr>
              <w:pStyle w:val="Style71"/>
              <w:widowControl w:val="false"/>
              <w:rPr/>
            </w:pPr>
            <w:r>
              <w:rPr/>
            </w:r>
          </w:p>
        </w:tc>
        <w:tc>
          <w:tcPr>
            <w:tcW w:w="1306" w:type="dxa"/>
            <w:tcBorders>
              <w:left w:val="single" w:sz="4" w:space="0" w:color="000000"/>
              <w:bottom w:val="single" w:sz="4" w:space="0" w:color="000000"/>
            </w:tcBorders>
          </w:tcPr>
          <w:p>
            <w:pPr>
              <w:pStyle w:val="Style71"/>
              <w:widowControl w:val="false"/>
              <w:rPr/>
            </w:pPr>
            <w:r>
              <w:rPr/>
            </w:r>
          </w:p>
        </w:tc>
        <w:tc>
          <w:tcPr>
            <w:tcW w:w="1419"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2334" w:type="dxa"/>
            <w:tcBorders>
              <w:left w:val="single" w:sz="4" w:space="0" w:color="000000"/>
              <w:bottom w:val="single" w:sz="4" w:space="0" w:color="000000"/>
            </w:tcBorders>
          </w:tcPr>
          <w:p>
            <w:pPr>
              <w:pStyle w:val="Style71"/>
              <w:widowControl w:val="false"/>
              <w:rPr/>
            </w:pPr>
            <w:r>
              <w:rPr/>
            </w:r>
          </w:p>
        </w:tc>
        <w:tc>
          <w:tcPr>
            <w:tcW w:w="2090" w:type="dxa"/>
            <w:tcBorders>
              <w:left w:val="single" w:sz="4" w:space="0" w:color="000000"/>
              <w:bottom w:val="single" w:sz="4" w:space="0" w:color="000000"/>
            </w:tcBorders>
          </w:tcPr>
          <w:p>
            <w:pPr>
              <w:pStyle w:val="Style71"/>
              <w:widowControl w:val="false"/>
              <w:rPr/>
            </w:pPr>
            <w:r>
              <w:rPr/>
            </w:r>
          </w:p>
        </w:tc>
        <w:tc>
          <w:tcPr>
            <w:tcW w:w="1306" w:type="dxa"/>
            <w:tcBorders>
              <w:left w:val="single" w:sz="4" w:space="0" w:color="000000"/>
              <w:bottom w:val="single" w:sz="4" w:space="0" w:color="000000"/>
            </w:tcBorders>
          </w:tcPr>
          <w:p>
            <w:pPr>
              <w:pStyle w:val="Style71"/>
              <w:widowControl w:val="false"/>
              <w:rPr/>
            </w:pPr>
            <w:r>
              <w:rPr/>
            </w:r>
          </w:p>
        </w:tc>
        <w:tc>
          <w:tcPr>
            <w:tcW w:w="1419"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2334" w:type="dxa"/>
            <w:tcBorders>
              <w:left w:val="single" w:sz="4" w:space="0" w:color="000000"/>
              <w:bottom w:val="single" w:sz="4" w:space="0" w:color="000000"/>
            </w:tcBorders>
          </w:tcPr>
          <w:p>
            <w:pPr>
              <w:pStyle w:val="Style71"/>
              <w:widowControl w:val="false"/>
              <w:rPr/>
            </w:pPr>
            <w:r>
              <w:rPr/>
            </w:r>
          </w:p>
        </w:tc>
        <w:tc>
          <w:tcPr>
            <w:tcW w:w="2090" w:type="dxa"/>
            <w:tcBorders>
              <w:left w:val="single" w:sz="4" w:space="0" w:color="000000"/>
              <w:bottom w:val="single" w:sz="4" w:space="0" w:color="000000"/>
            </w:tcBorders>
          </w:tcPr>
          <w:p>
            <w:pPr>
              <w:pStyle w:val="Style71"/>
              <w:widowControl w:val="false"/>
              <w:rPr/>
            </w:pPr>
            <w:r>
              <w:rPr/>
            </w:r>
          </w:p>
        </w:tc>
        <w:tc>
          <w:tcPr>
            <w:tcW w:w="1306" w:type="dxa"/>
            <w:tcBorders>
              <w:left w:val="single" w:sz="4" w:space="0" w:color="000000"/>
              <w:bottom w:val="single" w:sz="4" w:space="0" w:color="000000"/>
            </w:tcBorders>
          </w:tcPr>
          <w:p>
            <w:pPr>
              <w:pStyle w:val="Style71"/>
              <w:widowControl w:val="false"/>
              <w:rPr/>
            </w:pPr>
            <w:r>
              <w:rPr/>
            </w:r>
          </w:p>
        </w:tc>
        <w:tc>
          <w:tcPr>
            <w:tcW w:w="1419"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2334" w:type="dxa"/>
            <w:tcBorders>
              <w:left w:val="single" w:sz="4" w:space="0" w:color="000000"/>
              <w:bottom w:val="single" w:sz="4" w:space="0" w:color="000000"/>
            </w:tcBorders>
          </w:tcPr>
          <w:p>
            <w:pPr>
              <w:pStyle w:val="Style71"/>
              <w:widowControl w:val="false"/>
              <w:rPr/>
            </w:pPr>
            <w:r>
              <w:rPr/>
            </w:r>
          </w:p>
        </w:tc>
        <w:tc>
          <w:tcPr>
            <w:tcW w:w="2090" w:type="dxa"/>
            <w:tcBorders>
              <w:left w:val="single" w:sz="4" w:space="0" w:color="000000"/>
              <w:bottom w:val="single" w:sz="4" w:space="0" w:color="000000"/>
            </w:tcBorders>
          </w:tcPr>
          <w:p>
            <w:pPr>
              <w:pStyle w:val="Style71"/>
              <w:widowControl w:val="false"/>
              <w:rPr/>
            </w:pPr>
            <w:r>
              <w:rPr/>
            </w:r>
          </w:p>
        </w:tc>
        <w:tc>
          <w:tcPr>
            <w:tcW w:w="1306" w:type="dxa"/>
            <w:tcBorders>
              <w:left w:val="single" w:sz="4" w:space="0" w:color="000000"/>
              <w:bottom w:val="single" w:sz="4" w:space="0" w:color="000000"/>
            </w:tcBorders>
          </w:tcPr>
          <w:p>
            <w:pPr>
              <w:pStyle w:val="Style71"/>
              <w:widowControl w:val="false"/>
              <w:rPr/>
            </w:pPr>
            <w:r>
              <w:rPr/>
            </w:r>
          </w:p>
        </w:tc>
        <w:tc>
          <w:tcPr>
            <w:tcW w:w="1419"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2334" w:type="dxa"/>
            <w:tcBorders>
              <w:left w:val="single" w:sz="4" w:space="0" w:color="000000"/>
              <w:bottom w:val="single" w:sz="4" w:space="0" w:color="000000"/>
            </w:tcBorders>
          </w:tcPr>
          <w:p>
            <w:pPr>
              <w:pStyle w:val="Style71"/>
              <w:widowControl w:val="false"/>
              <w:rPr/>
            </w:pPr>
            <w:r>
              <w:rPr/>
            </w:r>
          </w:p>
        </w:tc>
        <w:tc>
          <w:tcPr>
            <w:tcW w:w="2090" w:type="dxa"/>
            <w:tcBorders>
              <w:left w:val="single" w:sz="4" w:space="0" w:color="000000"/>
              <w:bottom w:val="single" w:sz="4" w:space="0" w:color="000000"/>
            </w:tcBorders>
          </w:tcPr>
          <w:p>
            <w:pPr>
              <w:pStyle w:val="Style71"/>
              <w:widowControl w:val="false"/>
              <w:rPr/>
            </w:pPr>
            <w:r>
              <w:rPr/>
            </w:r>
          </w:p>
        </w:tc>
        <w:tc>
          <w:tcPr>
            <w:tcW w:w="1306" w:type="dxa"/>
            <w:tcBorders>
              <w:left w:val="single" w:sz="4" w:space="0" w:color="000000"/>
              <w:bottom w:val="single" w:sz="4" w:space="0" w:color="000000"/>
            </w:tcBorders>
          </w:tcPr>
          <w:p>
            <w:pPr>
              <w:pStyle w:val="Style71"/>
              <w:widowControl w:val="false"/>
              <w:rPr/>
            </w:pPr>
            <w:r>
              <w:rPr/>
            </w:r>
          </w:p>
        </w:tc>
        <w:tc>
          <w:tcPr>
            <w:tcW w:w="1419"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2334" w:type="dxa"/>
            <w:tcBorders>
              <w:left w:val="single" w:sz="4" w:space="0" w:color="000000"/>
              <w:bottom w:val="single" w:sz="4" w:space="0" w:color="000000"/>
            </w:tcBorders>
          </w:tcPr>
          <w:p>
            <w:pPr>
              <w:pStyle w:val="Style71"/>
              <w:widowControl w:val="false"/>
              <w:rPr/>
            </w:pPr>
            <w:r>
              <w:rPr/>
            </w:r>
          </w:p>
        </w:tc>
        <w:tc>
          <w:tcPr>
            <w:tcW w:w="2090" w:type="dxa"/>
            <w:tcBorders>
              <w:left w:val="single" w:sz="4" w:space="0" w:color="000000"/>
              <w:bottom w:val="single" w:sz="4" w:space="0" w:color="000000"/>
            </w:tcBorders>
          </w:tcPr>
          <w:p>
            <w:pPr>
              <w:pStyle w:val="Style71"/>
              <w:widowControl w:val="false"/>
              <w:rPr/>
            </w:pPr>
            <w:r>
              <w:rPr/>
            </w:r>
          </w:p>
        </w:tc>
        <w:tc>
          <w:tcPr>
            <w:tcW w:w="1306" w:type="dxa"/>
            <w:tcBorders>
              <w:left w:val="single" w:sz="4" w:space="0" w:color="000000"/>
              <w:bottom w:val="single" w:sz="4" w:space="0" w:color="000000"/>
            </w:tcBorders>
          </w:tcPr>
          <w:p>
            <w:pPr>
              <w:pStyle w:val="Style71"/>
              <w:widowControl w:val="false"/>
              <w:rPr/>
            </w:pPr>
            <w:r>
              <w:rPr/>
            </w:r>
          </w:p>
        </w:tc>
        <w:tc>
          <w:tcPr>
            <w:tcW w:w="1419"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2334" w:type="dxa"/>
            <w:tcBorders>
              <w:left w:val="single" w:sz="4" w:space="0" w:color="000000"/>
              <w:bottom w:val="single" w:sz="4" w:space="0" w:color="000000"/>
            </w:tcBorders>
          </w:tcPr>
          <w:p>
            <w:pPr>
              <w:pStyle w:val="Style71"/>
              <w:widowControl w:val="false"/>
              <w:rPr/>
            </w:pPr>
            <w:r>
              <w:rPr/>
            </w:r>
          </w:p>
        </w:tc>
        <w:tc>
          <w:tcPr>
            <w:tcW w:w="2090" w:type="dxa"/>
            <w:tcBorders>
              <w:left w:val="single" w:sz="4" w:space="0" w:color="000000"/>
              <w:bottom w:val="single" w:sz="4" w:space="0" w:color="000000"/>
            </w:tcBorders>
          </w:tcPr>
          <w:p>
            <w:pPr>
              <w:pStyle w:val="Style71"/>
              <w:widowControl w:val="false"/>
              <w:rPr/>
            </w:pPr>
            <w:r>
              <w:rPr/>
            </w:r>
          </w:p>
        </w:tc>
        <w:tc>
          <w:tcPr>
            <w:tcW w:w="1306" w:type="dxa"/>
            <w:tcBorders>
              <w:left w:val="single" w:sz="4" w:space="0" w:color="000000"/>
              <w:bottom w:val="single" w:sz="4" w:space="0" w:color="000000"/>
            </w:tcBorders>
          </w:tcPr>
          <w:p>
            <w:pPr>
              <w:pStyle w:val="Style71"/>
              <w:widowControl w:val="false"/>
              <w:rPr/>
            </w:pPr>
            <w:r>
              <w:rPr/>
            </w:r>
          </w:p>
        </w:tc>
        <w:tc>
          <w:tcPr>
            <w:tcW w:w="1419"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2334" w:type="dxa"/>
            <w:tcBorders>
              <w:left w:val="single" w:sz="4" w:space="0" w:color="000000"/>
              <w:bottom w:val="single" w:sz="4" w:space="0" w:color="000000"/>
            </w:tcBorders>
          </w:tcPr>
          <w:p>
            <w:pPr>
              <w:pStyle w:val="Style71"/>
              <w:widowControl w:val="false"/>
              <w:rPr/>
            </w:pPr>
            <w:r>
              <w:rPr/>
            </w:r>
          </w:p>
        </w:tc>
        <w:tc>
          <w:tcPr>
            <w:tcW w:w="2090" w:type="dxa"/>
            <w:tcBorders>
              <w:left w:val="single" w:sz="4" w:space="0" w:color="000000"/>
              <w:bottom w:val="single" w:sz="4" w:space="0" w:color="000000"/>
            </w:tcBorders>
          </w:tcPr>
          <w:p>
            <w:pPr>
              <w:pStyle w:val="Style71"/>
              <w:widowControl w:val="false"/>
              <w:rPr/>
            </w:pPr>
            <w:r>
              <w:rPr/>
            </w:r>
          </w:p>
        </w:tc>
        <w:tc>
          <w:tcPr>
            <w:tcW w:w="1306" w:type="dxa"/>
            <w:tcBorders>
              <w:left w:val="single" w:sz="4" w:space="0" w:color="000000"/>
              <w:bottom w:val="single" w:sz="4" w:space="0" w:color="000000"/>
            </w:tcBorders>
          </w:tcPr>
          <w:p>
            <w:pPr>
              <w:pStyle w:val="Style71"/>
              <w:widowControl w:val="false"/>
              <w:rPr/>
            </w:pPr>
            <w:r>
              <w:rPr/>
            </w:r>
          </w:p>
        </w:tc>
        <w:tc>
          <w:tcPr>
            <w:tcW w:w="1419"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2334" w:type="dxa"/>
            <w:tcBorders>
              <w:left w:val="single" w:sz="4" w:space="0" w:color="000000"/>
              <w:bottom w:val="single" w:sz="4" w:space="0" w:color="000000"/>
            </w:tcBorders>
          </w:tcPr>
          <w:p>
            <w:pPr>
              <w:pStyle w:val="Style71"/>
              <w:widowControl w:val="false"/>
              <w:rPr/>
            </w:pPr>
            <w:r>
              <w:rPr/>
            </w:r>
          </w:p>
        </w:tc>
        <w:tc>
          <w:tcPr>
            <w:tcW w:w="2090" w:type="dxa"/>
            <w:tcBorders>
              <w:left w:val="single" w:sz="4" w:space="0" w:color="000000"/>
              <w:bottom w:val="single" w:sz="4" w:space="0" w:color="000000"/>
            </w:tcBorders>
          </w:tcPr>
          <w:p>
            <w:pPr>
              <w:pStyle w:val="Style71"/>
              <w:widowControl w:val="false"/>
              <w:rPr/>
            </w:pPr>
            <w:r>
              <w:rPr/>
            </w:r>
          </w:p>
        </w:tc>
        <w:tc>
          <w:tcPr>
            <w:tcW w:w="1306" w:type="dxa"/>
            <w:tcBorders>
              <w:left w:val="single" w:sz="4" w:space="0" w:color="000000"/>
              <w:bottom w:val="single" w:sz="4" w:space="0" w:color="000000"/>
            </w:tcBorders>
          </w:tcPr>
          <w:p>
            <w:pPr>
              <w:pStyle w:val="Style71"/>
              <w:widowControl w:val="false"/>
              <w:rPr/>
            </w:pPr>
            <w:r>
              <w:rPr/>
            </w:r>
          </w:p>
        </w:tc>
        <w:tc>
          <w:tcPr>
            <w:tcW w:w="1419"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2334" w:type="dxa"/>
            <w:tcBorders>
              <w:left w:val="single" w:sz="4" w:space="0" w:color="000000"/>
              <w:bottom w:val="single" w:sz="4" w:space="0" w:color="000000"/>
            </w:tcBorders>
          </w:tcPr>
          <w:p>
            <w:pPr>
              <w:pStyle w:val="Style71"/>
              <w:widowControl w:val="false"/>
              <w:rPr/>
            </w:pPr>
            <w:r>
              <w:rPr/>
            </w:r>
          </w:p>
        </w:tc>
        <w:tc>
          <w:tcPr>
            <w:tcW w:w="2090" w:type="dxa"/>
            <w:tcBorders>
              <w:left w:val="single" w:sz="4" w:space="0" w:color="000000"/>
              <w:bottom w:val="single" w:sz="4" w:space="0" w:color="000000"/>
            </w:tcBorders>
          </w:tcPr>
          <w:p>
            <w:pPr>
              <w:pStyle w:val="Style71"/>
              <w:widowControl w:val="false"/>
              <w:rPr/>
            </w:pPr>
            <w:r>
              <w:rPr/>
            </w:r>
          </w:p>
        </w:tc>
        <w:tc>
          <w:tcPr>
            <w:tcW w:w="1306" w:type="dxa"/>
            <w:tcBorders>
              <w:left w:val="single" w:sz="4" w:space="0" w:color="000000"/>
              <w:bottom w:val="single" w:sz="4" w:space="0" w:color="000000"/>
            </w:tcBorders>
          </w:tcPr>
          <w:p>
            <w:pPr>
              <w:pStyle w:val="Style71"/>
              <w:widowControl w:val="false"/>
              <w:rPr/>
            </w:pPr>
            <w:r>
              <w:rPr/>
            </w:r>
          </w:p>
        </w:tc>
        <w:tc>
          <w:tcPr>
            <w:tcW w:w="1419"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2334" w:type="dxa"/>
            <w:tcBorders>
              <w:left w:val="single" w:sz="4" w:space="0" w:color="000000"/>
              <w:bottom w:val="single" w:sz="4" w:space="0" w:color="000000"/>
            </w:tcBorders>
          </w:tcPr>
          <w:p>
            <w:pPr>
              <w:pStyle w:val="Style71"/>
              <w:widowControl w:val="false"/>
              <w:rPr/>
            </w:pPr>
            <w:r>
              <w:rPr/>
            </w:r>
          </w:p>
        </w:tc>
        <w:tc>
          <w:tcPr>
            <w:tcW w:w="2090" w:type="dxa"/>
            <w:tcBorders>
              <w:left w:val="single" w:sz="4" w:space="0" w:color="000000"/>
              <w:bottom w:val="single" w:sz="4" w:space="0" w:color="000000"/>
            </w:tcBorders>
          </w:tcPr>
          <w:p>
            <w:pPr>
              <w:pStyle w:val="Style71"/>
              <w:widowControl w:val="false"/>
              <w:rPr/>
            </w:pPr>
            <w:r>
              <w:rPr/>
            </w:r>
          </w:p>
        </w:tc>
        <w:tc>
          <w:tcPr>
            <w:tcW w:w="1306" w:type="dxa"/>
            <w:tcBorders>
              <w:left w:val="single" w:sz="4" w:space="0" w:color="000000"/>
              <w:bottom w:val="single" w:sz="4" w:space="0" w:color="000000"/>
            </w:tcBorders>
          </w:tcPr>
          <w:p>
            <w:pPr>
              <w:pStyle w:val="Style71"/>
              <w:widowControl w:val="false"/>
              <w:rPr/>
            </w:pPr>
            <w:r>
              <w:rPr/>
            </w:r>
          </w:p>
        </w:tc>
        <w:tc>
          <w:tcPr>
            <w:tcW w:w="1419"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2334" w:type="dxa"/>
            <w:tcBorders>
              <w:left w:val="single" w:sz="4" w:space="0" w:color="000000"/>
              <w:bottom w:val="single" w:sz="4" w:space="0" w:color="000000"/>
            </w:tcBorders>
          </w:tcPr>
          <w:p>
            <w:pPr>
              <w:pStyle w:val="Style71"/>
              <w:widowControl w:val="false"/>
              <w:rPr/>
            </w:pPr>
            <w:r>
              <w:rPr/>
            </w:r>
          </w:p>
        </w:tc>
        <w:tc>
          <w:tcPr>
            <w:tcW w:w="2090" w:type="dxa"/>
            <w:tcBorders>
              <w:left w:val="single" w:sz="4" w:space="0" w:color="000000"/>
              <w:bottom w:val="single" w:sz="4" w:space="0" w:color="000000"/>
            </w:tcBorders>
          </w:tcPr>
          <w:p>
            <w:pPr>
              <w:pStyle w:val="Style71"/>
              <w:widowControl w:val="false"/>
              <w:rPr/>
            </w:pPr>
            <w:r>
              <w:rPr/>
            </w:r>
          </w:p>
        </w:tc>
        <w:tc>
          <w:tcPr>
            <w:tcW w:w="1306" w:type="dxa"/>
            <w:tcBorders>
              <w:left w:val="single" w:sz="4" w:space="0" w:color="000000"/>
              <w:bottom w:val="single" w:sz="4" w:space="0" w:color="000000"/>
            </w:tcBorders>
          </w:tcPr>
          <w:p>
            <w:pPr>
              <w:pStyle w:val="Style71"/>
              <w:widowControl w:val="false"/>
              <w:rPr/>
            </w:pPr>
            <w:r>
              <w:rPr/>
            </w:r>
          </w:p>
        </w:tc>
        <w:tc>
          <w:tcPr>
            <w:tcW w:w="1419"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2334" w:type="dxa"/>
            <w:tcBorders>
              <w:left w:val="single" w:sz="4" w:space="0" w:color="000000"/>
              <w:bottom w:val="single" w:sz="4" w:space="0" w:color="000000"/>
            </w:tcBorders>
          </w:tcPr>
          <w:p>
            <w:pPr>
              <w:pStyle w:val="Style71"/>
              <w:widowControl w:val="false"/>
              <w:rPr/>
            </w:pPr>
            <w:r>
              <w:rPr/>
            </w:r>
          </w:p>
        </w:tc>
        <w:tc>
          <w:tcPr>
            <w:tcW w:w="2090" w:type="dxa"/>
            <w:tcBorders>
              <w:left w:val="single" w:sz="4" w:space="0" w:color="000000"/>
              <w:bottom w:val="single" w:sz="4" w:space="0" w:color="000000"/>
            </w:tcBorders>
          </w:tcPr>
          <w:p>
            <w:pPr>
              <w:pStyle w:val="Style71"/>
              <w:widowControl w:val="false"/>
              <w:rPr/>
            </w:pPr>
            <w:r>
              <w:rPr/>
            </w:r>
          </w:p>
        </w:tc>
        <w:tc>
          <w:tcPr>
            <w:tcW w:w="1306" w:type="dxa"/>
            <w:tcBorders>
              <w:left w:val="single" w:sz="4" w:space="0" w:color="000000"/>
              <w:bottom w:val="single" w:sz="4" w:space="0" w:color="000000"/>
            </w:tcBorders>
          </w:tcPr>
          <w:p>
            <w:pPr>
              <w:pStyle w:val="Style71"/>
              <w:widowControl w:val="false"/>
              <w:rPr/>
            </w:pPr>
            <w:r>
              <w:rPr/>
            </w:r>
          </w:p>
        </w:tc>
        <w:tc>
          <w:tcPr>
            <w:tcW w:w="1419"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2334" w:type="dxa"/>
            <w:tcBorders>
              <w:left w:val="single" w:sz="4" w:space="0" w:color="000000"/>
              <w:bottom w:val="single" w:sz="4" w:space="0" w:color="000000"/>
            </w:tcBorders>
          </w:tcPr>
          <w:p>
            <w:pPr>
              <w:pStyle w:val="Style71"/>
              <w:widowControl w:val="false"/>
              <w:rPr/>
            </w:pPr>
            <w:r>
              <w:rPr/>
            </w:r>
          </w:p>
        </w:tc>
        <w:tc>
          <w:tcPr>
            <w:tcW w:w="2090" w:type="dxa"/>
            <w:tcBorders>
              <w:left w:val="single" w:sz="4" w:space="0" w:color="000000"/>
              <w:bottom w:val="single" w:sz="4" w:space="0" w:color="000000"/>
            </w:tcBorders>
          </w:tcPr>
          <w:p>
            <w:pPr>
              <w:pStyle w:val="Style71"/>
              <w:widowControl w:val="false"/>
              <w:rPr/>
            </w:pPr>
            <w:r>
              <w:rPr/>
            </w:r>
          </w:p>
        </w:tc>
        <w:tc>
          <w:tcPr>
            <w:tcW w:w="1306" w:type="dxa"/>
            <w:tcBorders>
              <w:left w:val="single" w:sz="4" w:space="0" w:color="000000"/>
              <w:bottom w:val="single" w:sz="4" w:space="0" w:color="000000"/>
            </w:tcBorders>
          </w:tcPr>
          <w:p>
            <w:pPr>
              <w:pStyle w:val="Style71"/>
              <w:widowControl w:val="false"/>
              <w:rPr/>
            </w:pPr>
            <w:r>
              <w:rPr/>
            </w:r>
          </w:p>
        </w:tc>
        <w:tc>
          <w:tcPr>
            <w:tcW w:w="1419"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2334" w:type="dxa"/>
            <w:tcBorders>
              <w:left w:val="single" w:sz="4" w:space="0" w:color="000000"/>
              <w:bottom w:val="single" w:sz="4" w:space="0" w:color="000000"/>
            </w:tcBorders>
          </w:tcPr>
          <w:p>
            <w:pPr>
              <w:pStyle w:val="Style71"/>
              <w:widowControl w:val="false"/>
              <w:rPr/>
            </w:pPr>
            <w:r>
              <w:rPr/>
            </w:r>
          </w:p>
        </w:tc>
        <w:tc>
          <w:tcPr>
            <w:tcW w:w="2090" w:type="dxa"/>
            <w:tcBorders>
              <w:left w:val="single" w:sz="4" w:space="0" w:color="000000"/>
              <w:bottom w:val="single" w:sz="4" w:space="0" w:color="000000"/>
            </w:tcBorders>
          </w:tcPr>
          <w:p>
            <w:pPr>
              <w:pStyle w:val="Style71"/>
              <w:widowControl w:val="false"/>
              <w:rPr/>
            </w:pPr>
            <w:r>
              <w:rPr/>
            </w:r>
          </w:p>
        </w:tc>
        <w:tc>
          <w:tcPr>
            <w:tcW w:w="1306" w:type="dxa"/>
            <w:tcBorders>
              <w:left w:val="single" w:sz="4" w:space="0" w:color="000000"/>
              <w:bottom w:val="single" w:sz="4" w:space="0" w:color="000000"/>
            </w:tcBorders>
          </w:tcPr>
          <w:p>
            <w:pPr>
              <w:pStyle w:val="Style71"/>
              <w:widowControl w:val="false"/>
              <w:rPr/>
            </w:pPr>
            <w:r>
              <w:rPr/>
            </w:r>
          </w:p>
        </w:tc>
        <w:tc>
          <w:tcPr>
            <w:tcW w:w="1419"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2334" w:type="dxa"/>
            <w:tcBorders>
              <w:left w:val="single" w:sz="4" w:space="0" w:color="000000"/>
              <w:bottom w:val="single" w:sz="4" w:space="0" w:color="000000"/>
            </w:tcBorders>
          </w:tcPr>
          <w:p>
            <w:pPr>
              <w:pStyle w:val="Style71"/>
              <w:widowControl w:val="false"/>
              <w:rPr/>
            </w:pPr>
            <w:r>
              <w:rPr/>
            </w:r>
          </w:p>
        </w:tc>
        <w:tc>
          <w:tcPr>
            <w:tcW w:w="2090" w:type="dxa"/>
            <w:tcBorders>
              <w:left w:val="single" w:sz="4" w:space="0" w:color="000000"/>
              <w:bottom w:val="single" w:sz="4" w:space="0" w:color="000000"/>
            </w:tcBorders>
          </w:tcPr>
          <w:p>
            <w:pPr>
              <w:pStyle w:val="Style71"/>
              <w:widowControl w:val="false"/>
              <w:rPr/>
            </w:pPr>
            <w:r>
              <w:rPr/>
            </w:r>
          </w:p>
        </w:tc>
        <w:tc>
          <w:tcPr>
            <w:tcW w:w="1306" w:type="dxa"/>
            <w:tcBorders>
              <w:left w:val="single" w:sz="4" w:space="0" w:color="000000"/>
              <w:bottom w:val="single" w:sz="4" w:space="0" w:color="000000"/>
            </w:tcBorders>
          </w:tcPr>
          <w:p>
            <w:pPr>
              <w:pStyle w:val="Style71"/>
              <w:widowControl w:val="false"/>
              <w:rPr/>
            </w:pPr>
            <w:r>
              <w:rPr/>
            </w:r>
          </w:p>
        </w:tc>
        <w:tc>
          <w:tcPr>
            <w:tcW w:w="1419"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2334" w:type="dxa"/>
            <w:tcBorders>
              <w:left w:val="single" w:sz="4" w:space="0" w:color="000000"/>
              <w:bottom w:val="single" w:sz="4" w:space="0" w:color="000000"/>
            </w:tcBorders>
          </w:tcPr>
          <w:p>
            <w:pPr>
              <w:pStyle w:val="Style71"/>
              <w:widowControl w:val="false"/>
              <w:rPr/>
            </w:pPr>
            <w:r>
              <w:rPr/>
            </w:r>
          </w:p>
        </w:tc>
        <w:tc>
          <w:tcPr>
            <w:tcW w:w="2090" w:type="dxa"/>
            <w:tcBorders>
              <w:left w:val="single" w:sz="4" w:space="0" w:color="000000"/>
              <w:bottom w:val="single" w:sz="4" w:space="0" w:color="000000"/>
            </w:tcBorders>
          </w:tcPr>
          <w:p>
            <w:pPr>
              <w:pStyle w:val="Style71"/>
              <w:widowControl w:val="false"/>
              <w:rPr/>
            </w:pPr>
            <w:r>
              <w:rPr/>
            </w:r>
          </w:p>
        </w:tc>
        <w:tc>
          <w:tcPr>
            <w:tcW w:w="1306" w:type="dxa"/>
            <w:tcBorders>
              <w:left w:val="single" w:sz="4" w:space="0" w:color="000000"/>
              <w:bottom w:val="single" w:sz="4" w:space="0" w:color="000000"/>
            </w:tcBorders>
          </w:tcPr>
          <w:p>
            <w:pPr>
              <w:pStyle w:val="Style71"/>
              <w:widowControl w:val="false"/>
              <w:rPr/>
            </w:pPr>
            <w:r>
              <w:rPr/>
            </w:r>
          </w:p>
        </w:tc>
        <w:tc>
          <w:tcPr>
            <w:tcW w:w="1419"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2334" w:type="dxa"/>
            <w:tcBorders>
              <w:left w:val="single" w:sz="4" w:space="0" w:color="000000"/>
              <w:bottom w:val="single" w:sz="4" w:space="0" w:color="000000"/>
            </w:tcBorders>
          </w:tcPr>
          <w:p>
            <w:pPr>
              <w:pStyle w:val="Style71"/>
              <w:widowControl w:val="false"/>
              <w:rPr/>
            </w:pPr>
            <w:r>
              <w:rPr/>
            </w:r>
          </w:p>
        </w:tc>
        <w:tc>
          <w:tcPr>
            <w:tcW w:w="2090" w:type="dxa"/>
            <w:tcBorders>
              <w:left w:val="single" w:sz="4" w:space="0" w:color="000000"/>
              <w:bottom w:val="single" w:sz="4" w:space="0" w:color="000000"/>
            </w:tcBorders>
          </w:tcPr>
          <w:p>
            <w:pPr>
              <w:pStyle w:val="Style71"/>
              <w:widowControl w:val="false"/>
              <w:rPr/>
            </w:pPr>
            <w:r>
              <w:rPr/>
            </w:r>
          </w:p>
        </w:tc>
        <w:tc>
          <w:tcPr>
            <w:tcW w:w="1306" w:type="dxa"/>
            <w:tcBorders>
              <w:left w:val="single" w:sz="4" w:space="0" w:color="000000"/>
              <w:bottom w:val="single" w:sz="4" w:space="0" w:color="000000"/>
            </w:tcBorders>
          </w:tcPr>
          <w:p>
            <w:pPr>
              <w:pStyle w:val="Style71"/>
              <w:widowControl w:val="false"/>
              <w:rPr/>
            </w:pPr>
            <w:r>
              <w:rPr/>
            </w:r>
          </w:p>
        </w:tc>
        <w:tc>
          <w:tcPr>
            <w:tcW w:w="1419"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2334" w:type="dxa"/>
            <w:tcBorders>
              <w:left w:val="single" w:sz="4" w:space="0" w:color="000000"/>
              <w:bottom w:val="single" w:sz="4" w:space="0" w:color="000000"/>
            </w:tcBorders>
          </w:tcPr>
          <w:p>
            <w:pPr>
              <w:pStyle w:val="Style71"/>
              <w:widowControl w:val="false"/>
              <w:rPr/>
            </w:pPr>
            <w:r>
              <w:rPr/>
            </w:r>
          </w:p>
        </w:tc>
        <w:tc>
          <w:tcPr>
            <w:tcW w:w="2090" w:type="dxa"/>
            <w:tcBorders>
              <w:left w:val="single" w:sz="4" w:space="0" w:color="000000"/>
              <w:bottom w:val="single" w:sz="4" w:space="0" w:color="000000"/>
            </w:tcBorders>
          </w:tcPr>
          <w:p>
            <w:pPr>
              <w:pStyle w:val="Style71"/>
              <w:widowControl w:val="false"/>
              <w:rPr/>
            </w:pPr>
            <w:r>
              <w:rPr/>
            </w:r>
          </w:p>
        </w:tc>
        <w:tc>
          <w:tcPr>
            <w:tcW w:w="1306" w:type="dxa"/>
            <w:tcBorders>
              <w:left w:val="single" w:sz="4" w:space="0" w:color="000000"/>
              <w:bottom w:val="single" w:sz="4" w:space="0" w:color="000000"/>
            </w:tcBorders>
          </w:tcPr>
          <w:p>
            <w:pPr>
              <w:pStyle w:val="Style71"/>
              <w:widowControl w:val="false"/>
              <w:rPr/>
            </w:pPr>
            <w:r>
              <w:rPr/>
            </w:r>
          </w:p>
        </w:tc>
        <w:tc>
          <w:tcPr>
            <w:tcW w:w="1419"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2334" w:type="dxa"/>
            <w:tcBorders>
              <w:left w:val="single" w:sz="4" w:space="0" w:color="000000"/>
              <w:bottom w:val="single" w:sz="4" w:space="0" w:color="000000"/>
            </w:tcBorders>
          </w:tcPr>
          <w:p>
            <w:pPr>
              <w:pStyle w:val="Style71"/>
              <w:widowControl w:val="false"/>
              <w:rPr/>
            </w:pPr>
            <w:r>
              <w:rPr/>
            </w:r>
          </w:p>
        </w:tc>
        <w:tc>
          <w:tcPr>
            <w:tcW w:w="2090" w:type="dxa"/>
            <w:tcBorders>
              <w:left w:val="single" w:sz="4" w:space="0" w:color="000000"/>
              <w:bottom w:val="single" w:sz="4" w:space="0" w:color="000000"/>
            </w:tcBorders>
          </w:tcPr>
          <w:p>
            <w:pPr>
              <w:pStyle w:val="Style71"/>
              <w:widowControl w:val="false"/>
              <w:rPr/>
            </w:pPr>
            <w:r>
              <w:rPr/>
            </w:r>
          </w:p>
        </w:tc>
        <w:tc>
          <w:tcPr>
            <w:tcW w:w="1306" w:type="dxa"/>
            <w:tcBorders>
              <w:left w:val="single" w:sz="4" w:space="0" w:color="000000"/>
              <w:bottom w:val="single" w:sz="4" w:space="0" w:color="000000"/>
            </w:tcBorders>
          </w:tcPr>
          <w:p>
            <w:pPr>
              <w:pStyle w:val="Style71"/>
              <w:widowControl w:val="false"/>
              <w:rPr/>
            </w:pPr>
            <w:r>
              <w:rPr/>
            </w:r>
          </w:p>
        </w:tc>
        <w:tc>
          <w:tcPr>
            <w:tcW w:w="1419"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2334" w:type="dxa"/>
            <w:tcBorders>
              <w:left w:val="single" w:sz="4" w:space="0" w:color="000000"/>
              <w:bottom w:val="single" w:sz="4" w:space="0" w:color="000000"/>
            </w:tcBorders>
          </w:tcPr>
          <w:p>
            <w:pPr>
              <w:pStyle w:val="Style71"/>
              <w:widowControl w:val="false"/>
              <w:rPr/>
            </w:pPr>
            <w:r>
              <w:rPr/>
            </w:r>
          </w:p>
        </w:tc>
        <w:tc>
          <w:tcPr>
            <w:tcW w:w="2090" w:type="dxa"/>
            <w:tcBorders>
              <w:left w:val="single" w:sz="4" w:space="0" w:color="000000"/>
              <w:bottom w:val="single" w:sz="4" w:space="0" w:color="000000"/>
            </w:tcBorders>
          </w:tcPr>
          <w:p>
            <w:pPr>
              <w:pStyle w:val="Style71"/>
              <w:widowControl w:val="false"/>
              <w:rPr/>
            </w:pPr>
            <w:r>
              <w:rPr/>
            </w:r>
          </w:p>
        </w:tc>
        <w:tc>
          <w:tcPr>
            <w:tcW w:w="1306" w:type="dxa"/>
            <w:tcBorders>
              <w:left w:val="single" w:sz="4" w:space="0" w:color="000000"/>
              <w:bottom w:val="single" w:sz="4" w:space="0" w:color="000000"/>
            </w:tcBorders>
          </w:tcPr>
          <w:p>
            <w:pPr>
              <w:pStyle w:val="Style71"/>
              <w:widowControl w:val="false"/>
              <w:rPr/>
            </w:pPr>
            <w:r>
              <w:rPr/>
            </w:r>
          </w:p>
        </w:tc>
        <w:tc>
          <w:tcPr>
            <w:tcW w:w="1419"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2334" w:type="dxa"/>
            <w:tcBorders>
              <w:left w:val="single" w:sz="4" w:space="0" w:color="000000"/>
              <w:bottom w:val="single" w:sz="4" w:space="0" w:color="000000"/>
            </w:tcBorders>
          </w:tcPr>
          <w:p>
            <w:pPr>
              <w:pStyle w:val="Style71"/>
              <w:widowControl w:val="false"/>
              <w:rPr/>
            </w:pPr>
            <w:r>
              <w:rPr/>
            </w:r>
          </w:p>
        </w:tc>
        <w:tc>
          <w:tcPr>
            <w:tcW w:w="2090" w:type="dxa"/>
            <w:tcBorders>
              <w:left w:val="single" w:sz="4" w:space="0" w:color="000000"/>
              <w:bottom w:val="single" w:sz="4" w:space="0" w:color="000000"/>
            </w:tcBorders>
          </w:tcPr>
          <w:p>
            <w:pPr>
              <w:pStyle w:val="Style71"/>
              <w:widowControl w:val="false"/>
              <w:rPr/>
            </w:pPr>
            <w:r>
              <w:rPr/>
            </w:r>
          </w:p>
        </w:tc>
        <w:tc>
          <w:tcPr>
            <w:tcW w:w="1306" w:type="dxa"/>
            <w:tcBorders>
              <w:left w:val="single" w:sz="4" w:space="0" w:color="000000"/>
              <w:bottom w:val="single" w:sz="4" w:space="0" w:color="000000"/>
            </w:tcBorders>
          </w:tcPr>
          <w:p>
            <w:pPr>
              <w:pStyle w:val="Style71"/>
              <w:widowControl w:val="false"/>
              <w:rPr/>
            </w:pPr>
            <w:r>
              <w:rPr/>
            </w:r>
          </w:p>
        </w:tc>
        <w:tc>
          <w:tcPr>
            <w:tcW w:w="1419"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2334" w:type="dxa"/>
            <w:tcBorders>
              <w:left w:val="single" w:sz="4" w:space="0" w:color="000000"/>
              <w:bottom w:val="single" w:sz="4" w:space="0" w:color="000000"/>
            </w:tcBorders>
          </w:tcPr>
          <w:p>
            <w:pPr>
              <w:pStyle w:val="Style71"/>
              <w:widowControl w:val="false"/>
              <w:rPr/>
            </w:pPr>
            <w:r>
              <w:rPr/>
            </w:r>
          </w:p>
        </w:tc>
        <w:tc>
          <w:tcPr>
            <w:tcW w:w="2090" w:type="dxa"/>
            <w:tcBorders>
              <w:left w:val="single" w:sz="4" w:space="0" w:color="000000"/>
              <w:bottom w:val="single" w:sz="4" w:space="0" w:color="000000"/>
            </w:tcBorders>
          </w:tcPr>
          <w:p>
            <w:pPr>
              <w:pStyle w:val="Style71"/>
              <w:widowControl w:val="false"/>
              <w:rPr/>
            </w:pPr>
            <w:r>
              <w:rPr/>
            </w:r>
          </w:p>
        </w:tc>
        <w:tc>
          <w:tcPr>
            <w:tcW w:w="1306" w:type="dxa"/>
            <w:tcBorders>
              <w:left w:val="single" w:sz="4" w:space="0" w:color="000000"/>
              <w:bottom w:val="single" w:sz="4" w:space="0" w:color="000000"/>
            </w:tcBorders>
          </w:tcPr>
          <w:p>
            <w:pPr>
              <w:pStyle w:val="Style71"/>
              <w:widowControl w:val="false"/>
              <w:rPr/>
            </w:pPr>
            <w:r>
              <w:rPr/>
            </w:r>
          </w:p>
        </w:tc>
        <w:tc>
          <w:tcPr>
            <w:tcW w:w="1419" w:type="dxa"/>
            <w:tcBorders>
              <w:left w:val="single" w:sz="4" w:space="0" w:color="000000"/>
              <w:bottom w:val="single" w:sz="4" w:space="0" w:color="000000"/>
              <w:right w:val="single" w:sz="4" w:space="0" w:color="000000"/>
            </w:tcBorders>
          </w:tcPr>
          <w:p>
            <w:pPr>
              <w:pStyle w:val="Style71"/>
              <w:widowControl w:val="false"/>
              <w:rPr/>
            </w:pPr>
            <w:r>
              <w:rPr/>
            </w:r>
          </w:p>
        </w:tc>
      </w:tr>
    </w:tbl>
    <w:p>
      <w:pPr>
        <w:pStyle w:val="Normal"/>
        <w:widowControl/>
        <w:suppressAutoHyphens w:val="true"/>
        <w:bidi w:val="0"/>
        <w:spacing w:lineRule="auto" w:line="240" w:before="0" w:after="0"/>
        <w:ind w:left="0" w:right="0" w:hanging="0"/>
        <w:jc w:val="left"/>
        <w:rPr>
          <w:rFonts w:ascii="Times New Roman" w:hAnsi="Times New Roman"/>
          <w:sz w:val="24"/>
          <w:szCs w:val="24"/>
        </w:rPr>
      </w:pPr>
      <w:r>
        <w:rPr>
          <w:rFonts w:ascii="Times New Roman" w:hAnsi="Times New Roman"/>
          <w:sz w:val="24"/>
          <w:szCs w:val="24"/>
        </w:rPr>
      </w:r>
    </w:p>
    <w:p>
      <w:pPr>
        <w:pStyle w:val="Normal"/>
        <w:widowControl/>
        <w:suppressAutoHyphens w:val="true"/>
        <w:bidi w:val="0"/>
        <w:spacing w:lineRule="auto" w:line="240" w:before="0" w:after="0"/>
        <w:ind w:left="0" w:right="0" w:hanging="0"/>
        <w:jc w:val="left"/>
        <w:rPr>
          <w:rFonts w:ascii="Times New Roman" w:hAnsi="Times New Roman"/>
          <w:sz w:val="24"/>
          <w:szCs w:val="24"/>
        </w:rPr>
      </w:pPr>
      <w:r>
        <w:rPr>
          <w:rFonts w:ascii="Times New Roman" w:hAnsi="Times New Roman"/>
          <w:sz w:val="24"/>
          <w:szCs w:val="24"/>
        </w:rPr>
        <w:t>Подпись наблюдателя: __________________ ФИО наблюдателя: ________________</w:t>
      </w:r>
    </w:p>
    <w:p>
      <w:pPr>
        <w:pStyle w:val="Normal"/>
        <w:widowControl/>
        <w:suppressAutoHyphens w:val="true"/>
        <w:bidi w:val="0"/>
        <w:spacing w:lineRule="auto" w:line="240" w:before="0" w:after="0"/>
        <w:ind w:left="0" w:right="0" w:hanging="0"/>
        <w:jc w:val="left"/>
        <w:rPr>
          <w:rFonts w:ascii="Times New Roman" w:hAnsi="Times New Roman" w:cs="Times New Roman"/>
          <w:b/>
          <w:bCs/>
          <w:szCs w:val="32"/>
        </w:rPr>
      </w:pPr>
      <w:r>
        <w:rPr>
          <w:rFonts w:cs="Times New Roman" w:ascii="Times New Roman" w:hAnsi="Times New Roman"/>
          <w:b/>
          <w:bCs/>
          <w:szCs w:val="32"/>
        </w:rPr>
      </w:r>
    </w:p>
    <w:p>
      <w:pPr>
        <w:pStyle w:val="Normal"/>
        <w:widowControl/>
        <w:suppressAutoHyphens w:val="true"/>
        <w:bidi w:val="0"/>
        <w:spacing w:lineRule="auto" w:line="240" w:before="0" w:after="0"/>
        <w:ind w:left="0" w:right="0" w:hanging="0"/>
        <w:jc w:val="center"/>
        <w:rPr>
          <w:rFonts w:ascii="Times New Roman" w:hAnsi="Times New Roman"/>
          <w:sz w:val="24"/>
          <w:szCs w:val="24"/>
        </w:rPr>
      </w:pPr>
      <w:r>
        <w:rPr>
          <w:rFonts w:cs="Times New Roman" w:ascii="Times New Roman" w:hAnsi="Times New Roman"/>
          <w:b/>
          <w:bCs/>
          <w:sz w:val="24"/>
          <w:szCs w:val="32"/>
        </w:rPr>
        <w:t>Форма журнала визуальных наблюдений</w:t>
      </w:r>
    </w:p>
    <w:p>
      <w:pPr>
        <w:pStyle w:val="Normal"/>
        <w:spacing w:lineRule="auto" w:line="240" w:before="0" w:after="0"/>
        <w:jc w:val="center"/>
        <w:rPr>
          <w:rFonts w:ascii="Times New Roman" w:hAnsi="Times New Roman" w:cs="Times New Roman"/>
          <w:b/>
          <w:bCs/>
          <w:szCs w:val="32"/>
        </w:rPr>
      </w:pPr>
      <w:r>
        <w:rPr>
          <w:rFonts w:cs="Times New Roman" w:ascii="Times New Roman" w:hAnsi="Times New Roman"/>
          <w:b/>
          <w:bCs/>
          <w:szCs w:val="32"/>
        </w:rPr>
      </w:r>
    </w:p>
    <w:tbl>
      <w:tblPr>
        <w:tblW w:w="5000" w:type="pct"/>
        <w:jc w:val="left"/>
        <w:tblInd w:w="-5" w:type="dxa"/>
        <w:tblLayout w:type="fixed"/>
        <w:tblCellMar>
          <w:top w:w="55" w:type="dxa"/>
          <w:left w:w="55" w:type="dxa"/>
          <w:bottom w:w="55" w:type="dxa"/>
          <w:right w:w="55" w:type="dxa"/>
        </w:tblCellMar>
      </w:tblPr>
      <w:tblGrid>
        <w:gridCol w:w="9071"/>
      </w:tblGrid>
      <w:tr>
        <w:trPr>
          <w:trHeight w:val="9076" w:hRule="atLeast"/>
        </w:trPr>
        <w:tc>
          <w:tcPr>
            <w:tcW w:w="9071" w:type="dxa"/>
            <w:tcBorders>
              <w:top w:val="single" w:sz="4" w:space="0" w:color="000000"/>
              <w:left w:val="single" w:sz="4" w:space="0" w:color="000000"/>
              <w:bottom w:val="single" w:sz="4" w:space="0" w:color="000000"/>
              <w:right w:val="single" w:sz="4" w:space="0" w:color="000000"/>
            </w:tcBorders>
          </w:tcPr>
          <w:p>
            <w:pPr>
              <w:pStyle w:val="Style71"/>
              <w:widowControl w:val="false"/>
              <w:rPr>
                <w:rFonts w:ascii="Times New Roman" w:hAnsi="Times New Roman"/>
              </w:rPr>
            </w:pPr>
            <w:r>
              <w:rPr>
                <w:rFonts w:ascii="Times New Roman" w:hAnsi="Times New Roman"/>
              </w:rPr>
              <w:t>Наименование организации выполняющей наблюдения</w:t>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t>ПОЛЕВОЙ ЖУРНАЛ №___</w:t>
            </w:r>
          </w:p>
          <w:p>
            <w:pPr>
              <w:pStyle w:val="Style71"/>
              <w:widowControl w:val="false"/>
              <w:rPr>
                <w:rFonts w:ascii="Times New Roman" w:hAnsi="Times New Roman"/>
              </w:rPr>
            </w:pPr>
            <w:r>
              <w:rPr>
                <w:rFonts w:ascii="Times New Roman" w:hAnsi="Times New Roman"/>
              </w:rPr>
              <w:t>визуальных наблюдений</w:t>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t>Гидроузел: _________________________________________________________</w:t>
            </w:r>
          </w:p>
          <w:p>
            <w:pPr>
              <w:pStyle w:val="Style71"/>
              <w:widowControl w:val="false"/>
              <w:rPr>
                <w:rFonts w:ascii="Times New Roman" w:hAnsi="Times New Roman"/>
              </w:rPr>
            </w:pPr>
            <w:r>
              <w:rPr>
                <w:rFonts w:ascii="Times New Roman" w:hAnsi="Times New Roman"/>
              </w:rPr>
              <w:t>Сооружение: _______________________________________________________</w:t>
            </w:r>
          </w:p>
          <w:p>
            <w:pPr>
              <w:pStyle w:val="Style71"/>
              <w:widowControl w:val="false"/>
              <w:rPr>
                <w:rFonts w:ascii="Times New Roman" w:hAnsi="Times New Roman"/>
              </w:rPr>
            </w:pPr>
            <w:r>
              <w:rPr>
                <w:rFonts w:ascii="Times New Roman" w:hAnsi="Times New Roman"/>
              </w:rPr>
              <w:t>Конструктивный элемент: ____________________________________________</w:t>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t xml:space="preserve">Начат  «___» _____________ 20   г.   </w:t>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t xml:space="preserve">    </w:t>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t xml:space="preserve">Окончен  «___» _____________ 20   г.                                                                </w:t>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p>
            <w:pPr>
              <w:pStyle w:val="Style71"/>
              <w:widowControl w:val="false"/>
              <w:suppressLineNumbers/>
              <w:suppressAutoHyphens w:val="true"/>
              <w:bidi w:val="0"/>
              <w:spacing w:lineRule="auto" w:line="240" w:before="0" w:after="0"/>
              <w:ind w:left="794" w:right="57" w:hanging="0"/>
              <w:jc w:val="left"/>
              <w:rPr>
                <w:rFonts w:ascii="Times New Roman" w:hAnsi="Times New Roman"/>
              </w:rPr>
            </w:pPr>
            <w:r>
              <w:rPr>
                <w:rFonts w:ascii="Times New Roman" w:hAnsi="Times New Roman"/>
              </w:rPr>
            </w:r>
          </w:p>
        </w:tc>
      </w:tr>
    </w:tbl>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t>ОТВЕТСТВЕННЫЕ ЗА ВЕДЕНИЕ ЖУРНАЛА</w:t>
      </w:r>
    </w:p>
    <w:p>
      <w:pPr>
        <w:pStyle w:val="Normal"/>
        <w:spacing w:lineRule="auto" w:line="240" w:before="0" w:after="0"/>
        <w:jc w:val="center"/>
        <w:rPr>
          <w:rFonts w:ascii="Times New Roman" w:hAnsi="Times New Roman" w:cs="Times New Roman"/>
          <w:szCs w:val="32"/>
        </w:rPr>
      </w:pPr>
      <w:r>
        <w:rPr>
          <w:rFonts w:cs="Times New Roman" w:ascii="Times New Roman" w:hAnsi="Times New Roman"/>
          <w:szCs w:val="32"/>
        </w:rPr>
      </w:r>
    </w:p>
    <w:tbl>
      <w:tblPr>
        <w:tblW w:w="5000" w:type="pct"/>
        <w:jc w:val="left"/>
        <w:tblInd w:w="-5" w:type="dxa"/>
        <w:tblLayout w:type="fixed"/>
        <w:tblCellMar>
          <w:top w:w="55" w:type="dxa"/>
          <w:left w:w="55" w:type="dxa"/>
          <w:bottom w:w="55" w:type="dxa"/>
          <w:right w:w="55" w:type="dxa"/>
        </w:tblCellMar>
      </w:tblPr>
      <w:tblGrid>
        <w:gridCol w:w="2665"/>
        <w:gridCol w:w="1870"/>
        <w:gridCol w:w="2845"/>
        <w:gridCol w:w="1690"/>
      </w:tblGrid>
      <w:tr>
        <w:trPr/>
        <w:tc>
          <w:tcPr>
            <w:tcW w:w="2665" w:type="dxa"/>
            <w:tcBorders>
              <w:top w:val="single" w:sz="4" w:space="0" w:color="000000"/>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ФИО</w:t>
            </w:r>
          </w:p>
        </w:tc>
        <w:tc>
          <w:tcPr>
            <w:tcW w:w="1870" w:type="dxa"/>
            <w:tcBorders>
              <w:top w:val="single" w:sz="4" w:space="0" w:color="000000"/>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Должность</w:t>
            </w:r>
          </w:p>
        </w:tc>
        <w:tc>
          <w:tcPr>
            <w:tcW w:w="2845" w:type="dxa"/>
            <w:tcBorders>
              <w:top w:val="single" w:sz="4" w:space="0" w:color="000000"/>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Дата назначения на должность</w:t>
            </w:r>
          </w:p>
        </w:tc>
        <w:tc>
          <w:tcPr>
            <w:tcW w:w="1690" w:type="dxa"/>
            <w:tcBorders>
              <w:top w:val="single" w:sz="4" w:space="0" w:color="000000"/>
              <w:left w:val="single" w:sz="4" w:space="0" w:color="000000"/>
              <w:bottom w:val="single" w:sz="4" w:space="0" w:color="000000"/>
              <w:right w:val="single" w:sz="4" w:space="0" w:color="000000"/>
            </w:tcBorders>
            <w:vAlign w:val="center"/>
          </w:tcPr>
          <w:p>
            <w:pPr>
              <w:pStyle w:val="Style71"/>
              <w:widowControl w:val="false"/>
              <w:jc w:val="center"/>
              <w:rPr>
                <w:rFonts w:ascii="Times New Roman" w:hAnsi="Times New Roman"/>
              </w:rPr>
            </w:pPr>
            <w:r>
              <w:rPr>
                <w:rFonts w:ascii="Times New Roman" w:hAnsi="Times New Roman"/>
              </w:rPr>
              <w:t>Подпись</w:t>
            </w:r>
          </w:p>
        </w:tc>
      </w:tr>
      <w:tr>
        <w:trPr>
          <w:trHeight w:val="222" w:hRule="atLeast"/>
        </w:trPr>
        <w:tc>
          <w:tcPr>
            <w:tcW w:w="2665" w:type="dxa"/>
            <w:tcBorders>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1</w:t>
            </w:r>
          </w:p>
        </w:tc>
        <w:tc>
          <w:tcPr>
            <w:tcW w:w="1870" w:type="dxa"/>
            <w:tcBorders>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2</w:t>
            </w:r>
          </w:p>
        </w:tc>
        <w:tc>
          <w:tcPr>
            <w:tcW w:w="2845" w:type="dxa"/>
            <w:tcBorders>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3</w:t>
            </w:r>
          </w:p>
        </w:tc>
        <w:tc>
          <w:tcPr>
            <w:tcW w:w="1690" w:type="dxa"/>
            <w:tcBorders>
              <w:left w:val="single" w:sz="4" w:space="0" w:color="000000"/>
              <w:bottom w:val="single" w:sz="4" w:space="0" w:color="000000"/>
              <w:right w:val="single" w:sz="4" w:space="0" w:color="000000"/>
            </w:tcBorders>
            <w:vAlign w:val="center"/>
          </w:tcPr>
          <w:p>
            <w:pPr>
              <w:pStyle w:val="Style71"/>
              <w:widowControl w:val="false"/>
              <w:jc w:val="center"/>
              <w:rPr>
                <w:rFonts w:ascii="Times New Roman" w:hAnsi="Times New Roman"/>
              </w:rPr>
            </w:pPr>
            <w:r>
              <w:rPr>
                <w:rFonts w:ascii="Times New Roman" w:hAnsi="Times New Roman"/>
              </w:rPr>
              <w:t>4</w:t>
            </w:r>
          </w:p>
        </w:tc>
      </w:tr>
      <w:tr>
        <w:trPr/>
        <w:tc>
          <w:tcPr>
            <w:tcW w:w="2665" w:type="dxa"/>
            <w:tcBorders>
              <w:left w:val="single" w:sz="4" w:space="0" w:color="000000"/>
              <w:bottom w:val="single" w:sz="4" w:space="0" w:color="000000"/>
            </w:tcBorders>
            <w:vAlign w:val="center"/>
          </w:tcPr>
          <w:p>
            <w:pPr>
              <w:pStyle w:val="Style71"/>
              <w:widowControl w:val="false"/>
              <w:rPr/>
            </w:pPr>
            <w:r>
              <w:rPr/>
            </w:r>
          </w:p>
        </w:tc>
        <w:tc>
          <w:tcPr>
            <w:tcW w:w="1870" w:type="dxa"/>
            <w:tcBorders>
              <w:left w:val="single" w:sz="4" w:space="0" w:color="000000"/>
              <w:bottom w:val="single" w:sz="4" w:space="0" w:color="000000"/>
            </w:tcBorders>
            <w:vAlign w:val="center"/>
          </w:tcPr>
          <w:p>
            <w:pPr>
              <w:pStyle w:val="Style71"/>
              <w:widowControl w:val="false"/>
              <w:rPr/>
            </w:pPr>
            <w:r>
              <w:rPr/>
            </w:r>
          </w:p>
        </w:tc>
        <w:tc>
          <w:tcPr>
            <w:tcW w:w="2845" w:type="dxa"/>
            <w:tcBorders>
              <w:left w:val="single" w:sz="4" w:space="0" w:color="000000"/>
              <w:bottom w:val="single" w:sz="4" w:space="0" w:color="000000"/>
            </w:tcBorders>
            <w:vAlign w:val="center"/>
          </w:tcPr>
          <w:p>
            <w:pPr>
              <w:pStyle w:val="Style71"/>
              <w:widowControl w:val="false"/>
              <w:rPr/>
            </w:pPr>
            <w:r>
              <w:rPr/>
            </w:r>
          </w:p>
        </w:tc>
        <w:tc>
          <w:tcPr>
            <w:tcW w:w="1690"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2665" w:type="dxa"/>
            <w:tcBorders>
              <w:left w:val="single" w:sz="4" w:space="0" w:color="000000"/>
              <w:bottom w:val="single" w:sz="4" w:space="0" w:color="000000"/>
            </w:tcBorders>
            <w:vAlign w:val="center"/>
          </w:tcPr>
          <w:p>
            <w:pPr>
              <w:pStyle w:val="Style71"/>
              <w:widowControl w:val="false"/>
              <w:rPr/>
            </w:pPr>
            <w:r>
              <w:rPr/>
            </w:r>
          </w:p>
        </w:tc>
        <w:tc>
          <w:tcPr>
            <w:tcW w:w="1870" w:type="dxa"/>
            <w:tcBorders>
              <w:left w:val="single" w:sz="4" w:space="0" w:color="000000"/>
              <w:bottom w:val="single" w:sz="4" w:space="0" w:color="000000"/>
            </w:tcBorders>
            <w:vAlign w:val="center"/>
          </w:tcPr>
          <w:p>
            <w:pPr>
              <w:pStyle w:val="Style71"/>
              <w:widowControl w:val="false"/>
              <w:rPr/>
            </w:pPr>
            <w:r>
              <w:rPr/>
            </w:r>
          </w:p>
        </w:tc>
        <w:tc>
          <w:tcPr>
            <w:tcW w:w="2845" w:type="dxa"/>
            <w:tcBorders>
              <w:left w:val="single" w:sz="4" w:space="0" w:color="000000"/>
              <w:bottom w:val="single" w:sz="4" w:space="0" w:color="000000"/>
            </w:tcBorders>
            <w:vAlign w:val="center"/>
          </w:tcPr>
          <w:p>
            <w:pPr>
              <w:pStyle w:val="Style71"/>
              <w:widowControl w:val="false"/>
              <w:rPr/>
            </w:pPr>
            <w:r>
              <w:rPr/>
            </w:r>
          </w:p>
        </w:tc>
        <w:tc>
          <w:tcPr>
            <w:tcW w:w="1690"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2665" w:type="dxa"/>
            <w:tcBorders>
              <w:left w:val="single" w:sz="4" w:space="0" w:color="000000"/>
              <w:bottom w:val="single" w:sz="4" w:space="0" w:color="000000"/>
            </w:tcBorders>
            <w:vAlign w:val="center"/>
          </w:tcPr>
          <w:p>
            <w:pPr>
              <w:pStyle w:val="Style71"/>
              <w:widowControl w:val="false"/>
              <w:rPr/>
            </w:pPr>
            <w:r>
              <w:rPr/>
            </w:r>
          </w:p>
        </w:tc>
        <w:tc>
          <w:tcPr>
            <w:tcW w:w="1870" w:type="dxa"/>
            <w:tcBorders>
              <w:left w:val="single" w:sz="4" w:space="0" w:color="000000"/>
              <w:bottom w:val="single" w:sz="4" w:space="0" w:color="000000"/>
            </w:tcBorders>
            <w:vAlign w:val="center"/>
          </w:tcPr>
          <w:p>
            <w:pPr>
              <w:pStyle w:val="Style71"/>
              <w:widowControl w:val="false"/>
              <w:rPr/>
            </w:pPr>
            <w:r>
              <w:rPr/>
            </w:r>
          </w:p>
        </w:tc>
        <w:tc>
          <w:tcPr>
            <w:tcW w:w="2845" w:type="dxa"/>
            <w:tcBorders>
              <w:left w:val="single" w:sz="4" w:space="0" w:color="000000"/>
              <w:bottom w:val="single" w:sz="4" w:space="0" w:color="000000"/>
            </w:tcBorders>
            <w:vAlign w:val="center"/>
          </w:tcPr>
          <w:p>
            <w:pPr>
              <w:pStyle w:val="Style71"/>
              <w:widowControl w:val="false"/>
              <w:rPr/>
            </w:pPr>
            <w:r>
              <w:rPr/>
            </w:r>
          </w:p>
        </w:tc>
        <w:tc>
          <w:tcPr>
            <w:tcW w:w="1690"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2665" w:type="dxa"/>
            <w:tcBorders>
              <w:left w:val="single" w:sz="4" w:space="0" w:color="000000"/>
              <w:bottom w:val="single" w:sz="4" w:space="0" w:color="000000"/>
            </w:tcBorders>
            <w:vAlign w:val="center"/>
          </w:tcPr>
          <w:p>
            <w:pPr>
              <w:pStyle w:val="Style71"/>
              <w:widowControl w:val="false"/>
              <w:rPr/>
            </w:pPr>
            <w:r>
              <w:rPr/>
            </w:r>
          </w:p>
        </w:tc>
        <w:tc>
          <w:tcPr>
            <w:tcW w:w="1870" w:type="dxa"/>
            <w:tcBorders>
              <w:left w:val="single" w:sz="4" w:space="0" w:color="000000"/>
              <w:bottom w:val="single" w:sz="4" w:space="0" w:color="000000"/>
            </w:tcBorders>
            <w:vAlign w:val="center"/>
          </w:tcPr>
          <w:p>
            <w:pPr>
              <w:pStyle w:val="Style71"/>
              <w:widowControl w:val="false"/>
              <w:rPr/>
            </w:pPr>
            <w:r>
              <w:rPr/>
            </w:r>
          </w:p>
        </w:tc>
        <w:tc>
          <w:tcPr>
            <w:tcW w:w="2845" w:type="dxa"/>
            <w:tcBorders>
              <w:left w:val="single" w:sz="4" w:space="0" w:color="000000"/>
              <w:bottom w:val="single" w:sz="4" w:space="0" w:color="000000"/>
            </w:tcBorders>
            <w:vAlign w:val="center"/>
          </w:tcPr>
          <w:p>
            <w:pPr>
              <w:pStyle w:val="Style71"/>
              <w:widowControl w:val="false"/>
              <w:rPr/>
            </w:pPr>
            <w:r>
              <w:rPr/>
            </w:r>
          </w:p>
        </w:tc>
        <w:tc>
          <w:tcPr>
            <w:tcW w:w="1690"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2665" w:type="dxa"/>
            <w:tcBorders>
              <w:left w:val="single" w:sz="4" w:space="0" w:color="000000"/>
              <w:bottom w:val="single" w:sz="4" w:space="0" w:color="000000"/>
            </w:tcBorders>
            <w:vAlign w:val="center"/>
          </w:tcPr>
          <w:p>
            <w:pPr>
              <w:pStyle w:val="Style71"/>
              <w:widowControl w:val="false"/>
              <w:rPr/>
            </w:pPr>
            <w:r>
              <w:rPr/>
            </w:r>
          </w:p>
        </w:tc>
        <w:tc>
          <w:tcPr>
            <w:tcW w:w="1870" w:type="dxa"/>
            <w:tcBorders>
              <w:left w:val="single" w:sz="4" w:space="0" w:color="000000"/>
              <w:bottom w:val="single" w:sz="4" w:space="0" w:color="000000"/>
            </w:tcBorders>
            <w:vAlign w:val="center"/>
          </w:tcPr>
          <w:p>
            <w:pPr>
              <w:pStyle w:val="Style71"/>
              <w:widowControl w:val="false"/>
              <w:rPr/>
            </w:pPr>
            <w:r>
              <w:rPr/>
            </w:r>
          </w:p>
        </w:tc>
        <w:tc>
          <w:tcPr>
            <w:tcW w:w="2845" w:type="dxa"/>
            <w:tcBorders>
              <w:left w:val="single" w:sz="4" w:space="0" w:color="000000"/>
              <w:bottom w:val="single" w:sz="4" w:space="0" w:color="000000"/>
            </w:tcBorders>
            <w:vAlign w:val="center"/>
          </w:tcPr>
          <w:p>
            <w:pPr>
              <w:pStyle w:val="Style71"/>
              <w:widowControl w:val="false"/>
              <w:rPr/>
            </w:pPr>
            <w:r>
              <w:rPr/>
            </w:r>
          </w:p>
        </w:tc>
        <w:tc>
          <w:tcPr>
            <w:tcW w:w="1690"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2665" w:type="dxa"/>
            <w:tcBorders>
              <w:left w:val="single" w:sz="4" w:space="0" w:color="000000"/>
              <w:bottom w:val="single" w:sz="4" w:space="0" w:color="000000"/>
            </w:tcBorders>
          </w:tcPr>
          <w:p>
            <w:pPr>
              <w:pStyle w:val="Style71"/>
              <w:widowControl w:val="false"/>
              <w:rPr/>
            </w:pPr>
            <w:r>
              <w:rPr/>
            </w:r>
          </w:p>
        </w:tc>
        <w:tc>
          <w:tcPr>
            <w:tcW w:w="1870" w:type="dxa"/>
            <w:tcBorders>
              <w:left w:val="single" w:sz="4" w:space="0" w:color="000000"/>
              <w:bottom w:val="single" w:sz="4" w:space="0" w:color="000000"/>
            </w:tcBorders>
          </w:tcPr>
          <w:p>
            <w:pPr>
              <w:pStyle w:val="Style71"/>
              <w:widowControl w:val="false"/>
              <w:rPr/>
            </w:pPr>
            <w:r>
              <w:rPr/>
            </w:r>
          </w:p>
        </w:tc>
        <w:tc>
          <w:tcPr>
            <w:tcW w:w="2845" w:type="dxa"/>
            <w:tcBorders>
              <w:left w:val="single" w:sz="4" w:space="0" w:color="000000"/>
              <w:bottom w:val="single" w:sz="4" w:space="0" w:color="000000"/>
            </w:tcBorders>
          </w:tcPr>
          <w:p>
            <w:pPr>
              <w:pStyle w:val="Style71"/>
              <w:widowControl w:val="false"/>
              <w:rPr/>
            </w:pPr>
            <w:r>
              <w:rPr/>
            </w:r>
          </w:p>
        </w:tc>
        <w:tc>
          <w:tcPr>
            <w:tcW w:w="1690" w:type="dxa"/>
            <w:tcBorders>
              <w:left w:val="single" w:sz="4" w:space="0" w:color="000000"/>
              <w:bottom w:val="single" w:sz="4" w:space="0" w:color="000000"/>
              <w:right w:val="single" w:sz="4" w:space="0" w:color="000000"/>
            </w:tcBorders>
          </w:tcPr>
          <w:p>
            <w:pPr>
              <w:pStyle w:val="Style71"/>
              <w:widowControl w:val="false"/>
              <w:rPr/>
            </w:pPr>
            <w:r>
              <w:rPr/>
            </w:r>
          </w:p>
        </w:tc>
      </w:tr>
    </w:tbl>
    <w:p>
      <w:pPr>
        <w:pStyle w:val="Normal"/>
        <w:spacing w:lineRule="auto" w:line="240" w:before="0" w:after="0"/>
        <w:ind w:left="0" w:right="0" w:hanging="0"/>
        <w:jc w:val="left"/>
        <w:rPr>
          <w:rFonts w:ascii="Times New Roman" w:hAnsi="Times New Roman" w:cs="Times New Roman"/>
          <w:szCs w:val="32"/>
        </w:rPr>
      </w:pPr>
      <w:r>
        <w:rPr>
          <w:rFonts w:cs="Times New Roman" w:ascii="Times New Roman" w:hAnsi="Times New Roman"/>
          <w:szCs w:val="32"/>
        </w:rPr>
      </w:r>
      <w:r>
        <w:br w:type="page"/>
      </w:r>
    </w:p>
    <w:tbl>
      <w:tblPr>
        <w:tblW w:w="5000" w:type="pct"/>
        <w:jc w:val="left"/>
        <w:tblInd w:w="-5" w:type="dxa"/>
        <w:tblLayout w:type="fixed"/>
        <w:tblCellMar>
          <w:top w:w="55" w:type="dxa"/>
          <w:left w:w="55" w:type="dxa"/>
          <w:bottom w:w="55" w:type="dxa"/>
          <w:right w:w="55" w:type="dxa"/>
        </w:tblCellMar>
      </w:tblPr>
      <w:tblGrid>
        <w:gridCol w:w="1922"/>
        <w:gridCol w:w="3350"/>
        <w:gridCol w:w="2500"/>
        <w:gridCol w:w="1298"/>
      </w:tblGrid>
      <w:tr>
        <w:trPr/>
        <w:tc>
          <w:tcPr>
            <w:tcW w:w="1922" w:type="dxa"/>
            <w:tcBorders>
              <w:top w:val="single" w:sz="4" w:space="0" w:color="000000"/>
              <w:left w:val="single" w:sz="4" w:space="0" w:color="000000"/>
              <w:bottom w:val="single" w:sz="4" w:space="0" w:color="000000"/>
            </w:tcBorders>
            <w:vAlign w:val="center"/>
          </w:tcPr>
          <w:p>
            <w:pPr>
              <w:pStyle w:val="Style71"/>
              <w:pageBreakBefore/>
              <w:widowControl w:val="false"/>
              <w:jc w:val="center"/>
              <w:rPr>
                <w:rFonts w:ascii="Times New Roman" w:hAnsi="Times New Roman"/>
              </w:rPr>
            </w:pPr>
            <w:r>
              <w:rPr>
                <w:rFonts w:ascii="Times New Roman" w:hAnsi="Times New Roman"/>
              </w:rPr>
              <w:t>Дата осмотра</w:t>
            </w:r>
          </w:p>
        </w:tc>
        <w:tc>
          <w:tcPr>
            <w:tcW w:w="3350" w:type="dxa"/>
            <w:tcBorders>
              <w:top w:val="single" w:sz="4" w:space="0" w:color="000000"/>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Наименование объектов осмотра, повреждений (дефектов, процессов, явлений)</w:t>
            </w:r>
          </w:p>
        </w:tc>
        <w:tc>
          <w:tcPr>
            <w:tcW w:w="2500" w:type="dxa"/>
            <w:tcBorders>
              <w:top w:val="single" w:sz="4" w:space="0" w:color="000000"/>
              <w:left w:val="single" w:sz="4" w:space="0" w:color="000000"/>
              <w:bottom w:val="single" w:sz="4" w:space="0" w:color="000000"/>
            </w:tcBorders>
            <w:vAlign w:val="center"/>
          </w:tcPr>
          <w:p>
            <w:pPr>
              <w:pStyle w:val="Style71"/>
              <w:widowControl w:val="false"/>
              <w:jc w:val="center"/>
              <w:rPr>
                <w:rFonts w:ascii="Times New Roman" w:hAnsi="Times New Roman"/>
              </w:rPr>
            </w:pPr>
            <w:r>
              <w:rPr>
                <w:rFonts w:ascii="Times New Roman" w:hAnsi="Times New Roman"/>
              </w:rPr>
              <w:t>Результаты наблюдения, фамилия и подпись наблюдателя</w:t>
            </w:r>
          </w:p>
        </w:tc>
        <w:tc>
          <w:tcPr>
            <w:tcW w:w="1298" w:type="dxa"/>
            <w:tcBorders>
              <w:top w:val="single" w:sz="4" w:space="0" w:color="000000"/>
              <w:left w:val="single" w:sz="4" w:space="0" w:color="000000"/>
              <w:bottom w:val="single" w:sz="4" w:space="0" w:color="000000"/>
              <w:right w:val="single" w:sz="4" w:space="0" w:color="000000"/>
            </w:tcBorders>
            <w:vAlign w:val="center"/>
          </w:tcPr>
          <w:p>
            <w:pPr>
              <w:pStyle w:val="Style71"/>
              <w:widowControl w:val="false"/>
              <w:jc w:val="center"/>
              <w:rPr>
                <w:rFonts w:ascii="Times New Roman" w:hAnsi="Times New Roman"/>
              </w:rPr>
            </w:pPr>
            <w:r>
              <w:rPr>
                <w:rFonts w:ascii="Times New Roman" w:hAnsi="Times New Roman"/>
              </w:rPr>
              <w:t>Примечание</w:t>
            </w:r>
          </w:p>
        </w:tc>
      </w:tr>
      <w:tr>
        <w:trPr/>
        <w:tc>
          <w:tcPr>
            <w:tcW w:w="1922" w:type="dxa"/>
            <w:tcBorders>
              <w:left w:val="single" w:sz="4" w:space="0" w:color="000000"/>
              <w:bottom w:val="single" w:sz="4" w:space="0" w:color="000000"/>
            </w:tcBorders>
            <w:vAlign w:val="center"/>
          </w:tcPr>
          <w:p>
            <w:pPr>
              <w:pStyle w:val="Style71"/>
              <w:widowControl w:val="false"/>
              <w:rPr/>
            </w:pPr>
            <w:r>
              <w:rPr/>
            </w:r>
          </w:p>
        </w:tc>
        <w:tc>
          <w:tcPr>
            <w:tcW w:w="3350" w:type="dxa"/>
            <w:tcBorders>
              <w:left w:val="single" w:sz="4" w:space="0" w:color="000000"/>
              <w:bottom w:val="single" w:sz="4" w:space="0" w:color="000000"/>
            </w:tcBorders>
            <w:vAlign w:val="center"/>
          </w:tcPr>
          <w:p>
            <w:pPr>
              <w:pStyle w:val="Style71"/>
              <w:widowControl w:val="false"/>
              <w:rPr/>
            </w:pPr>
            <w:r>
              <w:rPr/>
            </w:r>
          </w:p>
        </w:tc>
        <w:tc>
          <w:tcPr>
            <w:tcW w:w="2500" w:type="dxa"/>
            <w:tcBorders>
              <w:left w:val="single" w:sz="4" w:space="0" w:color="000000"/>
              <w:bottom w:val="single" w:sz="4" w:space="0" w:color="000000"/>
            </w:tcBorders>
            <w:vAlign w:val="center"/>
          </w:tcPr>
          <w:p>
            <w:pPr>
              <w:pStyle w:val="Style71"/>
              <w:widowControl w:val="false"/>
              <w:rPr/>
            </w:pPr>
            <w:r>
              <w:rPr/>
            </w:r>
          </w:p>
        </w:tc>
        <w:tc>
          <w:tcPr>
            <w:tcW w:w="1298"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1922" w:type="dxa"/>
            <w:tcBorders>
              <w:left w:val="single" w:sz="4" w:space="0" w:color="000000"/>
              <w:bottom w:val="single" w:sz="4" w:space="0" w:color="000000"/>
            </w:tcBorders>
            <w:vAlign w:val="center"/>
          </w:tcPr>
          <w:p>
            <w:pPr>
              <w:pStyle w:val="Style71"/>
              <w:widowControl w:val="false"/>
              <w:rPr/>
            </w:pPr>
            <w:r>
              <w:rPr/>
            </w:r>
          </w:p>
        </w:tc>
        <w:tc>
          <w:tcPr>
            <w:tcW w:w="3350" w:type="dxa"/>
            <w:tcBorders>
              <w:left w:val="single" w:sz="4" w:space="0" w:color="000000"/>
              <w:bottom w:val="single" w:sz="4" w:space="0" w:color="000000"/>
            </w:tcBorders>
            <w:vAlign w:val="center"/>
          </w:tcPr>
          <w:p>
            <w:pPr>
              <w:pStyle w:val="Style71"/>
              <w:widowControl w:val="false"/>
              <w:rPr/>
            </w:pPr>
            <w:r>
              <w:rPr/>
            </w:r>
          </w:p>
        </w:tc>
        <w:tc>
          <w:tcPr>
            <w:tcW w:w="2500" w:type="dxa"/>
            <w:tcBorders>
              <w:left w:val="single" w:sz="4" w:space="0" w:color="000000"/>
              <w:bottom w:val="single" w:sz="4" w:space="0" w:color="000000"/>
            </w:tcBorders>
            <w:vAlign w:val="center"/>
          </w:tcPr>
          <w:p>
            <w:pPr>
              <w:pStyle w:val="Style71"/>
              <w:widowControl w:val="false"/>
              <w:rPr/>
            </w:pPr>
            <w:r>
              <w:rPr/>
            </w:r>
          </w:p>
        </w:tc>
        <w:tc>
          <w:tcPr>
            <w:tcW w:w="1298"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1922" w:type="dxa"/>
            <w:tcBorders>
              <w:left w:val="single" w:sz="4" w:space="0" w:color="000000"/>
              <w:bottom w:val="single" w:sz="4" w:space="0" w:color="000000"/>
            </w:tcBorders>
            <w:vAlign w:val="center"/>
          </w:tcPr>
          <w:p>
            <w:pPr>
              <w:pStyle w:val="Style71"/>
              <w:widowControl w:val="false"/>
              <w:rPr/>
            </w:pPr>
            <w:r>
              <w:rPr/>
            </w:r>
          </w:p>
        </w:tc>
        <w:tc>
          <w:tcPr>
            <w:tcW w:w="3350" w:type="dxa"/>
            <w:tcBorders>
              <w:left w:val="single" w:sz="4" w:space="0" w:color="000000"/>
              <w:bottom w:val="single" w:sz="4" w:space="0" w:color="000000"/>
            </w:tcBorders>
            <w:vAlign w:val="center"/>
          </w:tcPr>
          <w:p>
            <w:pPr>
              <w:pStyle w:val="Style71"/>
              <w:widowControl w:val="false"/>
              <w:rPr/>
            </w:pPr>
            <w:r>
              <w:rPr/>
            </w:r>
          </w:p>
        </w:tc>
        <w:tc>
          <w:tcPr>
            <w:tcW w:w="2500" w:type="dxa"/>
            <w:tcBorders>
              <w:left w:val="single" w:sz="4" w:space="0" w:color="000000"/>
              <w:bottom w:val="single" w:sz="4" w:space="0" w:color="000000"/>
            </w:tcBorders>
            <w:vAlign w:val="center"/>
          </w:tcPr>
          <w:p>
            <w:pPr>
              <w:pStyle w:val="Style71"/>
              <w:widowControl w:val="false"/>
              <w:rPr/>
            </w:pPr>
            <w:r>
              <w:rPr/>
            </w:r>
          </w:p>
        </w:tc>
        <w:tc>
          <w:tcPr>
            <w:tcW w:w="1298"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1922" w:type="dxa"/>
            <w:tcBorders>
              <w:left w:val="single" w:sz="4" w:space="0" w:color="000000"/>
              <w:bottom w:val="single" w:sz="4" w:space="0" w:color="000000"/>
            </w:tcBorders>
            <w:vAlign w:val="center"/>
          </w:tcPr>
          <w:p>
            <w:pPr>
              <w:pStyle w:val="Style71"/>
              <w:widowControl w:val="false"/>
              <w:rPr/>
            </w:pPr>
            <w:r>
              <w:rPr/>
            </w:r>
          </w:p>
        </w:tc>
        <w:tc>
          <w:tcPr>
            <w:tcW w:w="3350" w:type="dxa"/>
            <w:tcBorders>
              <w:left w:val="single" w:sz="4" w:space="0" w:color="000000"/>
              <w:bottom w:val="single" w:sz="4" w:space="0" w:color="000000"/>
            </w:tcBorders>
            <w:vAlign w:val="center"/>
          </w:tcPr>
          <w:p>
            <w:pPr>
              <w:pStyle w:val="Style71"/>
              <w:widowControl w:val="false"/>
              <w:rPr/>
            </w:pPr>
            <w:r>
              <w:rPr/>
            </w:r>
          </w:p>
        </w:tc>
        <w:tc>
          <w:tcPr>
            <w:tcW w:w="2500" w:type="dxa"/>
            <w:tcBorders>
              <w:left w:val="single" w:sz="4" w:space="0" w:color="000000"/>
              <w:bottom w:val="single" w:sz="4" w:space="0" w:color="000000"/>
            </w:tcBorders>
            <w:vAlign w:val="center"/>
          </w:tcPr>
          <w:p>
            <w:pPr>
              <w:pStyle w:val="Style71"/>
              <w:widowControl w:val="false"/>
              <w:rPr/>
            </w:pPr>
            <w:r>
              <w:rPr/>
            </w:r>
          </w:p>
        </w:tc>
        <w:tc>
          <w:tcPr>
            <w:tcW w:w="1298"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1922" w:type="dxa"/>
            <w:tcBorders>
              <w:left w:val="single" w:sz="4" w:space="0" w:color="000000"/>
              <w:bottom w:val="single" w:sz="4" w:space="0" w:color="000000"/>
            </w:tcBorders>
            <w:vAlign w:val="center"/>
          </w:tcPr>
          <w:p>
            <w:pPr>
              <w:pStyle w:val="Style71"/>
              <w:widowControl w:val="false"/>
              <w:rPr/>
            </w:pPr>
            <w:r>
              <w:rPr/>
            </w:r>
          </w:p>
        </w:tc>
        <w:tc>
          <w:tcPr>
            <w:tcW w:w="3350" w:type="dxa"/>
            <w:tcBorders>
              <w:left w:val="single" w:sz="4" w:space="0" w:color="000000"/>
              <w:bottom w:val="single" w:sz="4" w:space="0" w:color="000000"/>
            </w:tcBorders>
            <w:vAlign w:val="center"/>
          </w:tcPr>
          <w:p>
            <w:pPr>
              <w:pStyle w:val="Style71"/>
              <w:widowControl w:val="false"/>
              <w:rPr/>
            </w:pPr>
            <w:r>
              <w:rPr/>
            </w:r>
          </w:p>
        </w:tc>
        <w:tc>
          <w:tcPr>
            <w:tcW w:w="2500" w:type="dxa"/>
            <w:tcBorders>
              <w:left w:val="single" w:sz="4" w:space="0" w:color="000000"/>
              <w:bottom w:val="single" w:sz="4" w:space="0" w:color="000000"/>
            </w:tcBorders>
            <w:vAlign w:val="center"/>
          </w:tcPr>
          <w:p>
            <w:pPr>
              <w:pStyle w:val="Style71"/>
              <w:widowControl w:val="false"/>
              <w:rPr/>
            </w:pPr>
            <w:r>
              <w:rPr/>
            </w:r>
          </w:p>
        </w:tc>
        <w:tc>
          <w:tcPr>
            <w:tcW w:w="1298" w:type="dxa"/>
            <w:tcBorders>
              <w:left w:val="single" w:sz="4" w:space="0" w:color="000000"/>
              <w:bottom w:val="single" w:sz="4" w:space="0" w:color="000000"/>
              <w:right w:val="single" w:sz="4" w:space="0" w:color="000000"/>
            </w:tcBorders>
            <w:vAlign w:val="center"/>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3350" w:type="dxa"/>
            <w:tcBorders>
              <w:left w:val="single" w:sz="4" w:space="0" w:color="000000"/>
              <w:bottom w:val="single" w:sz="4" w:space="0" w:color="000000"/>
            </w:tcBorders>
          </w:tcPr>
          <w:p>
            <w:pPr>
              <w:pStyle w:val="Style71"/>
              <w:widowControl w:val="false"/>
              <w:rPr/>
            </w:pPr>
            <w:r>
              <w:rPr/>
            </w:r>
          </w:p>
        </w:tc>
        <w:tc>
          <w:tcPr>
            <w:tcW w:w="2500"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3350" w:type="dxa"/>
            <w:tcBorders>
              <w:left w:val="single" w:sz="4" w:space="0" w:color="000000"/>
              <w:bottom w:val="single" w:sz="4" w:space="0" w:color="000000"/>
            </w:tcBorders>
          </w:tcPr>
          <w:p>
            <w:pPr>
              <w:pStyle w:val="Style71"/>
              <w:widowControl w:val="false"/>
              <w:rPr/>
            </w:pPr>
            <w:r>
              <w:rPr/>
            </w:r>
          </w:p>
        </w:tc>
        <w:tc>
          <w:tcPr>
            <w:tcW w:w="2500"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3350" w:type="dxa"/>
            <w:tcBorders>
              <w:left w:val="single" w:sz="4" w:space="0" w:color="000000"/>
              <w:bottom w:val="single" w:sz="4" w:space="0" w:color="000000"/>
            </w:tcBorders>
          </w:tcPr>
          <w:p>
            <w:pPr>
              <w:pStyle w:val="Style71"/>
              <w:widowControl w:val="false"/>
              <w:rPr/>
            </w:pPr>
            <w:r>
              <w:rPr/>
            </w:r>
          </w:p>
        </w:tc>
        <w:tc>
          <w:tcPr>
            <w:tcW w:w="2500"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3350" w:type="dxa"/>
            <w:tcBorders>
              <w:left w:val="single" w:sz="4" w:space="0" w:color="000000"/>
              <w:bottom w:val="single" w:sz="4" w:space="0" w:color="000000"/>
            </w:tcBorders>
          </w:tcPr>
          <w:p>
            <w:pPr>
              <w:pStyle w:val="Style71"/>
              <w:widowControl w:val="false"/>
              <w:rPr/>
            </w:pPr>
            <w:r>
              <w:rPr/>
            </w:r>
          </w:p>
        </w:tc>
        <w:tc>
          <w:tcPr>
            <w:tcW w:w="2500"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3350" w:type="dxa"/>
            <w:tcBorders>
              <w:left w:val="single" w:sz="4" w:space="0" w:color="000000"/>
              <w:bottom w:val="single" w:sz="4" w:space="0" w:color="000000"/>
            </w:tcBorders>
          </w:tcPr>
          <w:p>
            <w:pPr>
              <w:pStyle w:val="Style71"/>
              <w:widowControl w:val="false"/>
              <w:rPr/>
            </w:pPr>
            <w:r>
              <w:rPr/>
            </w:r>
          </w:p>
        </w:tc>
        <w:tc>
          <w:tcPr>
            <w:tcW w:w="2500"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3350" w:type="dxa"/>
            <w:tcBorders>
              <w:left w:val="single" w:sz="4" w:space="0" w:color="000000"/>
              <w:bottom w:val="single" w:sz="4" w:space="0" w:color="000000"/>
            </w:tcBorders>
          </w:tcPr>
          <w:p>
            <w:pPr>
              <w:pStyle w:val="Style71"/>
              <w:widowControl w:val="false"/>
              <w:rPr/>
            </w:pPr>
            <w:r>
              <w:rPr/>
            </w:r>
          </w:p>
        </w:tc>
        <w:tc>
          <w:tcPr>
            <w:tcW w:w="2500"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3350" w:type="dxa"/>
            <w:tcBorders>
              <w:left w:val="single" w:sz="4" w:space="0" w:color="000000"/>
              <w:bottom w:val="single" w:sz="4" w:space="0" w:color="000000"/>
            </w:tcBorders>
          </w:tcPr>
          <w:p>
            <w:pPr>
              <w:pStyle w:val="Style71"/>
              <w:widowControl w:val="false"/>
              <w:rPr/>
            </w:pPr>
            <w:r>
              <w:rPr/>
            </w:r>
          </w:p>
        </w:tc>
        <w:tc>
          <w:tcPr>
            <w:tcW w:w="2500"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3350" w:type="dxa"/>
            <w:tcBorders>
              <w:left w:val="single" w:sz="4" w:space="0" w:color="000000"/>
              <w:bottom w:val="single" w:sz="4" w:space="0" w:color="000000"/>
            </w:tcBorders>
          </w:tcPr>
          <w:p>
            <w:pPr>
              <w:pStyle w:val="Style71"/>
              <w:widowControl w:val="false"/>
              <w:rPr/>
            </w:pPr>
            <w:r>
              <w:rPr/>
            </w:r>
          </w:p>
        </w:tc>
        <w:tc>
          <w:tcPr>
            <w:tcW w:w="2500"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3350" w:type="dxa"/>
            <w:tcBorders>
              <w:left w:val="single" w:sz="4" w:space="0" w:color="000000"/>
              <w:bottom w:val="single" w:sz="4" w:space="0" w:color="000000"/>
            </w:tcBorders>
          </w:tcPr>
          <w:p>
            <w:pPr>
              <w:pStyle w:val="Style71"/>
              <w:widowControl w:val="false"/>
              <w:rPr/>
            </w:pPr>
            <w:r>
              <w:rPr/>
            </w:r>
          </w:p>
        </w:tc>
        <w:tc>
          <w:tcPr>
            <w:tcW w:w="2500"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3350" w:type="dxa"/>
            <w:tcBorders>
              <w:left w:val="single" w:sz="4" w:space="0" w:color="000000"/>
              <w:bottom w:val="single" w:sz="4" w:space="0" w:color="000000"/>
            </w:tcBorders>
          </w:tcPr>
          <w:p>
            <w:pPr>
              <w:pStyle w:val="Style71"/>
              <w:widowControl w:val="false"/>
              <w:rPr/>
            </w:pPr>
            <w:r>
              <w:rPr/>
            </w:r>
          </w:p>
        </w:tc>
        <w:tc>
          <w:tcPr>
            <w:tcW w:w="2500"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3350" w:type="dxa"/>
            <w:tcBorders>
              <w:left w:val="single" w:sz="4" w:space="0" w:color="000000"/>
              <w:bottom w:val="single" w:sz="4" w:space="0" w:color="000000"/>
            </w:tcBorders>
          </w:tcPr>
          <w:p>
            <w:pPr>
              <w:pStyle w:val="Style71"/>
              <w:widowControl w:val="false"/>
              <w:rPr/>
            </w:pPr>
            <w:r>
              <w:rPr/>
            </w:r>
          </w:p>
        </w:tc>
        <w:tc>
          <w:tcPr>
            <w:tcW w:w="2500"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3350" w:type="dxa"/>
            <w:tcBorders>
              <w:left w:val="single" w:sz="4" w:space="0" w:color="000000"/>
              <w:bottom w:val="single" w:sz="4" w:space="0" w:color="000000"/>
            </w:tcBorders>
          </w:tcPr>
          <w:p>
            <w:pPr>
              <w:pStyle w:val="Style71"/>
              <w:widowControl w:val="false"/>
              <w:rPr/>
            </w:pPr>
            <w:r>
              <w:rPr/>
            </w:r>
          </w:p>
        </w:tc>
        <w:tc>
          <w:tcPr>
            <w:tcW w:w="2500"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3350" w:type="dxa"/>
            <w:tcBorders>
              <w:left w:val="single" w:sz="4" w:space="0" w:color="000000"/>
              <w:bottom w:val="single" w:sz="4" w:space="0" w:color="000000"/>
            </w:tcBorders>
          </w:tcPr>
          <w:p>
            <w:pPr>
              <w:pStyle w:val="Style71"/>
              <w:widowControl w:val="false"/>
              <w:rPr/>
            </w:pPr>
            <w:r>
              <w:rPr/>
            </w:r>
          </w:p>
        </w:tc>
        <w:tc>
          <w:tcPr>
            <w:tcW w:w="2500"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3350" w:type="dxa"/>
            <w:tcBorders>
              <w:left w:val="single" w:sz="4" w:space="0" w:color="000000"/>
              <w:bottom w:val="single" w:sz="4" w:space="0" w:color="000000"/>
            </w:tcBorders>
          </w:tcPr>
          <w:p>
            <w:pPr>
              <w:pStyle w:val="Style71"/>
              <w:widowControl w:val="false"/>
              <w:rPr/>
            </w:pPr>
            <w:r>
              <w:rPr/>
            </w:r>
          </w:p>
        </w:tc>
        <w:tc>
          <w:tcPr>
            <w:tcW w:w="2500"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3350" w:type="dxa"/>
            <w:tcBorders>
              <w:left w:val="single" w:sz="4" w:space="0" w:color="000000"/>
              <w:bottom w:val="single" w:sz="4" w:space="0" w:color="000000"/>
            </w:tcBorders>
          </w:tcPr>
          <w:p>
            <w:pPr>
              <w:pStyle w:val="Style71"/>
              <w:widowControl w:val="false"/>
              <w:rPr/>
            </w:pPr>
            <w:r>
              <w:rPr/>
            </w:r>
          </w:p>
        </w:tc>
        <w:tc>
          <w:tcPr>
            <w:tcW w:w="2500"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3350" w:type="dxa"/>
            <w:tcBorders>
              <w:left w:val="single" w:sz="4" w:space="0" w:color="000000"/>
              <w:bottom w:val="single" w:sz="4" w:space="0" w:color="000000"/>
            </w:tcBorders>
          </w:tcPr>
          <w:p>
            <w:pPr>
              <w:pStyle w:val="Style71"/>
              <w:widowControl w:val="false"/>
              <w:rPr/>
            </w:pPr>
            <w:r>
              <w:rPr/>
            </w:r>
          </w:p>
        </w:tc>
        <w:tc>
          <w:tcPr>
            <w:tcW w:w="2500"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3350" w:type="dxa"/>
            <w:tcBorders>
              <w:left w:val="single" w:sz="4" w:space="0" w:color="000000"/>
              <w:bottom w:val="single" w:sz="4" w:space="0" w:color="000000"/>
            </w:tcBorders>
          </w:tcPr>
          <w:p>
            <w:pPr>
              <w:pStyle w:val="Style71"/>
              <w:widowControl w:val="false"/>
              <w:rPr/>
            </w:pPr>
            <w:r>
              <w:rPr/>
            </w:r>
          </w:p>
        </w:tc>
        <w:tc>
          <w:tcPr>
            <w:tcW w:w="2500"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3350" w:type="dxa"/>
            <w:tcBorders>
              <w:left w:val="single" w:sz="4" w:space="0" w:color="000000"/>
              <w:bottom w:val="single" w:sz="4" w:space="0" w:color="000000"/>
            </w:tcBorders>
          </w:tcPr>
          <w:p>
            <w:pPr>
              <w:pStyle w:val="Style71"/>
              <w:widowControl w:val="false"/>
              <w:rPr/>
            </w:pPr>
            <w:r>
              <w:rPr/>
            </w:r>
          </w:p>
        </w:tc>
        <w:tc>
          <w:tcPr>
            <w:tcW w:w="2500"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3350" w:type="dxa"/>
            <w:tcBorders>
              <w:left w:val="single" w:sz="4" w:space="0" w:color="000000"/>
              <w:bottom w:val="single" w:sz="4" w:space="0" w:color="000000"/>
            </w:tcBorders>
          </w:tcPr>
          <w:p>
            <w:pPr>
              <w:pStyle w:val="Style71"/>
              <w:widowControl w:val="false"/>
              <w:rPr/>
            </w:pPr>
            <w:r>
              <w:rPr/>
            </w:r>
          </w:p>
        </w:tc>
        <w:tc>
          <w:tcPr>
            <w:tcW w:w="2500"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3350" w:type="dxa"/>
            <w:tcBorders>
              <w:left w:val="single" w:sz="4" w:space="0" w:color="000000"/>
              <w:bottom w:val="single" w:sz="4" w:space="0" w:color="000000"/>
            </w:tcBorders>
          </w:tcPr>
          <w:p>
            <w:pPr>
              <w:pStyle w:val="Style71"/>
              <w:widowControl w:val="false"/>
              <w:rPr/>
            </w:pPr>
            <w:r>
              <w:rPr/>
            </w:r>
          </w:p>
        </w:tc>
        <w:tc>
          <w:tcPr>
            <w:tcW w:w="2500"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3350" w:type="dxa"/>
            <w:tcBorders>
              <w:left w:val="single" w:sz="4" w:space="0" w:color="000000"/>
              <w:bottom w:val="single" w:sz="4" w:space="0" w:color="000000"/>
            </w:tcBorders>
          </w:tcPr>
          <w:p>
            <w:pPr>
              <w:pStyle w:val="Style71"/>
              <w:widowControl w:val="false"/>
              <w:rPr/>
            </w:pPr>
            <w:r>
              <w:rPr/>
            </w:r>
          </w:p>
        </w:tc>
        <w:tc>
          <w:tcPr>
            <w:tcW w:w="2500"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3350" w:type="dxa"/>
            <w:tcBorders>
              <w:left w:val="single" w:sz="4" w:space="0" w:color="000000"/>
              <w:bottom w:val="single" w:sz="4" w:space="0" w:color="000000"/>
            </w:tcBorders>
          </w:tcPr>
          <w:p>
            <w:pPr>
              <w:pStyle w:val="Style71"/>
              <w:widowControl w:val="false"/>
              <w:rPr/>
            </w:pPr>
            <w:r>
              <w:rPr/>
            </w:r>
          </w:p>
        </w:tc>
        <w:tc>
          <w:tcPr>
            <w:tcW w:w="2500"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3350" w:type="dxa"/>
            <w:tcBorders>
              <w:left w:val="single" w:sz="4" w:space="0" w:color="000000"/>
              <w:bottom w:val="single" w:sz="4" w:space="0" w:color="000000"/>
            </w:tcBorders>
          </w:tcPr>
          <w:p>
            <w:pPr>
              <w:pStyle w:val="Style71"/>
              <w:widowControl w:val="false"/>
              <w:rPr/>
            </w:pPr>
            <w:r>
              <w:rPr/>
            </w:r>
          </w:p>
        </w:tc>
        <w:tc>
          <w:tcPr>
            <w:tcW w:w="2500"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3350" w:type="dxa"/>
            <w:tcBorders>
              <w:left w:val="single" w:sz="4" w:space="0" w:color="000000"/>
              <w:bottom w:val="single" w:sz="4" w:space="0" w:color="000000"/>
            </w:tcBorders>
          </w:tcPr>
          <w:p>
            <w:pPr>
              <w:pStyle w:val="Style71"/>
              <w:widowControl w:val="false"/>
              <w:rPr/>
            </w:pPr>
            <w:r>
              <w:rPr/>
            </w:r>
          </w:p>
        </w:tc>
        <w:tc>
          <w:tcPr>
            <w:tcW w:w="2500"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3350" w:type="dxa"/>
            <w:tcBorders>
              <w:left w:val="single" w:sz="4" w:space="0" w:color="000000"/>
              <w:bottom w:val="single" w:sz="4" w:space="0" w:color="000000"/>
            </w:tcBorders>
          </w:tcPr>
          <w:p>
            <w:pPr>
              <w:pStyle w:val="Style71"/>
              <w:widowControl w:val="false"/>
              <w:rPr/>
            </w:pPr>
            <w:r>
              <w:rPr/>
            </w:r>
          </w:p>
        </w:tc>
        <w:tc>
          <w:tcPr>
            <w:tcW w:w="2500"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r>
        <w:trPr/>
        <w:tc>
          <w:tcPr>
            <w:tcW w:w="1922" w:type="dxa"/>
            <w:tcBorders>
              <w:left w:val="single" w:sz="4" w:space="0" w:color="000000"/>
              <w:bottom w:val="single" w:sz="4" w:space="0" w:color="000000"/>
            </w:tcBorders>
          </w:tcPr>
          <w:p>
            <w:pPr>
              <w:pStyle w:val="Style71"/>
              <w:widowControl w:val="false"/>
              <w:rPr/>
            </w:pPr>
            <w:r>
              <w:rPr/>
            </w:r>
          </w:p>
        </w:tc>
        <w:tc>
          <w:tcPr>
            <w:tcW w:w="3350" w:type="dxa"/>
            <w:tcBorders>
              <w:left w:val="single" w:sz="4" w:space="0" w:color="000000"/>
              <w:bottom w:val="single" w:sz="4" w:space="0" w:color="000000"/>
            </w:tcBorders>
          </w:tcPr>
          <w:p>
            <w:pPr>
              <w:pStyle w:val="Style71"/>
              <w:widowControl w:val="false"/>
              <w:rPr/>
            </w:pPr>
            <w:r>
              <w:rPr/>
            </w:r>
          </w:p>
        </w:tc>
        <w:tc>
          <w:tcPr>
            <w:tcW w:w="2500" w:type="dxa"/>
            <w:tcBorders>
              <w:left w:val="single" w:sz="4" w:space="0" w:color="000000"/>
              <w:bottom w:val="single" w:sz="4" w:space="0" w:color="000000"/>
            </w:tcBorders>
          </w:tcPr>
          <w:p>
            <w:pPr>
              <w:pStyle w:val="Style71"/>
              <w:widowControl w:val="false"/>
              <w:rPr/>
            </w:pPr>
            <w:r>
              <w:rPr/>
            </w:r>
          </w:p>
        </w:tc>
        <w:tc>
          <w:tcPr>
            <w:tcW w:w="1298" w:type="dxa"/>
            <w:tcBorders>
              <w:left w:val="single" w:sz="4" w:space="0" w:color="000000"/>
              <w:bottom w:val="single" w:sz="4" w:space="0" w:color="000000"/>
              <w:right w:val="single" w:sz="4" w:space="0" w:color="000000"/>
            </w:tcBorders>
          </w:tcPr>
          <w:p>
            <w:pPr>
              <w:pStyle w:val="Style71"/>
              <w:widowControl w:val="false"/>
              <w:rPr/>
            </w:pPr>
            <w:r>
              <w:rPr/>
            </w:r>
          </w:p>
        </w:tc>
      </w:tr>
    </w:tbl>
    <w:p>
      <w:pPr>
        <w:pStyle w:val="Normal"/>
        <w:widowControl/>
        <w:suppressAutoHyphens w:val="true"/>
        <w:bidi w:val="0"/>
        <w:spacing w:lineRule="auto" w:line="240" w:before="0" w:after="0"/>
        <w:ind w:left="0" w:right="0" w:hanging="0"/>
        <w:jc w:val="left"/>
        <w:rPr>
          <w:rFonts w:ascii="Times New Roman" w:hAnsi="Times New Roman"/>
          <w:sz w:val="24"/>
          <w:szCs w:val="24"/>
        </w:rPr>
      </w:pPr>
      <w:r>
        <w:rPr>
          <w:rFonts w:ascii="Times New Roman" w:hAnsi="Times New Roman"/>
          <w:sz w:val="24"/>
          <w:szCs w:val="24"/>
        </w:rPr>
      </w:r>
    </w:p>
    <w:p>
      <w:pPr>
        <w:pStyle w:val="Normal"/>
        <w:widowControl/>
        <w:suppressAutoHyphens w:val="true"/>
        <w:bidi w:val="0"/>
        <w:spacing w:lineRule="auto" w:line="240" w:before="0" w:after="0"/>
        <w:ind w:left="0" w:right="0" w:hanging="0"/>
        <w:jc w:val="left"/>
        <w:rPr>
          <w:rFonts w:ascii="Times New Roman" w:hAnsi="Times New Roman"/>
          <w:sz w:val="24"/>
          <w:szCs w:val="24"/>
        </w:rPr>
      </w:pPr>
      <w:r>
        <w:rPr>
          <w:rFonts w:ascii="Times New Roman" w:hAnsi="Times New Roman"/>
          <w:sz w:val="24"/>
          <w:szCs w:val="24"/>
        </w:rPr>
        <w:t>Подпись наблюдателя: _____________________ ФИО наблюдателя: ________________</w:t>
      </w:r>
    </w:p>
    <w:p>
      <w:pPr>
        <w:pStyle w:val="Normal"/>
        <w:widowControl/>
        <w:suppressAutoHyphens w:val="true"/>
        <w:bidi w:val="0"/>
        <w:spacing w:lineRule="auto" w:line="240" w:before="0" w:after="0"/>
        <w:ind w:left="0" w:right="0" w:hanging="0"/>
        <w:jc w:val="left"/>
        <w:rPr/>
      </w:pPr>
      <w:r>
        <w:rPr/>
      </w:r>
    </w:p>
    <w:sectPr>
      <w:headerReference w:type="default" r:id="rId131"/>
      <w:headerReference w:type="first" r:id="rId132"/>
      <w:footerReference w:type="default" r:id="rId133"/>
      <w:footerReference w:type="first" r:id="rId134"/>
      <w:type w:val="nextPage"/>
      <w:pgSz w:w="11906" w:h="16838"/>
      <w:pgMar w:left="1701" w:right="1134" w:gutter="0" w:header="0" w:top="851" w:footer="1134" w:bottom="1686"/>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Times New Roman">
    <w:charset w:val="01"/>
    <w:family w:val="roman"/>
    <w:pitch w:val="variable"/>
  </w:font>
  <w:font w:name="Arial">
    <w:charset w:val="01"/>
    <w:family w:val="roman"/>
    <w:pitch w:val="variable"/>
  </w:font>
  <w:font w:name="Garamond">
    <w:charset w:val="01"/>
    <w:family w:val="roman"/>
    <w:pitch w:val="variable"/>
  </w:font>
  <w:font w:name="Tahoma">
    <w:charset w:val="01"/>
    <w:family w:val="roman"/>
    <w:pitch w:val="variable"/>
  </w:font>
  <w:font w:name="Cambria">
    <w:charset w:val="01"/>
    <w:family w:val="roman"/>
    <w:pitch w:val="variable"/>
  </w:font>
  <w:font w:name="Courier New">
    <w:charset w:val="01"/>
    <w:family w:val="roman"/>
    <w:pitch w:val="variable"/>
  </w:font>
  <w:font w:name="MS Reference Sans Serif">
    <w:charset w:val="01"/>
    <w:family w:val="roman"/>
    <w:pitch w:val="variable"/>
  </w:font>
  <w:font w:name="ISOCPEUR">
    <w:charset w:val="01"/>
    <w:family w:val="roman"/>
    <w:pitch w:val="variable"/>
  </w:font>
  <w:font w:name="Verdana">
    <w:charset w:val="01"/>
    <w:family w:val="roman"/>
    <w:pitch w:val="variable"/>
  </w:font>
  <w:font w:name="TimesET">
    <w:charset w:val="01"/>
    <w:family w:val="roman"/>
    <w:pitch w:val="variable"/>
  </w:font>
  <w:font w:name="TextBook">
    <w:charset w:val="01"/>
    <w:family w:val="roman"/>
    <w:pitch w:val="variable"/>
  </w:font>
  <w:font w:name="Baltica">
    <w:charset w:val="01"/>
    <w:family w:val="roman"/>
    <w:pitch w:val="variable"/>
  </w:font>
  <w:font w:name="Arial CYR">
    <w:charset w:val="01"/>
    <w:family w:val="roman"/>
    <w:pitch w:val="variable"/>
  </w:font>
  <w:font w:name="Symbol">
    <w:charset w:val="01"/>
    <w:family w:val="roman"/>
    <w:pitch w:val="variable"/>
  </w:font>
  <w:font w:name="Arial Unicode MS">
    <w:charset w:val="01"/>
    <w:family w:val="roman"/>
    <w:pitch w:val="variable"/>
  </w:font>
  <w:font w:name="Antiqua">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fldChar w:fldCharType="begin"/>
    </w:r>
    <w:r>
      <w:rPr/>
      <w:instrText xml:space="preserve"> PAGE </w:instrText>
    </w:r>
    <w:r>
      <w:rPr/>
      <w:fldChar w:fldCharType="separate"/>
    </w:r>
    <w:r>
      <w:rPr/>
      <w:t>1</w:t>
    </w:r>
    <w:r>
      <w:rPr/>
      <w:fldChar w:fldCharType="end"/>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left="0" w:right="0" w:hanging="0"/>
      <w:rPr/>
    </w:pPr>
    <w:r>
      <w:rPr/>
      <w:fldChar w:fldCharType="begin"/>
    </w:r>
    <w:r>
      <w:rPr/>
      <w:instrText xml:space="preserve"> PAGE </w:instrText>
    </w:r>
    <w:r>
      <w:rPr/>
      <w:fldChar w:fldCharType="separate"/>
    </w:r>
    <w:r>
      <w:rPr/>
      <w:t>54</w:t>
    </w:r>
    <w:r>
      <w:rPr/>
      <w:fldChar w:fldCharType="end"/>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left="0" w:right="0" w:hanging="0"/>
      <w:rPr/>
    </w:pPr>
    <w:r>
      <w:rPr/>
      <w:fldChar w:fldCharType="begin"/>
    </w:r>
    <w:r>
      <w:rPr/>
      <w:instrText xml:space="preserve"> PAGE </w:instrText>
    </w:r>
    <w:r>
      <w:rPr/>
      <w:fldChar w:fldCharType="separate"/>
    </w:r>
    <w:r>
      <w:rPr/>
      <w:t>62</w:t>
    </w:r>
    <w:r>
      <w:rPr/>
      <w:fldChar w:fldCharType="end"/>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left="0" w:right="0" w:hanging="0"/>
      <w:rPr/>
    </w:pPr>
    <w:r>
      <w:rPr/>
      <w:fldChar w:fldCharType="begin"/>
    </w:r>
    <w:r>
      <w:rPr/>
      <w:instrText xml:space="preserve"> PAGE </w:instrText>
    </w:r>
    <w:r>
      <w:rPr/>
      <w:fldChar w:fldCharType="separate"/>
    </w:r>
    <w:r>
      <w:rPr/>
      <w:t>68</w:t>
    </w:r>
    <w:r>
      <w:rPr/>
      <w:fldChar w:fldCharType="end"/>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left="0" w:right="0" w:hanging="0"/>
      <w:rPr/>
    </w:pPr>
    <w:r>
      <w:rPr/>
      <w:fldChar w:fldCharType="begin"/>
    </w:r>
    <w:r>
      <w:rPr/>
      <w:instrText xml:space="preserve"> PAGE </w:instrText>
    </w:r>
    <w:r>
      <w:rPr/>
      <w:fldChar w:fldCharType="separate"/>
    </w:r>
    <w:r>
      <w:rPr/>
      <w:t>89</w:t>
    </w:r>
    <w:r>
      <w:rPr/>
      <w:fldChar w:fldCharType="end"/>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left="0" w:right="0" w:hanging="0"/>
      <w:rPr/>
    </w:pPr>
    <w:r>
      <w:rPr/>
      <w:fldChar w:fldCharType="begin"/>
    </w:r>
    <w:r>
      <w:rPr/>
      <w:instrText xml:space="preserve"> PAGE </w:instrText>
    </w:r>
    <w:r>
      <w:rPr/>
      <w:fldChar w:fldCharType="separate"/>
    </w:r>
    <w:r>
      <w:rPr/>
      <w:t>90</w:t>
    </w:r>
    <w:r>
      <w:rPr/>
      <w:fldChar w:fldCharType="end"/>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ind w:left="0" w:right="0" w:hanging="0"/>
      <w:rPr/>
    </w:pPr>
    <w:r>
      <w:rPr/>
      <w:fldChar w:fldCharType="begin"/>
    </w:r>
    <w:r>
      <w:rPr/>
      <w:instrText xml:space="preserve"> PAGE </w:instrText>
    </w:r>
    <w:r>
      <w:rPr/>
      <w:fldChar w:fldCharType="separate"/>
    </w:r>
    <w:r>
      <w:rPr/>
      <w:t>14</w:t>
    </w:r>
    <w:r>
      <w:rPr/>
      <w:fldChar w:fldCharType="end"/>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left="0" w:right="0" w:hanging="0"/>
      <w:rPr/>
    </w:pPr>
    <w:r>
      <w:rPr/>
      <w:fldChar w:fldCharType="begin"/>
    </w:r>
    <w:r>
      <w:rPr/>
      <w:instrText xml:space="preserve"> PAGE </w:instrText>
    </w:r>
    <w:r>
      <w:rPr/>
      <w:fldChar w:fldCharType="separate"/>
    </w:r>
    <w:r>
      <w:rPr/>
      <w:t>92</w:t>
    </w:r>
    <w:r>
      <w:rPr/>
      <w:fldChar w:fldCharType="end"/>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left="0" w:right="0" w:hanging="0"/>
      <w:rPr/>
    </w:pPr>
    <w:r>
      <w:rPr/>
      <w:fldChar w:fldCharType="begin"/>
    </w:r>
    <w:r>
      <w:rPr/>
      <w:instrText xml:space="preserve"> PAGE </w:instrText>
    </w:r>
    <w:r>
      <w:rPr/>
      <w:fldChar w:fldCharType="separate"/>
    </w:r>
    <w:r>
      <w:rPr/>
      <w:t>94</w:t>
    </w:r>
    <w:r>
      <w:rPr/>
      <w:fldChar w:fldCharType="end"/>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left="0" w:right="0" w:hanging="0"/>
      <w:rPr/>
    </w:pPr>
    <w:r>
      <w:rPr/>
      <w:fldChar w:fldCharType="begin"/>
    </w:r>
    <w:r>
      <w:rPr/>
      <w:instrText xml:space="preserve"> PAGE </w:instrText>
    </w:r>
    <w:r>
      <w:rPr/>
      <w:fldChar w:fldCharType="separate"/>
    </w:r>
    <w:r>
      <w:rPr/>
      <w:t>95</w:t>
    </w:r>
    <w:r>
      <w:rPr/>
      <w:fldChar w:fldCharType="end"/>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left="0" w:right="0" w:hanging="0"/>
      <w:rPr/>
    </w:pPr>
    <w:r>
      <w:rPr/>
      <w:fldChar w:fldCharType="begin"/>
    </w:r>
    <w:r>
      <w:rPr/>
      <w:instrText xml:space="preserve"> PAGE </w:instrText>
    </w:r>
    <w:r>
      <w:rPr/>
      <w:fldChar w:fldCharType="separate"/>
    </w:r>
    <w:r>
      <w:rPr/>
      <w:t>98</w:t>
    </w:r>
    <w:r>
      <w:rPr/>
      <w:fldChar w:fldCharType="end"/>
    </w:r>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left="0" w:right="0" w:hanging="0"/>
      <w:rPr/>
    </w:pPr>
    <w:r>
      <w:rPr/>
      <w:fldChar w:fldCharType="begin"/>
    </w:r>
    <w:r>
      <w:rPr/>
      <w:instrText xml:space="preserve"> PAGE </w:instrText>
    </w:r>
    <w:r>
      <w:rPr/>
      <w:fldChar w:fldCharType="separate"/>
    </w:r>
    <w:r>
      <w:rPr/>
      <w:t>99</w:t>
    </w:r>
    <w:r>
      <w:rPr/>
      <w:fldChar w:fldCharType="end"/>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left="0" w:right="0" w:hanging="0"/>
      <w:rPr/>
    </w:pPr>
    <w:r>
      <w:rPr/>
      <w:fldChar w:fldCharType="begin"/>
    </w:r>
    <w:r>
      <w:rPr/>
      <w:instrText xml:space="preserve"> PAGE </w:instrText>
    </w:r>
    <w:r>
      <w:rPr/>
      <w:fldChar w:fldCharType="separate"/>
    </w:r>
    <w:r>
      <w:rPr/>
      <w:t>100</w:t>
    </w:r>
    <w:r>
      <w:rPr/>
      <w:fldChar w:fldCharType="end"/>
    </w:r>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left="0" w:right="0" w:hanging="0"/>
      <w:rPr/>
    </w:pPr>
    <w:r>
      <w:rPr/>
      <w:fldChar w:fldCharType="begin"/>
    </w:r>
    <w:r>
      <w:rPr/>
      <w:instrText xml:space="preserve"> PAGE </w:instrText>
    </w:r>
    <w:r>
      <w:rPr/>
      <w:fldChar w:fldCharType="separate"/>
    </w:r>
    <w:r>
      <w:rPr/>
      <w:t>102</w:t>
    </w:r>
    <w:r>
      <w:rPr/>
      <w:fldChar w:fldCharType="end"/>
    </w:r>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left="0" w:right="0" w:hanging="0"/>
      <w:rPr/>
    </w:pPr>
    <w:r>
      <w:rPr/>
      <w:fldChar w:fldCharType="begin"/>
    </w:r>
    <w:r>
      <w:rPr/>
      <w:instrText xml:space="preserve"> PAGE </w:instrText>
    </w:r>
    <w:r>
      <w:rPr/>
      <w:fldChar w:fldCharType="separate"/>
    </w:r>
    <w:r>
      <w:rPr/>
      <w:t>114</w:t>
    </w:r>
    <w:r>
      <w:rPr/>
      <w:fldChar w:fldCharType="end"/>
    </w:r>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fldChar w:fldCharType="begin"/>
    </w:r>
    <w:r>
      <w:rPr/>
      <w:instrText xml:space="preserve"> PAGE </w:instrText>
    </w:r>
    <w:r>
      <w:rPr/>
      <w:fldChar w:fldCharType="separate"/>
    </w:r>
    <w:r>
      <w:rPr/>
      <w:t>116</w:t>
    </w:r>
    <w:r>
      <w:rPr/>
      <w:fldChar w:fldCharType="end"/>
    </w:r>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fldChar w:fldCharType="begin"/>
    </w:r>
    <w:r>
      <w:rPr/>
      <w:instrText xml:space="preserve"> PAGE </w:instrText>
    </w:r>
    <w:r>
      <w:rPr/>
      <w:fldChar w:fldCharType="separate"/>
    </w:r>
    <w:r>
      <w:rPr/>
      <w:t>118</w:t>
    </w:r>
    <w:r>
      <w:rPr/>
      <w:fldChar w:fldCharType="end"/>
    </w:r>
  </w:p>
</w:ftr>
</file>

<file path=word/footer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left="0" w:right="0" w:hanging="0"/>
      <w:rPr/>
    </w:pPr>
    <w:r>
      <w:rPr/>
      <w:fldChar w:fldCharType="begin"/>
    </w:r>
    <w:r>
      <w:rPr/>
      <w:instrText xml:space="preserve"> PAGE </w:instrText>
    </w:r>
    <w:r>
      <w:rPr/>
      <w:fldChar w:fldCharType="separate"/>
    </w:r>
    <w:r>
      <w:rPr/>
      <w:t>15</w:t>
    </w:r>
    <w:r>
      <w:rPr/>
      <w:fldChar w:fldCharType="end"/>
    </w:r>
  </w:p>
</w:ftr>
</file>

<file path=word/footer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fldChar w:fldCharType="begin"/>
    </w:r>
    <w:r>
      <w:rPr/>
      <w:instrText xml:space="preserve"> PAGE </w:instrText>
    </w:r>
    <w:r>
      <w:rPr/>
      <w:fldChar w:fldCharType="separate"/>
    </w:r>
    <w:r>
      <w:rPr/>
      <w:t>119</w:t>
    </w:r>
    <w:r>
      <w:rPr/>
      <w:fldChar w:fldCharType="end"/>
    </w:r>
  </w:p>
</w:ftr>
</file>

<file path=word/footer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fldChar w:fldCharType="begin"/>
    </w:r>
    <w:r>
      <w:rPr/>
      <w:instrText xml:space="preserve"> PAGE </w:instrText>
    </w:r>
    <w:r>
      <w:rPr/>
      <w:fldChar w:fldCharType="separate"/>
    </w:r>
    <w:r>
      <w:rPr/>
      <w:t>128</w:t>
    </w:r>
    <w:r>
      <w:rPr/>
      <w:fldChar w:fldCharType="end"/>
    </w:r>
  </w:p>
</w:ftr>
</file>

<file path=word/footer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left="0" w:right="0" w:hanging="0"/>
      <w:rPr/>
    </w:pPr>
    <w:r>
      <w:rPr/>
      <w:fldChar w:fldCharType="begin"/>
    </w:r>
    <w:r>
      <w:rPr/>
      <w:instrText xml:space="preserve"> PAGE </w:instrText>
    </w:r>
    <w:r>
      <w:rPr/>
      <w:fldChar w:fldCharType="separate"/>
    </w:r>
    <w:r>
      <w:rPr/>
      <w:t>43</w:t>
    </w:r>
    <w:r>
      <w:rPr/>
      <w:fldChar w:fldCharType="end"/>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left="0" w:right="0" w:hanging="0"/>
      <w:rPr/>
    </w:pPr>
    <w:r>
      <w:rPr/>
      <w:fldChar w:fldCharType="begin"/>
    </w:r>
    <w:r>
      <w:rPr/>
      <w:instrText xml:space="preserve"> PAGE </w:instrText>
    </w:r>
    <w:r>
      <w:rPr/>
      <w:fldChar w:fldCharType="separate"/>
    </w:r>
    <w:r>
      <w:rPr/>
      <w:t>53</w:t>
    </w:r>
    <w:r>
      <w:rPr/>
      <w:fldChar w:fldCharType="end"/>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rFonts w:ascii="Times New Roman" w:hAnsi="Times New Roman" w:cs="Times New Roman"/>
      </w:rPr>
    </w:pPr>
    <w:r>
      <w:rPr>
        <w:rFonts w:cs="Times New Roman" w:ascii="Times New Roman" w:hAnsi="Times New Roman"/>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rFonts w:ascii="Times New Roman" w:hAnsi="Times New Roman" w:cs="Times New Roman"/>
      </w:rPr>
    </w:pPr>
    <w:r>
      <w:rPr>
        <w:rFonts w:cs="Times New Roman" w:ascii="Times New Roman" w:hAnsi="Times New Roman"/>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rFonts w:ascii="Times New Roman" w:hAnsi="Times New Roman" w:cs="Times New Roman"/>
      </w:rPr>
    </w:pPr>
    <w:r>
      <w:rPr>
        <w:rFonts w:cs="Times New Roman" w:ascii="Times New Roman" w:hAnsi="Times New Roman"/>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240"/>
      <w:ind w:left="0" w:right="0" w:hanging="0"/>
      <w:rPr>
        <w:rFonts w:ascii="Times New Roman" w:hAnsi="Times New Roman" w:cs="Times New Roman"/>
        <w:sz w:val="28"/>
        <w:szCs w:val="28"/>
      </w:rPr>
    </w:pPr>
    <w:r>
      <w:rPr>
        <w:rFonts w:cs="Times New Roman" w:ascii="Times New Roman" w:hAnsi="Times New Roman"/>
        <w:sz w:val="28"/>
        <w:szCs w:val="28"/>
      </w:rPr>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240"/>
      <w:ind w:left="0" w:right="0" w:hanging="0"/>
      <w:rPr>
        <w:rFonts w:ascii="Times New Roman" w:hAnsi="Times New Roman" w:cs="Times New Roman"/>
        <w:sz w:val="28"/>
        <w:szCs w:val="28"/>
      </w:rPr>
    </w:pPr>
    <w:r>
      <w:rPr>
        <w:rFonts w:cs="Times New Roman" w:ascii="Times New Roman" w:hAnsi="Times New Roman"/>
        <w:sz w:val="28"/>
        <w:szCs w:val="28"/>
      </w:rPr>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240"/>
      <w:ind w:left="0" w:right="0" w:hanging="0"/>
      <w:rPr>
        <w:rFonts w:ascii="Times New Roman" w:hAnsi="Times New Roman" w:cs="Times New Roman"/>
        <w:sz w:val="28"/>
        <w:szCs w:val="28"/>
      </w:rPr>
    </w:pPr>
    <w:r>
      <w:rPr>
        <w:rFonts w:cs="Times New Roman" w:ascii="Times New Roman" w:hAnsi="Times New Roman"/>
        <w:sz w:val="28"/>
        <w:szCs w:val="28"/>
      </w:rPr>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rFonts w:ascii="Times New Roman" w:hAnsi="Times New Roman" w:cs="Times New Roman"/>
      </w:rPr>
    </w:pPr>
    <w:r>
      <w:rPr>
        <w:rFonts w:cs="Times New Roman" w:ascii="Times New Roman" w:hAnsi="Times New Roman"/>
      </w:rPr>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0" w:right="0" w:hanging="0"/>
      <w:rPr>
        <w:sz w:val="2"/>
        <w:szCs w:val="2"/>
      </w:rPr>
    </w:pPr>
    <w:r>
      <w:rPr>
        <w:sz w:val="2"/>
        <w:szCs w:val="2"/>
      </w:rPr>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0" w:right="0" w:hanging="0"/>
      <w:rPr>
        <w:sz w:val="2"/>
        <w:szCs w:val="2"/>
      </w:rPr>
    </w:pPr>
    <w:r>
      <w:rPr>
        <w:sz w:val="2"/>
        <w:szCs w:val="2"/>
      </w:rPr>
    </w:r>
  </w:p>
</w:hdr>
</file>

<file path=word/header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0" w:right="0" w:hanging="0"/>
      <w:rPr>
        <w:sz w:val="2"/>
        <w:szCs w:val="2"/>
      </w:rPr>
    </w:pPr>
    <w:r>
      <w:rPr>
        <w:sz w:val="2"/>
        <w:szCs w:val="2"/>
      </w:rPr>
    </w:r>
  </w:p>
</w:hdr>
</file>

<file path=word/header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0" w:right="0" w:hanging="0"/>
      <w:rPr>
        <w:sz w:val="2"/>
        <w:szCs w:val="2"/>
      </w:rPr>
    </w:pPr>
    <w:r>
      <w:rPr>
        <w:sz w:val="2"/>
        <w:szCs w:val="2"/>
      </w:rPr>
    </w:r>
  </w:p>
</w:hdr>
</file>

<file path=word/header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0" w:right="0" w:hanging="0"/>
      <w:rPr>
        <w:sz w:val="2"/>
        <w:szCs w:val="2"/>
      </w:rPr>
    </w:pPr>
    <w:r>
      <w:rPr>
        <w:sz w:val="2"/>
        <w:szCs w:val="2"/>
      </w:rPr>
    </w:r>
  </w:p>
</w:hdr>
</file>

<file path=word/header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0" w:right="0" w:hanging="0"/>
      <w:rPr>
        <w:sz w:val="2"/>
        <w:szCs w:val="2"/>
      </w:rPr>
    </w:pPr>
    <w:r>
      <w:rPr>
        <w:sz w:val="2"/>
        <w:szCs w:val="2"/>
      </w:rPr>
    </w:r>
  </w:p>
</w:hdr>
</file>

<file path=word/header3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left="0" w:right="0" w:hanging="0"/>
      <w:rPr>
        <w:sz w:val="2"/>
        <w:szCs w:val="2"/>
      </w:rPr>
    </w:pPr>
    <w:r>
      <w:rPr>
        <w:sz w:val="2"/>
        <w:szCs w:val="2"/>
      </w:rPr>
    </w:r>
  </w:p>
</w:hdr>
</file>

<file path=word/header3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3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3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3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rFonts w:ascii="Times New Roman" w:hAnsi="Times New Roman" w:cs="Times New Roman"/>
      </w:rPr>
    </w:pPr>
    <w:r>
      <w:rPr>
        <w:rFonts w:cs="Times New Roman" w:ascii="Times New Roman" w:hAnsi="Times New Roman"/>
      </w:rPr>
    </w:r>
  </w:p>
</w:hdr>
</file>

<file path=word/header4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4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rFonts w:ascii="Times New Roman" w:hAnsi="Times New Roman" w:cs="Times New Roman"/>
      </w:rPr>
    </w:pPr>
    <w:r>
      <w:rPr>
        <w:rFonts w:cs="Times New Roman" w:ascii="Times New Roman" w:hAnsi="Times New Roman"/>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rFonts w:ascii="Times New Roman" w:hAnsi="Times New Roman" w:cs="Times New Roman"/>
      </w:rPr>
    </w:pPr>
    <w:r>
      <w:rPr>
        <w:rFonts w:cs="Times New Roman" w:ascii="Times New Roman" w:hAnsi="Times New Roman"/>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decimal"/>
      <w:lvlText w:val="%1."/>
      <w:lvlJc w:val="left"/>
      <w:pPr>
        <w:tabs>
          <w:tab w:val="num" w:pos="360"/>
        </w:tabs>
        <w:ind w:left="360" w:hanging="360"/>
      </w:pPr>
      <w:rPr>
        <w:rFonts w:ascii="Times New Roman" w:hAnsi="Times New Roman" w:eastAsia="Times New Roman" w:cs="Times New Roman"/>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decimal"/>
      <w:lvlText w:val="%1."/>
      <w:lvlJc w:val="left"/>
      <w:pPr>
        <w:tabs>
          <w:tab w:val="num" w:pos="0"/>
        </w:tabs>
        <w:ind w:left="644" w:hanging="360"/>
      </w:pPr>
      <w:rPr>
        <w:b/>
        <w:rFonts w:cs="Times New Roman"/>
      </w:rPr>
    </w:lvl>
    <w:lvl w:ilvl="1">
      <w:start w:val="1"/>
      <w:numFmt w:val="decimal"/>
      <w:lvlText w:val="%1.%2."/>
      <w:lvlJc w:val="left"/>
      <w:pPr>
        <w:tabs>
          <w:tab w:val="num" w:pos="0"/>
        </w:tabs>
        <w:ind w:left="720" w:hanging="360"/>
      </w:pPr>
      <w:rPr>
        <w:rFonts w:cs="Times New Roman"/>
      </w:rPr>
    </w:lvl>
    <w:lvl w:ilvl="2">
      <w:start w:val="1"/>
      <w:numFmt w:val="decimal"/>
      <w:lvlText w:val="%1.%2.%3."/>
      <w:lvlJc w:val="left"/>
      <w:pPr>
        <w:tabs>
          <w:tab w:val="num" w:pos="0"/>
        </w:tabs>
        <w:ind w:left="1080" w:hanging="720"/>
      </w:pPr>
      <w:rPr>
        <w:rFonts w:cs="Times New Roman"/>
      </w:rPr>
    </w:lvl>
    <w:lvl w:ilvl="3">
      <w:start w:val="1"/>
      <w:numFmt w:val="decimal"/>
      <w:lvlText w:val="%1.%2.%3.%4."/>
      <w:lvlJc w:val="left"/>
      <w:pPr>
        <w:tabs>
          <w:tab w:val="num" w:pos="0"/>
        </w:tabs>
        <w:ind w:left="1080" w:hanging="720"/>
      </w:pPr>
      <w:rPr>
        <w:rFonts w:cs="Times New Roman"/>
      </w:rPr>
    </w:lvl>
    <w:lvl w:ilvl="4">
      <w:start w:val="1"/>
      <w:numFmt w:val="decimal"/>
      <w:lvlText w:val="%1.%2.%3.%4.%5."/>
      <w:lvlJc w:val="left"/>
      <w:pPr>
        <w:tabs>
          <w:tab w:val="num" w:pos="0"/>
        </w:tabs>
        <w:ind w:left="1440" w:hanging="1080"/>
      </w:pPr>
      <w:rPr>
        <w:rFonts w:cs="Times New Roman"/>
      </w:rPr>
    </w:lvl>
    <w:lvl w:ilvl="5">
      <w:start w:val="1"/>
      <w:numFmt w:val="decimal"/>
      <w:lvlText w:val="%1.%2.%3.%4.%5.%6."/>
      <w:lvlJc w:val="left"/>
      <w:pPr>
        <w:tabs>
          <w:tab w:val="num" w:pos="0"/>
        </w:tabs>
        <w:ind w:left="1440" w:hanging="1080"/>
      </w:pPr>
      <w:rPr>
        <w:rFonts w:cs="Times New Roman"/>
      </w:rPr>
    </w:lvl>
    <w:lvl w:ilvl="6">
      <w:start w:val="1"/>
      <w:numFmt w:val="decimal"/>
      <w:lvlText w:val="%1.%2.%3.%4.%5.%6.%7."/>
      <w:lvlJc w:val="left"/>
      <w:pPr>
        <w:tabs>
          <w:tab w:val="num" w:pos="0"/>
        </w:tabs>
        <w:ind w:left="1800" w:hanging="1440"/>
      </w:pPr>
      <w:rPr>
        <w:rFonts w:cs="Times New Roman"/>
      </w:rPr>
    </w:lvl>
    <w:lvl w:ilvl="7">
      <w:start w:val="1"/>
      <w:numFmt w:val="decimal"/>
      <w:lvlText w:val="%1.%2.%3.%4.%5.%6.%7.%8."/>
      <w:lvlJc w:val="left"/>
      <w:pPr>
        <w:tabs>
          <w:tab w:val="num" w:pos="0"/>
        </w:tabs>
        <w:ind w:left="1800" w:hanging="1440"/>
      </w:pPr>
      <w:rPr>
        <w:rFonts w:cs="Times New Roman"/>
      </w:rPr>
    </w:lvl>
    <w:lvl w:ilvl="8">
      <w:start w:val="1"/>
      <w:numFmt w:val="decimal"/>
      <w:lvlText w:val="%1.%2.%3.%4.%5.%6.%7.%8.%9."/>
      <w:lvlJc w:val="left"/>
      <w:pPr>
        <w:tabs>
          <w:tab w:val="num" w:pos="0"/>
        </w:tabs>
        <w:ind w:left="2160" w:hanging="1800"/>
      </w:pPr>
      <w:rPr>
        <w:rFonts w:cs="Times New Roman"/>
      </w:rPr>
    </w:lvl>
  </w:abstractNum>
  <w:abstractNum w:abstractNumId="4">
    <w:lvl w:ilvl="0">
      <w:start w:val="1"/>
      <w:numFmt w:val="none"/>
      <w:suff w:val="nothing"/>
      <w:lvlText w:val="%1"/>
      <w:lvlJc w:val="left"/>
      <w:pPr>
        <w:tabs>
          <w:tab w:val="num" w:pos="0"/>
        </w:tabs>
        <w:ind w:left="-248" w:hanging="432"/>
      </w:pPr>
      <w:rPr/>
    </w:lvl>
    <w:lvl w:ilvl="1">
      <w:start w:val="1"/>
      <w:numFmt w:val="decimal"/>
      <w:suff w:val="space"/>
      <w:lvlText w:val="%2%1."/>
      <w:lvlJc w:val="left"/>
      <w:pPr>
        <w:tabs>
          <w:tab w:val="num" w:pos="0"/>
        </w:tabs>
        <w:ind w:left="-113" w:firstLine="113"/>
      </w:pPr>
      <w:rPr>
        <w:sz w:val="24"/>
        <w:i w:val="false"/>
        <w:b/>
        <w:szCs w:val="24"/>
        <w:rFonts w:ascii="Times New Roman" w:hAnsi="Times New Roman"/>
      </w:rPr>
    </w:lvl>
    <w:lvl w:ilvl="2">
      <w:start w:val="1"/>
      <w:numFmt w:val="decimal"/>
      <w:suff w:val="space"/>
      <w:lvlText w:val="%2.%3"/>
      <w:lvlJc w:val="left"/>
      <w:pPr>
        <w:tabs>
          <w:tab w:val="num" w:pos="0"/>
        </w:tabs>
        <w:ind w:left="0" w:hanging="0"/>
      </w:pPr>
      <w:rPr/>
    </w:lvl>
    <w:lvl w:ilvl="3">
      <w:start w:val="1"/>
      <w:numFmt w:val="decimal"/>
      <w:suff w:val="space"/>
      <w:lvlText w:val="%1%2.%3.%4"/>
      <w:lvlJc w:val="left"/>
      <w:pPr>
        <w:tabs>
          <w:tab w:val="num" w:pos="0"/>
        </w:tabs>
        <w:ind w:left="0" w:hanging="0"/>
      </w:pPr>
      <w:rPr/>
    </w:lvl>
    <w:lvl w:ilvl="4">
      <w:start w:val="1"/>
      <w:numFmt w:val="decimal"/>
      <w:lvlText w:val="%1.%2.%3.%4.%5"/>
      <w:lvlJc w:val="left"/>
      <w:pPr>
        <w:tabs>
          <w:tab w:val="num" w:pos="328"/>
        </w:tabs>
        <w:ind w:left="328" w:hanging="1008"/>
      </w:pPr>
      <w:rPr/>
    </w:lvl>
    <w:lvl w:ilvl="5">
      <w:start w:val="1"/>
      <w:numFmt w:val="decimal"/>
      <w:lvlText w:val="%1.%2.%3.%4.%5.%6"/>
      <w:lvlJc w:val="left"/>
      <w:pPr>
        <w:tabs>
          <w:tab w:val="num" w:pos="472"/>
        </w:tabs>
        <w:ind w:left="472" w:hanging="1152"/>
      </w:pPr>
      <w:rPr/>
    </w:lvl>
    <w:lvl w:ilvl="6">
      <w:start w:val="1"/>
      <w:numFmt w:val="decimal"/>
      <w:lvlText w:val="%1.%2.%3.%4.%5.%6.%7"/>
      <w:lvlJc w:val="left"/>
      <w:pPr>
        <w:tabs>
          <w:tab w:val="num" w:pos="616"/>
        </w:tabs>
        <w:ind w:left="616" w:hanging="1296"/>
      </w:pPr>
      <w:rPr/>
    </w:lvl>
    <w:lvl w:ilvl="7">
      <w:start w:val="1"/>
      <w:numFmt w:val="decimal"/>
      <w:lvlText w:val="%1.%2.%3.%4.%5.%6.%7.%8"/>
      <w:lvlJc w:val="left"/>
      <w:pPr>
        <w:tabs>
          <w:tab w:val="num" w:pos="760"/>
        </w:tabs>
        <w:ind w:left="760" w:hanging="1440"/>
      </w:pPr>
      <w:rPr/>
    </w:lvl>
    <w:lvl w:ilvl="8">
      <w:start w:val="1"/>
      <w:numFmt w:val="decimal"/>
      <w:lvlText w:val="%1.%2.%3.%4.%5.%6.%7.%8.%9"/>
      <w:lvlJc w:val="left"/>
      <w:pPr>
        <w:tabs>
          <w:tab w:val="num" w:pos="904"/>
        </w:tabs>
        <w:ind w:left="904" w:hanging="1584"/>
      </w:pPr>
      <w:rPr/>
    </w:lvl>
  </w:abstractNum>
  <w:abstractNum w:abstractNumId="5">
    <w:lvl w:ilvl="0">
      <w:start w:val="1"/>
      <w:numFmt w:val="decimal"/>
      <w:lvlText w:val="%1."/>
      <w:lvlJc w:val="left"/>
      <w:pPr>
        <w:tabs>
          <w:tab w:val="num" w:pos="360"/>
        </w:tabs>
        <w:ind w:left="360" w:hanging="360"/>
      </w:pPr>
      <w:rPr/>
    </w:lvl>
    <w:lvl w:ilvl="1">
      <w:start w:val="1"/>
      <w:numFmt w:val="decimal"/>
      <w:lvlText w:val="%1.%2."/>
      <w:lvlJc w:val="left"/>
      <w:pPr>
        <w:tabs>
          <w:tab w:val="num" w:pos="792"/>
        </w:tabs>
        <w:ind w:left="792" w:hanging="432"/>
      </w:pPr>
      <w:rPr/>
    </w:lvl>
    <w:lvl w:ilvl="2">
      <w:start w:val="1"/>
      <w:numFmt w:val="decimal"/>
      <w:lvlText w:val="%1.%2.%3."/>
      <w:lvlJc w:val="left"/>
      <w:pPr>
        <w:tabs>
          <w:tab w:val="num" w:pos="1440"/>
        </w:tabs>
        <w:ind w:left="1224" w:hanging="504"/>
      </w:pPr>
      <w:rPr/>
    </w:lvl>
    <w:lvl w:ilvl="3">
      <w:start w:val="1"/>
      <w:numFmt w:val="decimal"/>
      <w:lvlText w:val="%1.%2.%3.%4."/>
      <w:lvlJc w:val="left"/>
      <w:pPr>
        <w:tabs>
          <w:tab w:val="num" w:pos="1800"/>
        </w:tabs>
        <w:ind w:left="1728" w:hanging="648"/>
      </w:pPr>
      <w:rPr/>
    </w:lvl>
    <w:lvl w:ilvl="4">
      <w:start w:val="1"/>
      <w:numFmt w:val="decimal"/>
      <w:lvlText w:val="%1.%2.%3.%4.%5."/>
      <w:lvlJc w:val="left"/>
      <w:pPr>
        <w:tabs>
          <w:tab w:val="num" w:pos="2520"/>
        </w:tabs>
        <w:ind w:left="2232" w:hanging="792"/>
      </w:pPr>
      <w:rPr/>
    </w:lvl>
    <w:lvl w:ilvl="5">
      <w:start w:val="1"/>
      <w:numFmt w:val="decimal"/>
      <w:lvlText w:val="%1.%2.%3.%4.%5.%6."/>
      <w:lvlJc w:val="left"/>
      <w:pPr>
        <w:tabs>
          <w:tab w:val="num" w:pos="2880"/>
        </w:tabs>
        <w:ind w:left="2736" w:hanging="936"/>
      </w:pPr>
      <w:rPr/>
    </w:lvl>
    <w:lvl w:ilvl="6">
      <w:start w:val="1"/>
      <w:numFmt w:val="decimal"/>
      <w:lvlText w:val="%1.%2.%3.%4.%5.%6.%7."/>
      <w:lvlJc w:val="left"/>
      <w:pPr>
        <w:tabs>
          <w:tab w:val="num" w:pos="3600"/>
        </w:tabs>
        <w:ind w:left="3240" w:hanging="1080"/>
      </w:pPr>
      <w:rPr/>
    </w:lvl>
    <w:lvl w:ilvl="7">
      <w:start w:val="1"/>
      <w:numFmt w:val="decimal"/>
      <w:lvlText w:val="%1.%2.%3.%4.%5.%6.%7.%8."/>
      <w:lvlJc w:val="left"/>
      <w:pPr>
        <w:tabs>
          <w:tab w:val="num" w:pos="3960"/>
        </w:tabs>
        <w:ind w:left="3744" w:hanging="1224"/>
      </w:pPr>
      <w:rPr/>
    </w:lvl>
    <w:lvl w:ilvl="8">
      <w:start w:val="1"/>
      <w:numFmt w:val="decimal"/>
      <w:lvlText w:val="%1.%2.%3.%4.%5.%6.%7.%8.%9."/>
      <w:lvlJc w:val="left"/>
      <w:pPr>
        <w:tabs>
          <w:tab w:val="num" w:pos="4680"/>
        </w:tabs>
        <w:ind w:left="4320" w:hanging="1440"/>
      </w:pPr>
      <w:rPr/>
    </w:lvl>
  </w:abstractNum>
  <w:abstractNum w:abstractNumId="6">
    <w:lvl w:ilvl="0">
      <w:start w:val="1"/>
      <w:numFmt w:val="bullet"/>
      <w:lvlText w:val="-"/>
      <w:lvlJc w:val="left"/>
      <w:pPr>
        <w:tabs>
          <w:tab w:val="num" w:pos="1134"/>
        </w:tabs>
        <w:ind w:left="1191" w:hanging="34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lvl w:ilvl="0">
      <w:start w:val="1"/>
      <w:numFmt w:val="decimal"/>
      <w:lvlText w:val="%1)"/>
      <w:lvlJc w:val="left"/>
      <w:pPr>
        <w:tabs>
          <w:tab w:val="num" w:pos="1134"/>
        </w:tabs>
        <w:ind w:left="1191" w:hanging="340"/>
      </w:pPr>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lvl w:ilvl="0">
      <w:start w:val="1"/>
      <w:numFmt w:val="bullet"/>
      <w:lvlText w:val=""/>
      <w:lvlJc w:val="left"/>
      <w:pPr>
        <w:tabs>
          <w:tab w:val="num" w:pos="1211"/>
        </w:tabs>
        <w:ind w:left="1211" w:hanging="360"/>
      </w:pPr>
      <w:rPr>
        <w:rFonts w:ascii="Symbol"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
    <w:lvl w:ilvl="0">
      <w:start w:val="1"/>
      <w:numFmt w:val="bullet"/>
      <w:lvlText w:val="-"/>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
    <w:lvl w:ilvl="0">
      <w:start w:val="1"/>
      <w:numFmt w:val="bullet"/>
      <w:lvlText w:val=""/>
      <w:lvlJc w:val="left"/>
      <w:pPr>
        <w:tabs>
          <w:tab w:val="num" w:pos="0"/>
        </w:tabs>
        <w:ind w:left="1571" w:hanging="360"/>
      </w:pPr>
      <w:rPr>
        <w:rFonts w:ascii="Symbol" w:hAnsi="Symbol" w:cs="Symbol" w:hint="default"/>
      </w:rPr>
    </w:lvl>
    <w:lvl w:ilvl="1">
      <w:start w:val="1"/>
      <w:numFmt w:val="bullet"/>
      <w:lvlText w:val="o"/>
      <w:lvlJc w:val="left"/>
      <w:pPr>
        <w:tabs>
          <w:tab w:val="num" w:pos="0"/>
        </w:tabs>
        <w:ind w:left="2291" w:hanging="360"/>
      </w:pPr>
      <w:rPr>
        <w:rFonts w:ascii="Courier New" w:hAnsi="Courier New" w:cs="Courier New" w:hint="default"/>
      </w:rPr>
    </w:lvl>
    <w:lvl w:ilvl="2">
      <w:start w:val="1"/>
      <w:numFmt w:val="bullet"/>
      <w:lvlText w:val=""/>
      <w:lvlJc w:val="left"/>
      <w:pPr>
        <w:tabs>
          <w:tab w:val="num" w:pos="0"/>
        </w:tabs>
        <w:ind w:left="3011" w:hanging="360"/>
      </w:pPr>
      <w:rPr>
        <w:rFonts w:ascii="Wingdings" w:hAnsi="Wingdings" w:cs="Wingdings" w:hint="default"/>
      </w:rPr>
    </w:lvl>
    <w:lvl w:ilvl="3">
      <w:start w:val="1"/>
      <w:numFmt w:val="bullet"/>
      <w:lvlText w:val=""/>
      <w:lvlJc w:val="left"/>
      <w:pPr>
        <w:tabs>
          <w:tab w:val="num" w:pos="0"/>
        </w:tabs>
        <w:ind w:left="3731" w:hanging="360"/>
      </w:pPr>
      <w:rPr>
        <w:rFonts w:ascii="Symbol" w:hAnsi="Symbol" w:cs="Symbol" w:hint="default"/>
      </w:rPr>
    </w:lvl>
    <w:lvl w:ilvl="4">
      <w:start w:val="1"/>
      <w:numFmt w:val="bullet"/>
      <w:lvlText w:val="o"/>
      <w:lvlJc w:val="left"/>
      <w:pPr>
        <w:tabs>
          <w:tab w:val="num" w:pos="0"/>
        </w:tabs>
        <w:ind w:left="4451" w:hanging="360"/>
      </w:pPr>
      <w:rPr>
        <w:rFonts w:ascii="Courier New" w:hAnsi="Courier New" w:cs="Courier New" w:hint="default"/>
      </w:rPr>
    </w:lvl>
    <w:lvl w:ilvl="5">
      <w:start w:val="1"/>
      <w:numFmt w:val="bullet"/>
      <w:lvlText w:val=""/>
      <w:lvlJc w:val="left"/>
      <w:pPr>
        <w:tabs>
          <w:tab w:val="num" w:pos="0"/>
        </w:tabs>
        <w:ind w:left="5171" w:hanging="360"/>
      </w:pPr>
      <w:rPr>
        <w:rFonts w:ascii="Wingdings" w:hAnsi="Wingdings" w:cs="Wingdings" w:hint="default"/>
      </w:rPr>
    </w:lvl>
    <w:lvl w:ilvl="6">
      <w:start w:val="1"/>
      <w:numFmt w:val="bullet"/>
      <w:lvlText w:val=""/>
      <w:lvlJc w:val="left"/>
      <w:pPr>
        <w:tabs>
          <w:tab w:val="num" w:pos="0"/>
        </w:tabs>
        <w:ind w:left="5891" w:hanging="360"/>
      </w:pPr>
      <w:rPr>
        <w:rFonts w:ascii="Symbol" w:hAnsi="Symbol" w:cs="Symbol" w:hint="default"/>
      </w:rPr>
    </w:lvl>
    <w:lvl w:ilvl="7">
      <w:start w:val="1"/>
      <w:numFmt w:val="bullet"/>
      <w:lvlText w:val="o"/>
      <w:lvlJc w:val="left"/>
      <w:pPr>
        <w:tabs>
          <w:tab w:val="num" w:pos="0"/>
        </w:tabs>
        <w:ind w:left="6611" w:hanging="360"/>
      </w:pPr>
      <w:rPr>
        <w:rFonts w:ascii="Courier New" w:hAnsi="Courier New" w:cs="Courier New" w:hint="default"/>
      </w:rPr>
    </w:lvl>
    <w:lvl w:ilvl="8">
      <w:start w:val="1"/>
      <w:numFmt w:val="bullet"/>
      <w:lvlText w:val=""/>
      <w:lvlJc w:val="left"/>
      <w:pPr>
        <w:tabs>
          <w:tab w:val="num" w:pos="0"/>
        </w:tabs>
        <w:ind w:left="7331" w:hanging="360"/>
      </w:pPr>
      <w:rPr>
        <w:rFonts w:ascii="Wingdings" w:hAnsi="Wingdings" w:cs="Wingdings" w:hint="default"/>
      </w:rPr>
    </w:lvl>
  </w:abstractNum>
  <w:abstractNum w:abstractNumId="14">
    <w:lvl w:ilvl="0">
      <w:start w:val="1"/>
      <w:numFmt w:val="decimal"/>
      <w:lvlText w:val="%1)"/>
      <w:lvlJc w:val="left"/>
      <w:pPr>
        <w:tabs>
          <w:tab w:val="num" w:pos="360"/>
        </w:tabs>
        <w:ind w:left="360" w:hanging="360"/>
      </w:pPr>
      <w:rPr>
        <w:sz w:val="20"/>
        <w:szCs w:val="20"/>
        <w:rFonts w:ascii="Tahoma" w:hAnsi="Tahoma" w:cs="Tahoma"/>
      </w:rPr>
    </w:lvl>
    <w:lvl w:ilvl="1">
      <w:start w:val="1"/>
      <w:numFmt w:val="decimal"/>
      <w:lvlText w:val="%1.%2."/>
      <w:lvlJc w:val="left"/>
      <w:pPr>
        <w:tabs>
          <w:tab w:val="num" w:pos="660"/>
        </w:tabs>
        <w:ind w:left="660" w:hanging="660"/>
      </w:pPr>
      <w:rPr>
        <w:b/>
      </w:rPr>
    </w:lvl>
    <w:lvl w:ilvl="2">
      <w:start w:val="1"/>
      <w:numFmt w:val="decimal"/>
      <w:lvlText w:val="%3)"/>
      <w:lvlJc w:val="left"/>
      <w:pPr>
        <w:tabs>
          <w:tab w:val="num" w:pos="360"/>
        </w:tabs>
        <w:ind w:left="360" w:hanging="360"/>
      </w:pPr>
      <w:rPr/>
    </w:lvl>
    <w:lvl w:ilvl="3">
      <w:start w:val="1"/>
      <w:numFmt w:val="decimal"/>
      <w:lvlText w:val="%1.%2.%3.%4."/>
      <w:lvlJc w:val="left"/>
      <w:pPr>
        <w:tabs>
          <w:tab w:val="num" w:pos="720"/>
        </w:tabs>
        <w:ind w:left="720" w:hanging="720"/>
      </w:pPr>
      <w:rPr/>
    </w:lvl>
    <w:lvl w:ilvl="4">
      <w:start w:val="1"/>
      <w:numFmt w:val="decimal"/>
      <w:lvlText w:val="%1.%2.%3.%4.%5."/>
      <w:lvlJc w:val="left"/>
      <w:pPr>
        <w:tabs>
          <w:tab w:val="num" w:pos="1080"/>
        </w:tabs>
        <w:ind w:left="1080" w:hanging="1080"/>
      </w:pPr>
      <w:rPr/>
    </w:lvl>
    <w:lvl w:ilvl="5">
      <w:start w:val="1"/>
      <w:numFmt w:val="decimal"/>
      <w:lvlText w:val="%1.%2.%3.%4.%5.%6."/>
      <w:lvlJc w:val="left"/>
      <w:pPr>
        <w:tabs>
          <w:tab w:val="num" w:pos="1080"/>
        </w:tabs>
        <w:ind w:left="1080" w:hanging="1080"/>
      </w:pPr>
      <w:rPr/>
    </w:lvl>
    <w:lvl w:ilvl="6">
      <w:start w:val="1"/>
      <w:numFmt w:val="decimal"/>
      <w:lvlText w:val="%1.%2.%3.%4.%5.%6.%7."/>
      <w:lvlJc w:val="left"/>
      <w:pPr>
        <w:tabs>
          <w:tab w:val="num" w:pos="1440"/>
        </w:tabs>
        <w:ind w:left="1440" w:hanging="1440"/>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800"/>
        </w:tabs>
        <w:ind w:left="1800" w:hanging="1800"/>
      </w:pPr>
      <w:rPr/>
    </w:lvl>
  </w:abstractNum>
  <w:abstractNum w:abstractNumId="15">
    <w:lvl w:ilvl="0">
      <w:start w:val="1"/>
      <w:numFmt w:val="decimal"/>
      <w:lvlText w:val="%1)"/>
      <w:lvlJc w:val="left"/>
      <w:pPr>
        <w:tabs>
          <w:tab w:val="num" w:pos="360"/>
        </w:tabs>
        <w:ind w:left="360" w:hanging="360"/>
      </w:pPr>
      <w:rPr>
        <w:sz w:val="20"/>
        <w:szCs w:val="20"/>
        <w:rFonts w:ascii="Tahoma" w:hAnsi="Tahoma" w:cs="Tahoma"/>
      </w:rPr>
    </w:lvl>
    <w:lvl w:ilvl="1">
      <w:start w:val="1"/>
      <w:numFmt w:val="decimal"/>
      <w:lvlText w:val="%1.%2."/>
      <w:lvlJc w:val="left"/>
      <w:pPr>
        <w:tabs>
          <w:tab w:val="num" w:pos="660"/>
        </w:tabs>
        <w:ind w:left="660" w:hanging="660"/>
      </w:pPr>
      <w:rPr>
        <w:b/>
      </w:rPr>
    </w:lvl>
    <w:lvl w:ilvl="2">
      <w:start w:val="1"/>
      <w:numFmt w:val="decimal"/>
      <w:lvlText w:val="%3)"/>
      <w:lvlJc w:val="left"/>
      <w:pPr>
        <w:tabs>
          <w:tab w:val="num" w:pos="360"/>
        </w:tabs>
        <w:ind w:left="360" w:hanging="360"/>
      </w:pPr>
      <w:rPr/>
    </w:lvl>
    <w:lvl w:ilvl="3">
      <w:start w:val="1"/>
      <w:numFmt w:val="decimal"/>
      <w:lvlText w:val="%1.%2.%3.%4."/>
      <w:lvlJc w:val="left"/>
      <w:pPr>
        <w:tabs>
          <w:tab w:val="num" w:pos="720"/>
        </w:tabs>
        <w:ind w:left="720" w:hanging="720"/>
      </w:pPr>
      <w:rPr/>
    </w:lvl>
    <w:lvl w:ilvl="4">
      <w:start w:val="1"/>
      <w:numFmt w:val="decimal"/>
      <w:lvlText w:val="%1.%2.%3.%4.%5."/>
      <w:lvlJc w:val="left"/>
      <w:pPr>
        <w:tabs>
          <w:tab w:val="num" w:pos="1080"/>
        </w:tabs>
        <w:ind w:left="1080" w:hanging="1080"/>
      </w:pPr>
      <w:rPr/>
    </w:lvl>
    <w:lvl w:ilvl="5">
      <w:start w:val="1"/>
      <w:numFmt w:val="decimal"/>
      <w:lvlText w:val="%1.%2.%3.%4.%5.%6."/>
      <w:lvlJc w:val="left"/>
      <w:pPr>
        <w:tabs>
          <w:tab w:val="num" w:pos="1080"/>
        </w:tabs>
        <w:ind w:left="1080" w:hanging="1080"/>
      </w:pPr>
      <w:rPr/>
    </w:lvl>
    <w:lvl w:ilvl="6">
      <w:start w:val="1"/>
      <w:numFmt w:val="decimal"/>
      <w:lvlText w:val="%1.%2.%3.%4.%5.%6.%7."/>
      <w:lvlJc w:val="left"/>
      <w:pPr>
        <w:tabs>
          <w:tab w:val="num" w:pos="1440"/>
        </w:tabs>
        <w:ind w:left="1440" w:hanging="1440"/>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800"/>
        </w:tabs>
        <w:ind w:left="1800" w:hanging="1800"/>
      </w:pPr>
      <w:rPr/>
    </w:lvl>
  </w:abstractNum>
  <w:abstractNum w:abstractNumId="16">
    <w:lvl w:ilvl="0">
      <w:start w:val="1"/>
      <w:numFmt w:val="decimal"/>
      <w:lvlText w:val="%1"/>
      <w:lvlJc w:val="left"/>
      <w:pPr>
        <w:tabs>
          <w:tab w:val="num" w:pos="0"/>
        </w:tabs>
        <w:ind w:left="2422"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w="http://schemas.openxmlformats.org/wordprocessingml/2006/main">
  <w:zoom w:percent="99"/>
  <w:defaultTabStop w:val="708"/>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sz w:val="22"/>
        <w:szCs w:val="22"/>
        <w:lang w:val="ru-RU" w:eastAsia="en-US" w:bidi="ar-SA"/>
      </w:rPr>
    </w:rPrDefault>
    <w:pPrDefault>
      <w:pPr>
        <w:suppressAutoHyphens w:val="true"/>
      </w:pPr>
    </w:pPrDefault>
  </w:docDefaults>
  <w:style w:type="paragraph" w:styleId="Normal">
    <w:name w:val="Normal"/>
    <w:qFormat/>
    <w:pPr>
      <w:widowControl/>
      <w:suppressAutoHyphens w:val="true"/>
      <w:overflowPunct w:val="true"/>
      <w:bidi w:val="0"/>
      <w:spacing w:lineRule="auto" w:line="360" w:before="0" w:after="0"/>
      <w:ind w:left="0" w:right="0" w:firstLine="851"/>
      <w:jc w:val="both"/>
    </w:pPr>
    <w:rPr>
      <w:rFonts w:ascii="Calibri" w:hAnsi="Calibri" w:eastAsia="Calibri" w:cs="Arial"/>
      <w:color w:val="auto"/>
      <w:kern w:val="0"/>
      <w:sz w:val="22"/>
      <w:szCs w:val="22"/>
      <w:lang w:val="ru-RU" w:eastAsia="en-US" w:bidi="ar-SA"/>
    </w:rPr>
  </w:style>
  <w:style w:type="paragraph" w:styleId="Heading1">
    <w:name w:val="Heading 1"/>
    <w:basedOn w:val="Normal"/>
    <w:next w:val="Normal"/>
    <w:link w:val="1"/>
    <w:qFormat/>
    <w:pPr>
      <w:keepNext w:val="true"/>
      <w:keepLines/>
      <w:pageBreakBefore/>
      <w:numPr>
        <w:ilvl w:val="0"/>
        <w:numId w:val="0"/>
      </w:numPr>
      <w:spacing w:before="0" w:after="240"/>
      <w:ind w:left="0" w:right="0" w:hanging="0"/>
      <w:jc w:val="left"/>
      <w:outlineLvl w:val="0"/>
    </w:pPr>
    <w:rPr>
      <w:rFonts w:eastAsia="Calibri" w:cs="Times New Roman"/>
      <w:b/>
      <w:bCs/>
      <w:color w:val="000000"/>
      <w:sz w:val="32"/>
      <w:szCs w:val="28"/>
    </w:rPr>
  </w:style>
  <w:style w:type="paragraph" w:styleId="Heading2">
    <w:name w:val="Heading 2"/>
    <w:basedOn w:val="Normal"/>
    <w:next w:val="Normal"/>
    <w:link w:val="2"/>
    <w:qFormat/>
    <w:pPr>
      <w:keepNext w:val="true"/>
      <w:keepLines/>
      <w:numPr>
        <w:ilvl w:val="0"/>
        <w:numId w:val="0"/>
      </w:numPr>
      <w:suppressAutoHyphens w:val="true"/>
      <w:spacing w:before="240" w:after="120"/>
      <w:ind w:left="0" w:right="0" w:hanging="0"/>
      <w:jc w:val="left"/>
      <w:outlineLvl w:val="1"/>
    </w:pPr>
    <w:rPr>
      <w:rFonts w:eastAsia="Calibri" w:cs="Times New Roman"/>
      <w:b/>
      <w:bCs/>
      <w:color w:val="000000"/>
      <w:sz w:val="28"/>
      <w:szCs w:val="26"/>
    </w:rPr>
  </w:style>
  <w:style w:type="paragraph" w:styleId="Heading3">
    <w:name w:val="Heading 3"/>
    <w:basedOn w:val="Normal"/>
    <w:next w:val="Normal"/>
    <w:link w:val="3"/>
    <w:qFormat/>
    <w:pPr>
      <w:keepNext w:val="true"/>
      <w:keepLines/>
      <w:numPr>
        <w:ilvl w:val="0"/>
        <w:numId w:val="0"/>
      </w:numPr>
      <w:spacing w:before="40" w:after="0"/>
      <w:ind w:left="0" w:right="0" w:hanging="0"/>
      <w:outlineLvl w:val="2"/>
    </w:pPr>
    <w:rPr>
      <w:rFonts w:ascii="Calibri Light" w:hAnsi="Calibri Light" w:eastAsia="Calibri" w:cs="Times New Roman"/>
      <w:color w:val="1F4D78"/>
      <w:szCs w:val="24"/>
    </w:rPr>
  </w:style>
  <w:style w:type="paragraph" w:styleId="Heading4">
    <w:name w:val="Heading 4"/>
    <w:basedOn w:val="Heading3"/>
    <w:next w:val="BodyText"/>
    <w:link w:val="4"/>
    <w:qFormat/>
    <w:pPr>
      <w:keepNext w:val="false"/>
      <w:keepLines w:val="false"/>
      <w:numPr>
        <w:ilvl w:val="0"/>
        <w:numId w:val="0"/>
      </w:numPr>
      <w:tabs>
        <w:tab w:val="clear" w:pos="708"/>
        <w:tab w:val="left" w:pos="1758" w:leader="none"/>
      </w:tabs>
      <w:spacing w:lineRule="auto" w:line="240" w:before="200" w:after="120"/>
      <w:ind w:left="0" w:right="0" w:hanging="0"/>
      <w:contextualSpacing/>
      <w:outlineLvl w:val="3"/>
    </w:pPr>
    <w:rPr>
      <w:rFonts w:ascii="Times New Roman" w:hAnsi="Times New Roman" w:eastAsia="Times New Roman" w:cs="Times New Roman"/>
      <w:b/>
      <w:bCs/>
      <w:iCs/>
      <w:color w:val="auto"/>
      <w:sz w:val="26"/>
      <w:szCs w:val="28"/>
      <w:lang w:eastAsia="ru-RU"/>
    </w:rPr>
  </w:style>
  <w:style w:type="paragraph" w:styleId="Heading5">
    <w:name w:val="Heading 5"/>
    <w:basedOn w:val="Heading4"/>
    <w:next w:val="BodyText"/>
    <w:link w:val="5"/>
    <w:qFormat/>
    <w:pPr>
      <w:numPr>
        <w:ilvl w:val="0"/>
        <w:numId w:val="0"/>
      </w:numPr>
      <w:tabs>
        <w:tab w:val="clear" w:pos="1758"/>
        <w:tab w:val="left" w:pos="1247" w:leader="none"/>
      </w:tabs>
      <w:spacing w:before="240" w:after="120"/>
      <w:ind w:left="0" w:right="0" w:hanging="0"/>
      <w:contextualSpacing/>
      <w:outlineLvl w:val="4"/>
    </w:pPr>
    <w:rPr>
      <w:i/>
      <w:iCs w:val="false"/>
      <w:szCs w:val="26"/>
    </w:rPr>
  </w:style>
  <w:style w:type="paragraph" w:styleId="Heading6">
    <w:name w:val="Heading 6"/>
    <w:basedOn w:val="Normal"/>
    <w:next w:val="Normal"/>
    <w:link w:val="6"/>
    <w:qFormat/>
    <w:pPr>
      <w:numPr>
        <w:ilvl w:val="5"/>
        <w:numId w:val="5"/>
      </w:numPr>
      <w:spacing w:lineRule="auto" w:line="240" w:before="240" w:after="60"/>
      <w:outlineLvl w:val="5"/>
    </w:pPr>
    <w:rPr>
      <w:rFonts w:eastAsia="Times New Roman" w:cs="Times New Roman"/>
      <w:b/>
      <w:bCs/>
      <w:sz w:val="20"/>
      <w:lang w:eastAsia="ru-RU"/>
    </w:rPr>
  </w:style>
  <w:style w:type="paragraph" w:styleId="Heading7">
    <w:name w:val="Heading 7"/>
    <w:basedOn w:val="Normal"/>
    <w:next w:val="Normal"/>
    <w:link w:val="7"/>
    <w:qFormat/>
    <w:pPr>
      <w:numPr>
        <w:ilvl w:val="6"/>
        <w:numId w:val="5"/>
      </w:numPr>
      <w:spacing w:lineRule="auto" w:line="240" w:before="240" w:after="60"/>
      <w:outlineLvl w:val="6"/>
    </w:pPr>
    <w:rPr>
      <w:rFonts w:eastAsia="Times New Roman" w:cs="Times New Roman"/>
      <w:sz w:val="20"/>
      <w:szCs w:val="20"/>
      <w:lang w:eastAsia="ru-RU"/>
    </w:rPr>
  </w:style>
  <w:style w:type="paragraph" w:styleId="Heading8">
    <w:name w:val="Heading 8"/>
    <w:basedOn w:val="Normal"/>
    <w:next w:val="Normal"/>
    <w:link w:val="8"/>
    <w:qFormat/>
    <w:pPr>
      <w:numPr>
        <w:ilvl w:val="7"/>
        <w:numId w:val="5"/>
      </w:numPr>
      <w:spacing w:lineRule="auto" w:line="240" w:before="240" w:after="60"/>
      <w:outlineLvl w:val="7"/>
    </w:pPr>
    <w:rPr>
      <w:rFonts w:eastAsia="Times New Roman" w:cs="Times New Roman"/>
      <w:i/>
      <w:iCs/>
      <w:sz w:val="20"/>
      <w:szCs w:val="20"/>
      <w:lang w:eastAsia="ru-RU"/>
    </w:rPr>
  </w:style>
  <w:style w:type="paragraph" w:styleId="Heading9">
    <w:name w:val="Heading 9"/>
    <w:basedOn w:val="Normal"/>
    <w:next w:val="Normal"/>
    <w:link w:val="9"/>
    <w:qFormat/>
    <w:pPr>
      <w:numPr>
        <w:ilvl w:val="8"/>
        <w:numId w:val="5"/>
      </w:numPr>
      <w:spacing w:lineRule="auto" w:line="240" w:before="240" w:after="60"/>
      <w:outlineLvl w:val="8"/>
    </w:pPr>
    <w:rPr>
      <w:rFonts w:ascii="Arial" w:hAnsi="Arial" w:eastAsia="Times New Roman" w:cs="Times New Roman"/>
      <w:lang w:eastAsia="ru-RU"/>
    </w:rPr>
  </w:style>
  <w:style w:type="character" w:styleId="DefaultParagraphFont">
    <w:name w:val="Default Paragraph Font"/>
    <w:qFormat/>
    <w:rPr/>
  </w:style>
  <w:style w:type="character" w:styleId="1">
    <w:name w:val="Заголовок 1 Знак"/>
    <w:basedOn w:val="DefaultParagraphFont"/>
    <w:qFormat/>
    <w:rPr>
      <w:rFonts w:eastAsia="Calibri" w:cs="Times New Roman"/>
      <w:b/>
      <w:bCs/>
      <w:color w:val="000000"/>
      <w:sz w:val="32"/>
      <w:szCs w:val="28"/>
    </w:rPr>
  </w:style>
  <w:style w:type="character" w:styleId="2">
    <w:name w:val="Заголовок 2 Знак"/>
    <w:basedOn w:val="DefaultParagraphFont"/>
    <w:qFormat/>
    <w:rPr>
      <w:rFonts w:eastAsia="Calibri" w:cs="Times New Roman"/>
      <w:b/>
      <w:bCs/>
      <w:color w:val="000000"/>
      <w:sz w:val="28"/>
      <w:szCs w:val="26"/>
    </w:rPr>
  </w:style>
  <w:style w:type="character" w:styleId="Style">
    <w:name w:val="Дата Знак"/>
    <w:basedOn w:val="DefaultParagraphFont"/>
    <w:link w:val="Date"/>
    <w:qFormat/>
    <w:rPr>
      <w:rFonts w:ascii="Garamond" w:hAnsi="Garamond" w:eastAsia="Times New Roman" w:cs="Times New Roman"/>
      <w:kern w:val="2"/>
      <w:sz w:val="20"/>
      <w:szCs w:val="20"/>
      <w:lang w:val="en-US" w:eastAsia="ru-RU"/>
    </w:rPr>
  </w:style>
  <w:style w:type="character" w:styleId="Style1">
    <w:name w:val="Текст выноски Знак"/>
    <w:basedOn w:val="DefaultParagraphFont"/>
    <w:link w:val="BalloonText"/>
    <w:qFormat/>
    <w:rPr>
      <w:rFonts w:ascii="Tahoma" w:hAnsi="Tahoma" w:cs="Tahoma"/>
      <w:sz w:val="16"/>
      <w:szCs w:val="16"/>
    </w:rPr>
  </w:style>
  <w:style w:type="character" w:styleId="Style2">
    <w:name w:val="Верхний колонтитул Знак"/>
    <w:basedOn w:val="DefaultParagraphFont"/>
    <w:qFormat/>
    <w:rPr>
      <w:rFonts w:ascii="Times New Roman" w:hAnsi="Times New Roman"/>
      <w:sz w:val="24"/>
    </w:rPr>
  </w:style>
  <w:style w:type="character" w:styleId="Style3">
    <w:name w:val="Нижний колонтитул Знак"/>
    <w:basedOn w:val="DefaultParagraphFont"/>
    <w:qFormat/>
    <w:rPr>
      <w:rFonts w:ascii="Times New Roman" w:hAnsi="Times New Roman"/>
      <w:sz w:val="24"/>
    </w:rPr>
  </w:style>
  <w:style w:type="character" w:styleId="Style4">
    <w:name w:val="Текст таблицы Знак"/>
    <w:link w:val="Style62"/>
    <w:qFormat/>
    <w:rPr>
      <w:rFonts w:ascii="Times New Roman" w:hAnsi="Times New Roman" w:eastAsia="Times New Roman" w:cs="Times New Roman"/>
      <w:sz w:val="24"/>
      <w:szCs w:val="24"/>
      <w:lang w:eastAsia="ru-RU"/>
    </w:rPr>
  </w:style>
  <w:style w:type="character" w:styleId="Style5">
    <w:name w:val="Абзац списка Знак"/>
    <w:link w:val="ListParagraph"/>
    <w:qFormat/>
    <w:rPr/>
  </w:style>
  <w:style w:type="character" w:styleId="3">
    <w:name w:val="Заголовок 3 Знак"/>
    <w:basedOn w:val="DefaultParagraphFont"/>
    <w:qFormat/>
    <w:rPr>
      <w:rFonts w:ascii="Calibri Light" w:hAnsi="Calibri Light" w:eastAsia="Calibri" w:cs="Times New Roman"/>
      <w:color w:val="1F4D78"/>
      <w:szCs w:val="24"/>
    </w:rPr>
  </w:style>
  <w:style w:type="character" w:styleId="Style6">
    <w:name w:val="Основной текст Знак"/>
    <w:basedOn w:val="DefaultParagraphFont"/>
    <w:qFormat/>
    <w:rPr>
      <w:rFonts w:ascii="Times New Roman" w:hAnsi="Times New Roman" w:eastAsia="Times New Roman" w:cs="Times New Roman"/>
      <w:sz w:val="26"/>
      <w:szCs w:val="20"/>
      <w:lang w:eastAsia="ru-RU"/>
    </w:rPr>
  </w:style>
  <w:style w:type="character" w:styleId="Strong">
    <w:name w:val="Strong"/>
    <w:qFormat/>
    <w:rPr>
      <w:b/>
      <w:bCs/>
    </w:rPr>
  </w:style>
  <w:style w:type="character" w:styleId="2Exact">
    <w:name w:val="Основной текст (2) Exact"/>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22"/>
      <w:szCs w:val="22"/>
      <w:u w:val="none"/>
      <w:lang w:val="ru-RU" w:eastAsia="ru-RU" w:bidi="ru-RU"/>
    </w:rPr>
  </w:style>
  <w:style w:type="character" w:styleId="4">
    <w:name w:val="Заголовок 4 Знак"/>
    <w:basedOn w:val="DefaultParagraphFont"/>
    <w:qFormat/>
    <w:rPr>
      <w:rFonts w:ascii="Times New Roman" w:hAnsi="Times New Roman" w:eastAsia="Times New Roman" w:cs="Times New Roman"/>
      <w:b/>
      <w:bCs/>
      <w:iCs/>
      <w:sz w:val="26"/>
      <w:szCs w:val="28"/>
      <w:lang w:eastAsia="ru-RU"/>
    </w:rPr>
  </w:style>
  <w:style w:type="character" w:styleId="5">
    <w:name w:val="Заголовок 5 Знак"/>
    <w:basedOn w:val="DefaultParagraphFont"/>
    <w:qFormat/>
    <w:rPr>
      <w:rFonts w:ascii="Times New Roman" w:hAnsi="Times New Roman" w:eastAsia="Times New Roman" w:cs="Times New Roman"/>
      <w:b/>
      <w:bCs/>
      <w:i/>
      <w:sz w:val="26"/>
      <w:szCs w:val="26"/>
      <w:lang w:eastAsia="ru-RU"/>
    </w:rPr>
  </w:style>
  <w:style w:type="character" w:styleId="6">
    <w:name w:val="Заголовок 6 Знак"/>
    <w:basedOn w:val="DefaultParagraphFont"/>
    <w:qFormat/>
    <w:rPr>
      <w:rFonts w:eastAsia="Times New Roman" w:cs="Times New Roman"/>
      <w:b/>
      <w:bCs/>
      <w:sz w:val="20"/>
      <w:lang w:eastAsia="ru-RU"/>
    </w:rPr>
  </w:style>
  <w:style w:type="character" w:styleId="7">
    <w:name w:val="Заголовок 7 Знак"/>
    <w:basedOn w:val="DefaultParagraphFont"/>
    <w:qFormat/>
    <w:rPr>
      <w:rFonts w:eastAsia="Times New Roman" w:cs="Times New Roman"/>
      <w:sz w:val="20"/>
      <w:szCs w:val="20"/>
      <w:lang w:eastAsia="ru-RU"/>
    </w:rPr>
  </w:style>
  <w:style w:type="character" w:styleId="8">
    <w:name w:val="Заголовок 8 Знак"/>
    <w:basedOn w:val="DefaultParagraphFont"/>
    <w:qFormat/>
    <w:rPr>
      <w:rFonts w:eastAsia="Times New Roman" w:cs="Times New Roman"/>
      <w:i/>
      <w:iCs/>
      <w:sz w:val="20"/>
      <w:szCs w:val="20"/>
      <w:lang w:eastAsia="ru-RU"/>
    </w:rPr>
  </w:style>
  <w:style w:type="character" w:styleId="9">
    <w:name w:val="Заголовок 9 Знак"/>
    <w:basedOn w:val="DefaultParagraphFont"/>
    <w:qFormat/>
    <w:rPr>
      <w:rFonts w:ascii="Arial" w:hAnsi="Arial" w:eastAsia="Times New Roman" w:cs="Times New Roman"/>
      <w:lang w:eastAsia="ru-RU"/>
    </w:rPr>
  </w:style>
  <w:style w:type="character" w:styleId="Hyperlink">
    <w:name w:val="Hyperlink"/>
    <w:basedOn w:val="DefaultParagraphFont"/>
    <w:rPr>
      <w:color w:val="0563C1"/>
      <w:u w:val="single"/>
    </w:rPr>
  </w:style>
  <w:style w:type="character" w:styleId="Match">
    <w:name w:val="match"/>
    <w:basedOn w:val="DefaultParagraphFont"/>
    <w:qFormat/>
    <w:rPr/>
  </w:style>
  <w:style w:type="character" w:styleId="Style7">
    <w:name w:val="Основной текст с отступом Знак"/>
    <w:basedOn w:val="DefaultParagraphFont"/>
    <w:qFormat/>
    <w:rPr>
      <w:rFonts w:ascii="Times New Roman" w:hAnsi="Times New Roman"/>
      <w:sz w:val="24"/>
      <w:szCs w:val="24"/>
    </w:rPr>
  </w:style>
  <w:style w:type="character" w:styleId="21">
    <w:name w:val="Основной текст с отступом 2 Знак"/>
    <w:basedOn w:val="DefaultParagraphFont"/>
    <w:link w:val="BodyTextIndent2"/>
    <w:qFormat/>
    <w:rPr>
      <w:rFonts w:ascii="Times New Roman" w:hAnsi="Times New Roman"/>
      <w:sz w:val="24"/>
      <w:szCs w:val="18"/>
    </w:rPr>
  </w:style>
  <w:style w:type="character" w:styleId="0">
    <w:name w:val="0 Знак"/>
    <w:link w:val="02"/>
    <w:qFormat/>
    <w:rPr>
      <w:rFonts w:ascii="Times New Roman" w:hAnsi="Times New Roman" w:eastAsia="Times New Roman" w:cs="Times New Roman"/>
      <w:sz w:val="24"/>
      <w:szCs w:val="24"/>
      <w:lang w:eastAsia="ru-RU"/>
    </w:rPr>
  </w:style>
  <w:style w:type="character" w:styleId="Style8">
    <w:name w:val="ОбычныйТекст Знак"/>
    <w:link w:val="Style65"/>
    <w:qFormat/>
    <w:rPr>
      <w:rFonts w:ascii="Times New Roman" w:hAnsi="Times New Roman" w:eastAsia="Times New Roman" w:cs="Times New Roman"/>
      <w:sz w:val="24"/>
      <w:szCs w:val="24"/>
      <w:lang w:eastAsia="ru-RU"/>
    </w:rPr>
  </w:style>
  <w:style w:type="character" w:styleId="Comment">
    <w:name w:val="comment"/>
    <w:basedOn w:val="DefaultParagraphFont"/>
    <w:qFormat/>
    <w:rPr/>
  </w:style>
  <w:style w:type="character" w:styleId="Apple-converted-space">
    <w:name w:val="apple-converted-space"/>
    <w:basedOn w:val="DefaultParagraphFont"/>
    <w:qFormat/>
    <w:rPr/>
  </w:style>
  <w:style w:type="character" w:styleId="ListParagraphChar">
    <w:name w:val="List Paragraph Char"/>
    <w:link w:val="ListParagraph1"/>
    <w:qFormat/>
    <w:rPr>
      <w:rFonts w:ascii="Cambria" w:hAnsi="Cambria" w:eastAsia="Times New Roman" w:cs="Times New Roman"/>
      <w:sz w:val="24"/>
      <w:szCs w:val="24"/>
      <w:lang w:eastAsia="ru-RU"/>
    </w:rPr>
  </w:style>
  <w:style w:type="character" w:styleId="Pagenumber">
    <w:name w:val="page number"/>
    <w:qFormat/>
    <w:rPr>
      <w:rFonts w:cs="Times New Roman"/>
    </w:rPr>
  </w:style>
  <w:style w:type="character" w:styleId="Style9">
    <w:name w:val="Заголовок Знак"/>
    <w:basedOn w:val="DefaultParagraphFont"/>
    <w:qFormat/>
    <w:rPr>
      <w:rFonts w:ascii="Times New Roman" w:hAnsi="Times New Roman" w:eastAsia="Times New Roman" w:cs="Times New Roman"/>
      <w:b/>
      <w:bCs/>
      <w:sz w:val="28"/>
      <w:szCs w:val="20"/>
      <w:lang w:eastAsia="ru-RU"/>
    </w:rPr>
  </w:style>
  <w:style w:type="character" w:styleId="31">
    <w:name w:val="Основной текст с отступом 3 Знак"/>
    <w:basedOn w:val="DefaultParagraphFont"/>
    <w:link w:val="BodyTextIndent3"/>
    <w:qFormat/>
    <w:rPr>
      <w:rFonts w:ascii="Times New Roman" w:hAnsi="Times New Roman" w:eastAsia="Times New Roman" w:cs="Times New Roman"/>
      <w:sz w:val="28"/>
      <w:szCs w:val="20"/>
      <w:lang w:eastAsia="ru-RU"/>
    </w:rPr>
  </w:style>
  <w:style w:type="character" w:styleId="Style10">
    <w:name w:val="Схема документа Знак"/>
    <w:basedOn w:val="DefaultParagraphFont"/>
    <w:link w:val="DocumentMap"/>
    <w:qFormat/>
    <w:rPr>
      <w:rFonts w:ascii="Tahoma" w:hAnsi="Tahoma" w:eastAsia="Times New Roman" w:cs="Times New Roman"/>
      <w:sz w:val="20"/>
      <w:szCs w:val="20"/>
      <w:shd w:fill="000080" w:val="clear"/>
      <w:lang w:eastAsia="ru-RU"/>
    </w:rPr>
  </w:style>
  <w:style w:type="character" w:styleId="Style11">
    <w:name w:val="Название объекта Знак"/>
    <w:link w:val="Caption1"/>
    <w:qFormat/>
    <w:rPr>
      <w:rFonts w:ascii="Times New Roman" w:hAnsi="Times New Roman"/>
      <w:i/>
      <w:iCs/>
      <w:color w:val="44546A"/>
      <w:sz w:val="18"/>
      <w:szCs w:val="18"/>
    </w:rPr>
  </w:style>
  <w:style w:type="character" w:styleId="Style12">
    <w:name w:val="Текст Знак"/>
    <w:basedOn w:val="DefaultParagraphFont"/>
    <w:link w:val="PlainText"/>
    <w:qFormat/>
    <w:rPr>
      <w:rFonts w:ascii="Courier New" w:hAnsi="Courier New" w:eastAsia="Times New Roman" w:cs="Courier New"/>
      <w:sz w:val="20"/>
      <w:szCs w:val="20"/>
      <w:lang w:eastAsia="ru-RU"/>
    </w:rPr>
  </w:style>
  <w:style w:type="character" w:styleId="211">
    <w:name w:val="Заголовок 2 Знак1 Знак Знак"/>
    <w:qFormat/>
    <w:rPr>
      <w:sz w:val="24"/>
      <w:lang w:val="ru-RU" w:eastAsia="ru-RU"/>
    </w:rPr>
  </w:style>
  <w:style w:type="character" w:styleId="11">
    <w:name w:val="Стиль1 Знак"/>
    <w:link w:val="128"/>
    <w:qFormat/>
    <w:rPr>
      <w:rFonts w:ascii="Times New Roman" w:hAnsi="Times New Roman" w:eastAsia="Times New Roman" w:cs="Times New Roman"/>
      <w:b/>
      <w:sz w:val="24"/>
      <w:szCs w:val="24"/>
      <w:lang w:eastAsia="ru-RU"/>
    </w:rPr>
  </w:style>
  <w:style w:type="character" w:styleId="32">
    <w:name w:val="Основной текст 3 Знак"/>
    <w:basedOn w:val="DefaultParagraphFont"/>
    <w:link w:val="BodyText3"/>
    <w:qFormat/>
    <w:rPr>
      <w:rFonts w:ascii="Times New Roman" w:hAnsi="Times New Roman" w:eastAsia="Times New Roman" w:cs="Times New Roman"/>
      <w:sz w:val="20"/>
      <w:szCs w:val="20"/>
      <w:lang w:eastAsia="ru-RU"/>
    </w:rPr>
  </w:style>
  <w:style w:type="character" w:styleId="NoSpacingChar">
    <w:name w:val="No Spacing Char"/>
    <w:qFormat/>
    <w:rPr>
      <w:rFonts w:ascii="Calibri" w:hAnsi="Calibri"/>
      <w:sz w:val="22"/>
      <w:lang w:val="ru-RU" w:eastAsia="en-US"/>
    </w:rPr>
  </w:style>
  <w:style w:type="character" w:styleId="BalloonTextChar">
    <w:name w:val="Balloon Text Char"/>
    <w:qFormat/>
    <w:rPr>
      <w:rFonts w:ascii="Tahoma" w:hAnsi="Tahoma"/>
      <w:sz w:val="16"/>
    </w:rPr>
  </w:style>
  <w:style w:type="character" w:styleId="DateChar">
    <w:name w:val="Date Char"/>
    <w:qFormat/>
    <w:rPr>
      <w:rFonts w:ascii="Garamond" w:hAnsi="Garamond"/>
      <w:kern w:val="2"/>
      <w:lang w:val="en-US" w:eastAsia="x-none"/>
    </w:rPr>
  </w:style>
  <w:style w:type="character" w:styleId="Heading1Char">
    <w:name w:val="Heading 1 Char"/>
    <w:qFormat/>
    <w:rPr>
      <w:rFonts w:ascii="Times New Roman" w:hAnsi="Times New Roman"/>
      <w:b/>
      <w:sz w:val="24"/>
    </w:rPr>
  </w:style>
  <w:style w:type="character" w:styleId="22">
    <w:name w:val="Основной текст 2 Знак"/>
    <w:basedOn w:val="DefaultParagraphFont"/>
    <w:link w:val="BodyText21"/>
    <w:qFormat/>
    <w:rPr>
      <w:rFonts w:ascii="Times New Roman" w:hAnsi="Times New Roman" w:eastAsia="Times New Roman" w:cs="Times New Roman"/>
      <w:sz w:val="32"/>
      <w:szCs w:val="20"/>
      <w:lang w:eastAsia="ru-RU"/>
    </w:rPr>
  </w:style>
  <w:style w:type="character" w:styleId="Style13">
    <w:name w:val="Без интервала Знак"/>
    <w:link w:val="NoSpacing"/>
    <w:qFormat/>
    <w:rPr>
      <w:rFonts w:ascii="Calibri" w:hAnsi="Calibri"/>
      <w:sz w:val="22"/>
      <w:lang w:val="ru-RU" w:eastAsia="en-US"/>
    </w:rPr>
  </w:style>
  <w:style w:type="character" w:styleId="Arial11pt66">
    <w:name w:val="Стиль Arial 11 pt по ширине Перед:  6 пт После:  6 пт Знак"/>
    <w:link w:val="Arial11pt661"/>
    <w:qFormat/>
    <w:rPr>
      <w:rFonts w:ascii="Arial" w:hAnsi="Arial" w:eastAsia="Times New Roman" w:cs="Times New Roman"/>
      <w:szCs w:val="20"/>
      <w:lang w:eastAsia="ru-RU"/>
    </w:rPr>
  </w:style>
  <w:style w:type="character" w:styleId="FontStyle15">
    <w:name w:val="Font Style15"/>
    <w:qFormat/>
    <w:rPr>
      <w:rFonts w:ascii="Arial" w:hAnsi="Arial"/>
      <w:sz w:val="22"/>
    </w:rPr>
  </w:style>
  <w:style w:type="character" w:styleId="03">
    <w:name w:val="Норм 0 Знак3"/>
    <w:link w:val="04"/>
    <w:qFormat/>
    <w:rPr>
      <w:rFonts w:ascii="Times New Roman" w:hAnsi="Times New Roman" w:eastAsia="Times New Roman" w:cs="Times New Roman"/>
      <w:color w:val="000000"/>
      <w:sz w:val="24"/>
      <w:szCs w:val="20"/>
      <w:lang w:eastAsia="ru-RU"/>
    </w:rPr>
  </w:style>
  <w:style w:type="character" w:styleId="Annotationreference">
    <w:name w:val="annotation reference"/>
    <w:qFormat/>
    <w:rPr>
      <w:sz w:val="16"/>
    </w:rPr>
  </w:style>
  <w:style w:type="character" w:styleId="Style14">
    <w:name w:val="Текст примечания Знак"/>
    <w:basedOn w:val="DefaultParagraphFont"/>
    <w:link w:val="Annotationtext"/>
    <w:qFormat/>
    <w:rPr>
      <w:rFonts w:ascii="Times New Roman" w:hAnsi="Times New Roman" w:eastAsia="Times New Roman" w:cs="Times New Roman"/>
      <w:sz w:val="20"/>
      <w:szCs w:val="20"/>
      <w:lang w:eastAsia="ru-RU"/>
    </w:rPr>
  </w:style>
  <w:style w:type="character" w:styleId="Style15">
    <w:name w:val="Тема примечания Знак"/>
    <w:basedOn w:val="Style14"/>
    <w:link w:val="Annotationsubject"/>
    <w:qFormat/>
    <w:rPr>
      <w:rFonts w:ascii="Times New Roman" w:hAnsi="Times New Roman" w:eastAsia="Times New Roman" w:cs="Times New Roman"/>
      <w:b/>
      <w:bCs/>
      <w:sz w:val="20"/>
      <w:szCs w:val="20"/>
      <w:lang w:eastAsia="ru-RU"/>
    </w:rPr>
  </w:style>
  <w:style w:type="character" w:styleId="12">
    <w:name w:val="Обычный (веб) Знак1"/>
    <w:link w:val="NormalWeb"/>
    <w:qFormat/>
    <w:rPr>
      <w:rFonts w:ascii="Times New Roman" w:hAnsi="Times New Roman" w:eastAsia="Times New Roman" w:cs="Times New Roman"/>
      <w:sz w:val="24"/>
      <w:szCs w:val="24"/>
      <w:lang w:eastAsia="ru-RU"/>
    </w:rPr>
  </w:style>
  <w:style w:type="character" w:styleId="121">
    <w:name w:val="абзац 12 Знак"/>
    <w:link w:val="1210"/>
    <w:qFormat/>
    <w:rPr>
      <w:rFonts w:ascii="Arial" w:hAnsi="Arial"/>
    </w:rPr>
  </w:style>
  <w:style w:type="character" w:styleId="Apple-style-span">
    <w:name w:val="apple-style-span"/>
    <w:qFormat/>
    <w:rPr/>
  </w:style>
  <w:style w:type="character" w:styleId="Style16">
    <w:name w:val="ТАБЛИЦА Знак"/>
    <w:link w:val="Style79"/>
    <w:qFormat/>
    <w:rPr>
      <w:rFonts w:ascii="Times New Roman" w:hAnsi="Times New Roman" w:eastAsia="Times New Roman" w:cs="Times New Roman"/>
      <w:sz w:val="24"/>
      <w:szCs w:val="24"/>
    </w:rPr>
  </w:style>
  <w:style w:type="character" w:styleId="Style17">
    <w:name w:val="Текст сноски Знак"/>
    <w:basedOn w:val="DefaultParagraphFont"/>
    <w:qFormat/>
    <w:rPr>
      <w:rFonts w:ascii="Times New Roman" w:hAnsi="Times New Roman" w:eastAsia="Times New Roman" w:cs="Times New Roman"/>
      <w:sz w:val="20"/>
      <w:szCs w:val="20"/>
      <w:lang w:eastAsia="ru-RU"/>
    </w:rPr>
  </w:style>
  <w:style w:type="character" w:styleId="Style18">
    <w:name w:val="Символ сноски"/>
    <w:qFormat/>
    <w:rPr>
      <w:vertAlign w:val="superscript"/>
    </w:rPr>
  </w:style>
  <w:style w:type="character" w:styleId="FootnoteReference">
    <w:name w:val="Footnote Reference"/>
    <w:rPr>
      <w:vertAlign w:val="superscript"/>
    </w:rPr>
  </w:style>
  <w:style w:type="character" w:styleId="Style19">
    <w:name w:val="Текст концевой сноски Знак"/>
    <w:basedOn w:val="DefaultParagraphFont"/>
    <w:qFormat/>
    <w:rPr>
      <w:rFonts w:ascii="Times New Roman" w:hAnsi="Times New Roman" w:eastAsia="Times New Roman" w:cs="Times New Roman"/>
      <w:sz w:val="20"/>
      <w:szCs w:val="20"/>
      <w:lang w:eastAsia="ru-RU"/>
    </w:rPr>
  </w:style>
  <w:style w:type="character" w:styleId="13">
    <w:name w:val="Знак Знак1"/>
    <w:qFormat/>
    <w:rPr>
      <w:lang w:val="ru-RU" w:eastAsia="ru-RU"/>
    </w:rPr>
  </w:style>
  <w:style w:type="character" w:styleId="14">
    <w:name w:val="Верхний колонтитул Знак1"/>
    <w:qFormat/>
    <w:rPr/>
  </w:style>
  <w:style w:type="character" w:styleId="QuoteChar">
    <w:name w:val="Quote Char"/>
    <w:link w:val="218"/>
    <w:qFormat/>
    <w:rPr>
      <w:rFonts w:ascii="Times New Roman" w:hAnsi="Times New Roman" w:eastAsia="Times New Roman" w:cs="Times New Roman"/>
      <w:i/>
      <w:sz w:val="24"/>
      <w:szCs w:val="24"/>
      <w:lang w:val="en-US"/>
    </w:rPr>
  </w:style>
  <w:style w:type="character" w:styleId="FontStyle16">
    <w:name w:val="Font Style16"/>
    <w:qFormat/>
    <w:rPr>
      <w:rFonts w:ascii="Times New Roman" w:hAnsi="Times New Roman"/>
      <w:sz w:val="22"/>
    </w:rPr>
  </w:style>
  <w:style w:type="character" w:styleId="23">
    <w:name w:val="Верхний колонтитул Знак2"/>
    <w:qFormat/>
    <w:rPr/>
  </w:style>
  <w:style w:type="character" w:styleId="Style20">
    <w:name w:val="!Обычный Знак"/>
    <w:link w:val="Style86"/>
    <w:qFormat/>
    <w:rPr>
      <w:rFonts w:ascii="Arial" w:hAnsi="Arial"/>
    </w:rPr>
  </w:style>
  <w:style w:type="character" w:styleId="FootnoteTextChar1">
    <w:name w:val="Footnote Text Char1"/>
    <w:qFormat/>
    <w:rPr>
      <w:sz w:val="20"/>
      <w:lang w:val="x-none" w:eastAsia="en-US"/>
    </w:rPr>
  </w:style>
  <w:style w:type="character" w:styleId="DocumentMapChar1">
    <w:name w:val="Document Map Char1"/>
    <w:qFormat/>
    <w:rPr>
      <w:rFonts w:ascii="Times New Roman" w:hAnsi="Times New Roman"/>
      <w:sz w:val="2"/>
      <w:lang w:val="x-none" w:eastAsia="en-US"/>
    </w:rPr>
  </w:style>
  <w:style w:type="character" w:styleId="15">
    <w:name w:val="Схема документа Знак1"/>
    <w:qFormat/>
    <w:rPr>
      <w:rFonts w:ascii="Tahoma" w:hAnsi="Tahoma"/>
      <w:sz w:val="16"/>
      <w:lang w:val="x-none" w:eastAsia="en-US"/>
    </w:rPr>
  </w:style>
  <w:style w:type="character" w:styleId="HTML">
    <w:name w:val="Стандартный HTML Знак"/>
    <w:basedOn w:val="DefaultParagraphFont"/>
    <w:link w:val="HTMLPreformatted"/>
    <w:qFormat/>
    <w:rPr>
      <w:rFonts w:ascii="Courier New" w:hAnsi="Courier New" w:eastAsia="Times New Roman" w:cs="Times New Roman"/>
      <w:sz w:val="20"/>
      <w:szCs w:val="20"/>
      <w:lang w:val="en-US" w:eastAsia="ru-RU"/>
    </w:rPr>
  </w:style>
  <w:style w:type="character" w:styleId="Style21">
    <w:name w:val="Подзаголовок Знак"/>
    <w:basedOn w:val="DefaultParagraphFont"/>
    <w:qFormat/>
    <w:rPr>
      <w:rFonts w:ascii="Cambria" w:hAnsi="Cambria" w:eastAsia="Times New Roman" w:cs="Times New Roman"/>
      <w:i/>
      <w:iCs/>
      <w:color w:val="4F81BD"/>
      <w:spacing w:val="15"/>
      <w:sz w:val="24"/>
      <w:szCs w:val="24"/>
      <w:lang w:val="en-US"/>
    </w:rPr>
  </w:style>
  <w:style w:type="character" w:styleId="Emphasis">
    <w:name w:val="Emphasis"/>
    <w:qFormat/>
    <w:rPr>
      <w:i/>
    </w:rPr>
  </w:style>
  <w:style w:type="character" w:styleId="IntenseQuoteChar">
    <w:name w:val="Intense Quote Char"/>
    <w:link w:val="135"/>
    <w:qFormat/>
    <w:rPr>
      <w:rFonts w:ascii="Calibri" w:hAnsi="Calibri" w:eastAsia="Times New Roman" w:cs="Times New Roman"/>
      <w:b/>
      <w:bCs/>
      <w:i/>
      <w:iCs/>
      <w:color w:val="4F81BD"/>
      <w:lang w:val="en-US"/>
    </w:rPr>
  </w:style>
  <w:style w:type="character" w:styleId="16">
    <w:name w:val="Слабое выделение1"/>
    <w:qFormat/>
    <w:rPr>
      <w:i/>
      <w:color w:val="808080"/>
    </w:rPr>
  </w:style>
  <w:style w:type="character" w:styleId="17">
    <w:name w:val="Сильное выделение1"/>
    <w:qFormat/>
    <w:rPr>
      <w:b/>
      <w:i/>
      <w:color w:val="4F81BD"/>
    </w:rPr>
  </w:style>
  <w:style w:type="character" w:styleId="18">
    <w:name w:val="Слабая ссылка1"/>
    <w:qFormat/>
    <w:rPr>
      <w:smallCaps/>
      <w:color w:val="C0504D"/>
      <w:u w:val="single"/>
    </w:rPr>
  </w:style>
  <w:style w:type="character" w:styleId="19">
    <w:name w:val="Сильная ссылка1"/>
    <w:qFormat/>
    <w:rPr>
      <w:b/>
      <w:smallCaps/>
      <w:color w:val="C0504D"/>
      <w:spacing w:val="5"/>
      <w:u w:val="single"/>
    </w:rPr>
  </w:style>
  <w:style w:type="character" w:styleId="110">
    <w:name w:val="Название книги1"/>
    <w:qFormat/>
    <w:rPr>
      <w:b/>
      <w:smallCaps/>
      <w:spacing w:val="5"/>
    </w:rPr>
  </w:style>
  <w:style w:type="character" w:styleId="111">
    <w:name w:val="Текст примечания Знак1"/>
    <w:qFormat/>
    <w:rPr/>
  </w:style>
  <w:style w:type="character" w:styleId="CommentTextChar1">
    <w:name w:val="Comment Text Char1"/>
    <w:qFormat/>
    <w:rPr>
      <w:sz w:val="20"/>
      <w:lang w:val="x-none" w:eastAsia="en-US"/>
    </w:rPr>
  </w:style>
  <w:style w:type="character" w:styleId="112">
    <w:name w:val="Тема примечания Знак1"/>
    <w:qFormat/>
    <w:rPr>
      <w:b/>
    </w:rPr>
  </w:style>
  <w:style w:type="character" w:styleId="CommentSubjectChar1">
    <w:name w:val="Comment Subject Char1"/>
    <w:qFormat/>
    <w:rPr>
      <w:rFonts w:ascii="Calibri" w:hAnsi="Calibri"/>
      <w:b/>
      <w:sz w:val="20"/>
      <w:lang w:val="en-US" w:eastAsia="en-US"/>
    </w:rPr>
  </w:style>
  <w:style w:type="character" w:styleId="FollowedHyperlink">
    <w:name w:val="FollowedHyperlink"/>
    <w:rPr>
      <w:color w:val="800080"/>
      <w:u w:val="single"/>
    </w:rPr>
  </w:style>
  <w:style w:type="character" w:styleId="Style22">
    <w:name w:val="Таблица № Знак"/>
    <w:link w:val="Style101"/>
    <w:qFormat/>
    <w:rPr>
      <w:rFonts w:ascii="Times New Roman" w:hAnsi="Times New Roman" w:eastAsia="Times New Roman" w:cs="Times New Roman"/>
      <w:b/>
      <w:sz w:val="24"/>
      <w:szCs w:val="20"/>
      <w:lang w:eastAsia="ru-RU"/>
    </w:rPr>
  </w:style>
  <w:style w:type="character" w:styleId="113">
    <w:name w:val="Знак Знак11"/>
    <w:qFormat/>
    <w:rPr>
      <w:lang w:val="ru-RU" w:eastAsia="ru-RU"/>
    </w:rPr>
  </w:style>
  <w:style w:type="character" w:styleId="Style23">
    <w:name w:val="СМС Основной Знак"/>
    <w:link w:val="Style103"/>
    <w:qFormat/>
    <w:rPr>
      <w:rFonts w:ascii="Times New Roman" w:hAnsi="Times New Roman" w:eastAsia="Times New Roman" w:cs="Times New Roman"/>
      <w:sz w:val="24"/>
      <w:szCs w:val="24"/>
      <w:lang w:eastAsia="ru-RU"/>
    </w:rPr>
  </w:style>
  <w:style w:type="character" w:styleId="C">
    <w:name w:val="ВНП Обычный текст c отступом Знак"/>
    <w:link w:val="C1"/>
    <w:qFormat/>
    <w:rPr/>
  </w:style>
  <w:style w:type="character" w:styleId="211pt">
    <w:name w:val="Основной текст (2) + 11 pt"/>
    <w:qFormat/>
    <w:rPr>
      <w:rFonts w:ascii="Times New Roman" w:hAnsi="Times New Roman"/>
      <w:color w:val="000000"/>
      <w:spacing w:val="0"/>
      <w:w w:val="100"/>
      <w:sz w:val="22"/>
      <w:u w:val="none"/>
      <w:effect w:val="none"/>
      <w:shd w:fill="FFFFFF" w:val="clear"/>
      <w:lang w:val="ru-RU" w:eastAsia="ru-RU"/>
    </w:rPr>
  </w:style>
  <w:style w:type="character" w:styleId="St">
    <w:name w:val="st"/>
    <w:qFormat/>
    <w:rPr/>
  </w:style>
  <w:style w:type="character" w:styleId="24">
    <w:name w:val="Основной текст (2)"/>
    <w:qFormat/>
    <w:rPr>
      <w:rFonts w:ascii="Times New Roman" w:hAnsi="Times New Roman"/>
      <w:sz w:val="28"/>
      <w:u w:val="none"/>
      <w:shd w:fill="FFFFFF" w:val="clear"/>
    </w:rPr>
  </w:style>
  <w:style w:type="character" w:styleId="3Exact">
    <w:name w:val="Основной текст (3) Exact"/>
    <w:link w:val="314"/>
    <w:qFormat/>
    <w:rPr>
      <w:shd w:fill="FFFFFF" w:val="clear"/>
    </w:rPr>
  </w:style>
  <w:style w:type="character" w:styleId="FontStyle12">
    <w:name w:val="Font Style12"/>
    <w:qFormat/>
    <w:rPr>
      <w:rFonts w:ascii="MS Reference Sans Serif" w:hAnsi="MS Reference Sans Serif"/>
      <w:sz w:val="12"/>
    </w:rPr>
  </w:style>
  <w:style w:type="character" w:styleId="Style24">
    <w:name w:val="Текст обычный Знак"/>
    <w:link w:val="Style104"/>
    <w:qFormat/>
    <w:rPr>
      <w:rFonts w:ascii="Times New Roman" w:hAnsi="Times New Roman" w:eastAsia="Times New Roman" w:cs="Times New Roman"/>
      <w:sz w:val="24"/>
      <w:szCs w:val="26"/>
      <w:lang w:eastAsia="ru-RU"/>
    </w:rPr>
  </w:style>
  <w:style w:type="character" w:styleId="Style25">
    <w:name w:val="Стиль отчёта Знак"/>
    <w:link w:val="Style105"/>
    <w:qFormat/>
    <w:rPr>
      <w:rFonts w:ascii="Times New Roman" w:hAnsi="Times New Roman" w:eastAsia="Times New Roman" w:cs="Times New Roman"/>
      <w:sz w:val="24"/>
    </w:rPr>
  </w:style>
  <w:style w:type="character" w:styleId="221">
    <w:name w:val="Заголовок 2 Знак2"/>
    <w:qFormat/>
    <w:rPr>
      <w:b/>
      <w:bCs/>
      <w:i/>
      <w:iCs/>
      <w:kern w:val="2"/>
      <w:sz w:val="28"/>
      <w:szCs w:val="28"/>
    </w:rPr>
  </w:style>
  <w:style w:type="character" w:styleId="311">
    <w:name w:val="Заголовок 3 Знак1"/>
    <w:qFormat/>
    <w:rPr>
      <w:b/>
      <w:bCs/>
      <w:kern w:val="2"/>
      <w:sz w:val="26"/>
      <w:szCs w:val="26"/>
    </w:rPr>
  </w:style>
  <w:style w:type="character" w:styleId="Style26">
    <w:name w:val="Колонтитул(бок.) Знак"/>
    <w:link w:val="Style106"/>
    <w:qFormat/>
    <w:rPr>
      <w:rFonts w:ascii="ISOCPEUR" w:hAnsi="ISOCPEUR" w:eastAsia="Times New Roman" w:cs="ISOCPEUR"/>
      <w:i/>
      <w:iCs/>
      <w:spacing w:val="-20"/>
      <w:sz w:val="28"/>
      <w:szCs w:val="28"/>
      <w:lang w:eastAsia="ru-RU"/>
    </w:rPr>
  </w:style>
  <w:style w:type="character" w:styleId="114">
    <w:name w:val="Нижний колонтитул Знак1"/>
    <w:qFormat/>
    <w:rPr>
      <w:rFonts w:ascii="Times New Roman" w:hAnsi="Times New Roman" w:cs="Times New Roman"/>
      <w:sz w:val="20"/>
      <w:szCs w:val="20"/>
      <w:lang w:val="x-none" w:eastAsia="ru-RU"/>
    </w:rPr>
  </w:style>
  <w:style w:type="character" w:styleId="Style27">
    <w:name w:val="Текстовое наполнение Знак"/>
    <w:link w:val="Style113"/>
    <w:qFormat/>
    <w:rPr>
      <w:rFonts w:ascii="Times New Roman" w:hAnsi="Times New Roman" w:eastAsia="Calibri" w:cs="Times New Roman"/>
      <w:sz w:val="24"/>
      <w:szCs w:val="24"/>
      <w:lang w:val="x-none"/>
    </w:rPr>
  </w:style>
  <w:style w:type="character" w:styleId="Style28">
    <w:name w:val="Первое Знак"/>
    <w:link w:val="Style114"/>
    <w:qFormat/>
    <w:rPr>
      <w:rFonts w:ascii="Times New Roman" w:hAnsi="Times New Roman" w:eastAsia="Calibri" w:cs="Times New Roman"/>
      <w:b/>
      <w:caps/>
      <w:sz w:val="28"/>
      <w:szCs w:val="28"/>
      <w:lang w:val="x-none"/>
    </w:rPr>
  </w:style>
  <w:style w:type="character" w:styleId="Style29">
    <w:name w:val="Третье Знак"/>
    <w:link w:val="Style115"/>
    <w:qFormat/>
    <w:rPr>
      <w:rFonts w:ascii="Times New Roman" w:hAnsi="Times New Roman" w:eastAsia="Calibri" w:cs="Times New Roman"/>
      <w:sz w:val="24"/>
      <w:szCs w:val="24"/>
      <w:u w:val="single"/>
      <w:lang w:val="x-none"/>
    </w:rPr>
  </w:style>
  <w:style w:type="character" w:styleId="Style30">
    <w:name w:val="Таблица Знак"/>
    <w:link w:val="Style83"/>
    <w:qFormat/>
    <w:rPr>
      <w:rFonts w:ascii="Times New Roman" w:hAnsi="Times New Roman" w:eastAsia="Times New Roman" w:cs="Times New Roman"/>
      <w:sz w:val="24"/>
      <w:szCs w:val="24"/>
      <w:lang w:eastAsia="ru-RU"/>
    </w:rPr>
  </w:style>
  <w:style w:type="character" w:styleId="Style31">
    <w:name w:val="Второе_Приложения Знак"/>
    <w:link w:val="Style116"/>
    <w:qFormat/>
    <w:rPr>
      <w:rFonts w:ascii="Times New Roman" w:hAnsi="Times New Roman" w:eastAsia="Calibri" w:cs="Times New Roman"/>
      <w:b/>
      <w:i/>
      <w:sz w:val="24"/>
      <w:szCs w:val="24"/>
      <w:lang w:val="x-none"/>
    </w:rPr>
  </w:style>
  <w:style w:type="character" w:styleId="33">
    <w:name w:val="Заг 3 Знак Знак"/>
    <w:qFormat/>
    <w:rPr>
      <w:b/>
      <w:spacing w:val="10"/>
      <w:sz w:val="28"/>
      <w:lang w:val="ru-RU" w:eastAsia="ru-RU" w:bidi="ar-SA"/>
    </w:rPr>
  </w:style>
  <w:style w:type="character" w:styleId="Zag2">
    <w:name w:val="zag2"/>
    <w:basedOn w:val="DefaultParagraphFont"/>
    <w:qFormat/>
    <w:rPr/>
  </w:style>
  <w:style w:type="character" w:styleId="Style32">
    <w:name w:val="Второе Знак"/>
    <w:link w:val="Style118"/>
    <w:qFormat/>
    <w:rPr>
      <w:rFonts w:ascii="Times New Roman" w:hAnsi="Times New Roman" w:eastAsia="Calibri" w:cs="Times New Roman"/>
      <w:b/>
      <w:sz w:val="24"/>
      <w:szCs w:val="24"/>
      <w:lang w:val="x-none"/>
    </w:rPr>
  </w:style>
  <w:style w:type="character" w:styleId="Style33">
    <w:name w:val="основн. текст Знак Знак"/>
    <w:qFormat/>
    <w:rPr>
      <w:sz w:val="22"/>
      <w:lang w:val="en-US"/>
    </w:rPr>
  </w:style>
  <w:style w:type="character" w:styleId="II">
    <w:name w:val="II Знак Знак"/>
    <w:qFormat/>
    <w:rPr>
      <w:b/>
      <w:sz w:val="24"/>
    </w:rPr>
  </w:style>
  <w:style w:type="character" w:styleId="Style34">
    <w:name w:val="Титул Знак Знак"/>
    <w:qFormat/>
    <w:rPr>
      <w:sz w:val="28"/>
      <w:lang w:val="en-US" w:eastAsia="ru-RU" w:bidi="ar-SA"/>
    </w:rPr>
  </w:style>
  <w:style w:type="character" w:styleId="IV">
    <w:name w:val="IV Знак Знак"/>
    <w:qFormat/>
    <w:rPr>
      <w:b/>
      <w:bCs/>
      <w:spacing w:val="10"/>
      <w:sz w:val="26"/>
      <w:lang w:val="ru-RU" w:eastAsia="ru-RU" w:bidi="ar-SA"/>
    </w:rPr>
  </w:style>
  <w:style w:type="character" w:styleId="V">
    <w:name w:val="V Знак Знак"/>
    <w:qFormat/>
    <w:rPr>
      <w:b/>
      <w:bCs/>
      <w:sz w:val="26"/>
      <w:lang w:val="en-GB" w:eastAsia="ru-RU" w:bidi="ar-SA"/>
    </w:rPr>
  </w:style>
  <w:style w:type="character" w:styleId="I">
    <w:name w:val="I Знак Знак"/>
    <w:qFormat/>
    <w:rPr>
      <w:rFonts w:cs="Arial"/>
      <w:b/>
      <w:spacing w:val="40"/>
      <w:kern w:val="2"/>
      <w:sz w:val="40"/>
      <w:szCs w:val="32"/>
      <w:lang w:val="en-US" w:eastAsia="ru-RU" w:bidi="ar-SA"/>
    </w:rPr>
  </w:style>
  <w:style w:type="character" w:styleId="212">
    <w:name w:val="Заголовок 2 Знак1"/>
    <w:qFormat/>
    <w:rPr>
      <w:b/>
      <w:sz w:val="24"/>
    </w:rPr>
  </w:style>
  <w:style w:type="character" w:styleId="Style35">
    <w:name w:val="Основной текст Знак Знак Знак Знак Знак"/>
    <w:qFormat/>
    <w:rPr>
      <w:sz w:val="28"/>
      <w:lang w:val="ru-RU" w:eastAsia="ru-RU" w:bidi="ar-SA"/>
    </w:rPr>
  </w:style>
  <w:style w:type="character" w:styleId="A1">
    <w:name w:val="A1"/>
    <w:qFormat/>
    <w:rPr>
      <w:rFonts w:cs="Arial"/>
      <w:b/>
      <w:bCs/>
      <w:color w:val="000000"/>
      <w:sz w:val="22"/>
      <w:szCs w:val="22"/>
    </w:rPr>
  </w:style>
  <w:style w:type="character" w:styleId="A2">
    <w:name w:val="A2"/>
    <w:qFormat/>
    <w:rPr>
      <w:rFonts w:cs="Arial"/>
      <w:b/>
      <w:bCs/>
      <w:color w:val="000000"/>
      <w:sz w:val="18"/>
      <w:szCs w:val="18"/>
    </w:rPr>
  </w:style>
  <w:style w:type="character" w:styleId="A5">
    <w:name w:val="A5"/>
    <w:qFormat/>
    <w:rPr>
      <w:rFonts w:cs="Arial"/>
      <w:color w:val="000000"/>
      <w:sz w:val="16"/>
      <w:szCs w:val="16"/>
    </w:rPr>
  </w:style>
  <w:style w:type="character" w:styleId="BookTitle">
    <w:name w:val="Book Title"/>
    <w:qFormat/>
    <w:rPr>
      <w:b/>
      <w:bCs/>
      <w:smallCaps/>
      <w:spacing w:val="5"/>
    </w:rPr>
  </w:style>
  <w:style w:type="character" w:styleId="Colorgray">
    <w:name w:val="colorgray"/>
    <w:qFormat/>
    <w:rPr/>
  </w:style>
  <w:style w:type="character" w:styleId="Style36">
    <w:name w:val="Основной СМС Знак"/>
    <w:link w:val="Style125"/>
    <w:qFormat/>
    <w:rPr>
      <w:rFonts w:ascii="Times New Roman" w:hAnsi="Times New Roman" w:eastAsia="Times New Roman" w:cs="Times New Roman"/>
      <w:sz w:val="24"/>
      <w:szCs w:val="24"/>
      <w:lang w:eastAsia="ru-RU"/>
    </w:rPr>
  </w:style>
  <w:style w:type="character" w:styleId="FontStyle14">
    <w:name w:val="Font Style14"/>
    <w:qFormat/>
    <w:rPr>
      <w:rFonts w:ascii="Times New Roman" w:hAnsi="Times New Roman" w:cs="Times New Roman"/>
      <w:spacing w:val="10"/>
      <w:sz w:val="20"/>
      <w:szCs w:val="20"/>
    </w:rPr>
  </w:style>
  <w:style w:type="character" w:styleId="Style37">
    <w:name w:val="стиль записки Знак"/>
    <w:link w:val="Style126"/>
    <w:qFormat/>
    <w:rPr>
      <w:rFonts w:ascii="Times New Roman" w:hAnsi="Times New Roman" w:eastAsia="Times New Roman" w:cs="Times New Roman"/>
      <w:sz w:val="24"/>
      <w:szCs w:val="20"/>
      <w:lang w:eastAsia="ru-RU"/>
    </w:rPr>
  </w:style>
  <w:style w:type="character" w:styleId="Style38">
    <w:name w:val="Основной текст_"/>
    <w:link w:val="227"/>
    <w:qFormat/>
    <w:rPr>
      <w:sz w:val="27"/>
      <w:szCs w:val="27"/>
      <w:shd w:fill="FFFFFF" w:val="clear"/>
    </w:rPr>
  </w:style>
  <w:style w:type="character" w:styleId="41">
    <w:name w:val="Основной текст (4)_"/>
    <w:link w:val="47"/>
    <w:qFormat/>
    <w:rPr>
      <w:b/>
      <w:bCs/>
      <w:sz w:val="27"/>
      <w:szCs w:val="27"/>
      <w:shd w:fill="FFFFFF" w:val="clear"/>
    </w:rPr>
  </w:style>
  <w:style w:type="character" w:styleId="Style39">
    <w:name w:val="Основной текст + Полужирный"/>
    <w:qFormat/>
    <w:rPr>
      <w:rFonts w:ascii="Times New Roman" w:hAnsi="Times New Roman" w:eastAsia="Times New Roman" w:cs="Times New Roman"/>
      <w:b/>
      <w:bCs/>
      <w:i w:val="false"/>
      <w:iCs w:val="false"/>
      <w:caps w:val="false"/>
      <w:smallCaps w:val="false"/>
      <w:strike w:val="false"/>
      <w:dstrike w:val="false"/>
      <w:color w:val="000000"/>
      <w:spacing w:val="0"/>
      <w:w w:val="100"/>
      <w:sz w:val="27"/>
      <w:szCs w:val="27"/>
      <w:u w:val="none"/>
      <w:shd w:fill="FFFFFF" w:val="clear"/>
      <w:lang w:val="ru-RU"/>
    </w:rPr>
  </w:style>
  <w:style w:type="character" w:styleId="FontStyle20">
    <w:name w:val="Font Style20"/>
    <w:qFormat/>
    <w:rPr>
      <w:rFonts w:ascii="Times New Roman" w:hAnsi="Times New Roman" w:cs="Times New Roman"/>
      <w:sz w:val="24"/>
      <w:szCs w:val="24"/>
    </w:rPr>
  </w:style>
  <w:style w:type="character" w:styleId="Style40">
    <w:name w:val="Красная строка Знак"/>
    <w:basedOn w:val="Style6"/>
    <w:link w:val="BodyTextIndent1"/>
    <w:qFormat/>
    <w:rPr>
      <w:rFonts w:ascii="Times New Roman" w:hAnsi="Times New Roman" w:eastAsia="Times New Roman" w:cs="Times New Roman"/>
      <w:sz w:val="24"/>
      <w:szCs w:val="24"/>
      <w:lang w:eastAsia="ru-RU"/>
    </w:rPr>
  </w:style>
  <w:style w:type="character" w:styleId="25">
    <w:name w:val="Красная строка 2 Знак"/>
    <w:basedOn w:val="Style7"/>
    <w:link w:val="BodyTextFirstIndent2"/>
    <w:qFormat/>
    <w:rPr>
      <w:rFonts w:ascii="Times New Roman" w:hAnsi="Times New Roman" w:eastAsia="Times New Roman" w:cs="Times New Roman"/>
      <w:sz w:val="24"/>
      <w:szCs w:val="24"/>
      <w:lang w:eastAsia="ru-RU"/>
    </w:rPr>
  </w:style>
  <w:style w:type="character" w:styleId="BodyTextChar">
    <w:name w:val="Body Text Char"/>
    <w:qFormat/>
    <w:rPr>
      <w:rFonts w:ascii="Times New Roman" w:hAnsi="Times New Roman" w:cs="Times New Roman"/>
      <w:sz w:val="23"/>
      <w:szCs w:val="23"/>
      <w:u w:val="none"/>
    </w:rPr>
  </w:style>
  <w:style w:type="character" w:styleId="10">
    <w:name w:val="Основной текст + 10"/>
    <w:qFormat/>
    <w:rPr>
      <w:rFonts w:ascii="Times New Roman" w:hAnsi="Times New Roman" w:cs="Times New Roman"/>
      <w:b/>
      <w:bCs/>
      <w:sz w:val="21"/>
      <w:szCs w:val="21"/>
      <w:u w:val="none"/>
    </w:rPr>
  </w:style>
  <w:style w:type="character" w:styleId="New">
    <w:name w:val="New_Обычный Знак"/>
    <w:basedOn w:val="DefaultParagraphFont"/>
    <w:link w:val="New1"/>
    <w:qFormat/>
    <w:rPr>
      <w:rFonts w:ascii="Times New Roman" w:hAnsi="Times New Roman" w:eastAsia="Times New Roman" w:cs="Times New Roman"/>
      <w:sz w:val="28"/>
      <w:szCs w:val="28"/>
      <w:lang w:eastAsia="ru-RU"/>
    </w:rPr>
  </w:style>
  <w:style w:type="character" w:styleId="HTML1">
    <w:name w:val="Адрес HTML Знак"/>
    <w:basedOn w:val="DefaultParagraphFont"/>
    <w:link w:val="HTMLAddress"/>
    <w:qFormat/>
    <w:rPr>
      <w:rFonts w:ascii="Times New Roman" w:hAnsi="Times New Roman" w:eastAsia="Times New Roman" w:cs="Times New Roman"/>
      <w:i/>
      <w:iCs/>
      <w:sz w:val="28"/>
      <w:szCs w:val="24"/>
      <w:lang w:eastAsia="ru-RU"/>
    </w:rPr>
  </w:style>
  <w:style w:type="character" w:styleId="HTMLAcronym">
    <w:name w:val="HTML Acronym"/>
    <w:basedOn w:val="DefaultParagraphFont"/>
    <w:qFormat/>
    <w:rPr/>
  </w:style>
  <w:style w:type="character" w:styleId="Style41">
    <w:name w:val="Заголовок записки Знак"/>
    <w:basedOn w:val="DefaultParagraphFont"/>
    <w:link w:val="NoteHeading"/>
    <w:qFormat/>
    <w:rPr>
      <w:rFonts w:ascii="Times New Roman" w:hAnsi="Times New Roman" w:eastAsia="Times New Roman" w:cs="Times New Roman"/>
      <w:sz w:val="28"/>
      <w:szCs w:val="24"/>
      <w:lang w:eastAsia="ru-RU"/>
    </w:rPr>
  </w:style>
  <w:style w:type="character" w:styleId="HTMLKeyboard">
    <w:name w:val="HTML Keyboard"/>
    <w:basedOn w:val="DefaultParagraphFont"/>
    <w:qFormat/>
    <w:rPr>
      <w:rFonts w:ascii="Courier New" w:hAnsi="Courier New" w:cs="Courier New"/>
      <w:sz w:val="20"/>
      <w:szCs w:val="20"/>
    </w:rPr>
  </w:style>
  <w:style w:type="character" w:styleId="HTMLCode">
    <w:name w:val="HTML Code"/>
    <w:basedOn w:val="DefaultParagraphFont"/>
    <w:qFormat/>
    <w:rPr>
      <w:rFonts w:ascii="Courier New" w:hAnsi="Courier New" w:cs="Courier New"/>
      <w:sz w:val="20"/>
      <w:szCs w:val="20"/>
    </w:rPr>
  </w:style>
  <w:style w:type="character" w:styleId="Linenumber">
    <w:name w:val="line number"/>
    <w:basedOn w:val="DefaultParagraphFont"/>
    <w:qFormat/>
    <w:rPr/>
  </w:style>
  <w:style w:type="character" w:styleId="HTMLSample">
    <w:name w:val="HTML Sample"/>
    <w:basedOn w:val="DefaultParagraphFont"/>
    <w:qFormat/>
    <w:rPr>
      <w:rFonts w:ascii="Courier New" w:hAnsi="Courier New" w:cs="Courier New"/>
    </w:rPr>
  </w:style>
  <w:style w:type="character" w:styleId="HTMLDefinition">
    <w:name w:val="HTML Definition"/>
    <w:basedOn w:val="DefaultParagraphFont"/>
    <w:qFormat/>
    <w:rPr>
      <w:i/>
      <w:iCs/>
    </w:rPr>
  </w:style>
  <w:style w:type="character" w:styleId="HTMLVariable">
    <w:name w:val="HTML Variable"/>
    <w:basedOn w:val="DefaultParagraphFont"/>
    <w:qFormat/>
    <w:rPr>
      <w:i/>
      <w:iCs/>
    </w:rPr>
  </w:style>
  <w:style w:type="character" w:styleId="HTMLTypewriter">
    <w:name w:val="HTML Typewriter"/>
    <w:basedOn w:val="DefaultParagraphFont"/>
    <w:qFormat/>
    <w:rPr>
      <w:rFonts w:ascii="Courier New" w:hAnsi="Courier New" w:cs="Courier New"/>
      <w:sz w:val="20"/>
      <w:szCs w:val="20"/>
    </w:rPr>
  </w:style>
  <w:style w:type="character" w:styleId="Style42">
    <w:name w:val="Подпись Знак"/>
    <w:basedOn w:val="DefaultParagraphFont"/>
    <w:qFormat/>
    <w:rPr>
      <w:rFonts w:ascii="Times New Roman" w:hAnsi="Times New Roman" w:eastAsia="Times New Roman" w:cs="Times New Roman"/>
      <w:sz w:val="28"/>
      <w:szCs w:val="24"/>
      <w:lang w:eastAsia="ru-RU"/>
    </w:rPr>
  </w:style>
  <w:style w:type="character" w:styleId="Style43">
    <w:name w:val="Приветствие Знак"/>
    <w:basedOn w:val="DefaultParagraphFont"/>
    <w:qFormat/>
    <w:rPr>
      <w:rFonts w:ascii="Times New Roman" w:hAnsi="Times New Roman" w:eastAsia="Times New Roman" w:cs="Times New Roman"/>
      <w:sz w:val="28"/>
      <w:szCs w:val="24"/>
      <w:lang w:eastAsia="ru-RU"/>
    </w:rPr>
  </w:style>
  <w:style w:type="character" w:styleId="Style44">
    <w:name w:val="Прощание Знак"/>
    <w:basedOn w:val="DefaultParagraphFont"/>
    <w:link w:val="Closing1"/>
    <w:qFormat/>
    <w:rPr>
      <w:rFonts w:ascii="Times New Roman" w:hAnsi="Times New Roman" w:eastAsia="Times New Roman" w:cs="Times New Roman"/>
      <w:sz w:val="28"/>
      <w:szCs w:val="24"/>
      <w:lang w:eastAsia="ru-RU"/>
    </w:rPr>
  </w:style>
  <w:style w:type="character" w:styleId="HTMLCite">
    <w:name w:val="HTML Cite"/>
    <w:basedOn w:val="DefaultParagraphFont"/>
    <w:qFormat/>
    <w:rPr>
      <w:i/>
      <w:iCs/>
    </w:rPr>
  </w:style>
  <w:style w:type="character" w:styleId="Style45">
    <w:name w:val="Шапка Знак"/>
    <w:basedOn w:val="DefaultParagraphFont"/>
    <w:link w:val="MessageHeader"/>
    <w:qFormat/>
    <w:rPr>
      <w:rFonts w:ascii="Arial" w:hAnsi="Arial" w:eastAsia="Times New Roman" w:cs="Arial"/>
      <w:sz w:val="24"/>
      <w:szCs w:val="24"/>
      <w:shd w:fill="CCCCCC" w:val="clear"/>
      <w:lang w:eastAsia="ru-RU"/>
    </w:rPr>
  </w:style>
  <w:style w:type="character" w:styleId="Style46">
    <w:name w:val="Электронная подпись Знак"/>
    <w:basedOn w:val="DefaultParagraphFont"/>
    <w:link w:val="E-mailSignature"/>
    <w:qFormat/>
    <w:rPr>
      <w:rFonts w:ascii="Times New Roman" w:hAnsi="Times New Roman" w:eastAsia="Times New Roman" w:cs="Times New Roman"/>
      <w:sz w:val="28"/>
      <w:szCs w:val="24"/>
      <w:lang w:eastAsia="ru-RU"/>
    </w:rPr>
  </w:style>
  <w:style w:type="character" w:styleId="FontStyle238">
    <w:name w:val="Font Style238"/>
    <w:basedOn w:val="DefaultParagraphFont"/>
    <w:qFormat/>
    <w:rPr>
      <w:rFonts w:ascii="Times New Roman" w:hAnsi="Times New Roman" w:cs="Times New Roman"/>
      <w:b/>
      <w:bCs/>
      <w:sz w:val="22"/>
      <w:szCs w:val="22"/>
    </w:rPr>
  </w:style>
  <w:style w:type="character" w:styleId="115">
    <w:name w:val="Заголовок 1 Знак1"/>
    <w:basedOn w:val="DefaultParagraphFont"/>
    <w:qFormat/>
    <w:rPr>
      <w:rFonts w:ascii="Arial" w:hAnsi="Arial" w:eastAsia="Times New Roman" w:cs="Arial"/>
      <w:b/>
      <w:bCs/>
      <w:sz w:val="28"/>
      <w:szCs w:val="24"/>
      <w:lang w:eastAsia="ru-RU"/>
    </w:rPr>
  </w:style>
  <w:style w:type="character" w:styleId="Style47">
    <w:name w:val="Подраздел Знак Знак"/>
    <w:basedOn w:val="DefaultParagraphFont"/>
    <w:qFormat/>
    <w:rPr>
      <w:b/>
      <w:sz w:val="32"/>
      <w:szCs w:val="24"/>
      <w:lang w:val="ru-RU" w:eastAsia="ru-RU" w:bidi="ar-SA"/>
    </w:rPr>
  </w:style>
  <w:style w:type="character" w:styleId="213">
    <w:name w:val="Знак Знак21"/>
    <w:basedOn w:val="DefaultParagraphFont"/>
    <w:qFormat/>
    <w:rPr>
      <w:b/>
      <w:color w:val="FFFFFF"/>
      <w:sz w:val="24"/>
      <w:szCs w:val="24"/>
      <w:lang w:val="ru-RU" w:eastAsia="ru-RU" w:bidi="ar-SA"/>
    </w:rPr>
  </w:style>
  <w:style w:type="character" w:styleId="20">
    <w:name w:val="Знак Знак20"/>
    <w:basedOn w:val="DefaultParagraphFont"/>
    <w:qFormat/>
    <w:rPr>
      <w:b/>
      <w:bCs/>
      <w:color w:val="000000"/>
      <w:spacing w:val="-16"/>
      <w:sz w:val="34"/>
      <w:szCs w:val="34"/>
      <w:lang w:val="ru-RU" w:eastAsia="ru-RU" w:bidi="ar-SA"/>
    </w:rPr>
  </w:style>
  <w:style w:type="character" w:styleId="Style48">
    <w:name w:val="Приложение Знак Знак"/>
    <w:basedOn w:val="DefaultParagraphFont"/>
    <w:qFormat/>
    <w:rPr>
      <w:color w:val="000000"/>
      <w:spacing w:val="-14"/>
      <w:sz w:val="24"/>
      <w:szCs w:val="24"/>
      <w:lang w:val="ru-RU" w:eastAsia="ru-RU" w:bidi="ar-SA"/>
    </w:rPr>
  </w:style>
  <w:style w:type="character" w:styleId="151">
    <w:name w:val="Знак Знак15"/>
    <w:basedOn w:val="DefaultParagraphFont"/>
    <w:qFormat/>
    <w:rPr>
      <w:sz w:val="28"/>
      <w:lang w:val="ru-RU" w:eastAsia="ru-RU" w:bidi="ar-SA"/>
    </w:rPr>
  </w:style>
  <w:style w:type="character" w:styleId="141">
    <w:name w:val="Знак Знак14"/>
    <w:basedOn w:val="DefaultParagraphFont"/>
    <w:qFormat/>
    <w:rPr>
      <w:i/>
      <w:iCs/>
      <w:color w:val="000000"/>
      <w:sz w:val="24"/>
      <w:szCs w:val="24"/>
      <w:lang w:val="ru-RU" w:eastAsia="ru-RU" w:bidi="ar-SA"/>
    </w:rPr>
  </w:style>
  <w:style w:type="character" w:styleId="131">
    <w:name w:val="Знак Знак13"/>
    <w:basedOn w:val="DefaultParagraphFont"/>
    <w:qFormat/>
    <w:rPr>
      <w:sz w:val="32"/>
      <w:lang w:val="ru-RU" w:eastAsia="ru-RU" w:bidi="ar-SA"/>
    </w:rPr>
  </w:style>
  <w:style w:type="character" w:styleId="122">
    <w:name w:val="Знак Знак12"/>
    <w:basedOn w:val="DefaultParagraphFont"/>
    <w:qFormat/>
    <w:rPr>
      <w:sz w:val="24"/>
      <w:szCs w:val="24"/>
      <w:lang w:val="ru-RU" w:eastAsia="ru-RU" w:bidi="ar-SA"/>
    </w:rPr>
  </w:style>
  <w:style w:type="character" w:styleId="116">
    <w:name w:val="Основной текст таблиц Знак1"/>
    <w:basedOn w:val="DefaultParagraphFont"/>
    <w:qFormat/>
    <w:rPr>
      <w:sz w:val="28"/>
      <w:szCs w:val="24"/>
      <w:lang w:val="ru-RU" w:eastAsia="ru-RU" w:bidi="ar-SA"/>
    </w:rPr>
  </w:style>
  <w:style w:type="character" w:styleId="101">
    <w:name w:val="Знак Знак10"/>
    <w:basedOn w:val="DefaultParagraphFont"/>
    <w:qFormat/>
    <w:rPr>
      <w:b/>
      <w:bCs/>
      <w:sz w:val="28"/>
      <w:szCs w:val="24"/>
      <w:lang w:val="ru-RU" w:eastAsia="ru-RU" w:bidi="ar-SA"/>
    </w:rPr>
  </w:style>
  <w:style w:type="character" w:styleId="91">
    <w:name w:val="Знак Знак9"/>
    <w:basedOn w:val="DefaultParagraphFont"/>
    <w:qFormat/>
    <w:rPr>
      <w:sz w:val="24"/>
      <w:szCs w:val="24"/>
      <w:lang w:val="ru-RU" w:eastAsia="ru-RU" w:bidi="ar-SA"/>
    </w:rPr>
  </w:style>
  <w:style w:type="character" w:styleId="81">
    <w:name w:val="Знак Знак8"/>
    <w:basedOn w:val="DefaultParagraphFont"/>
    <w:qFormat/>
    <w:rPr>
      <w:sz w:val="16"/>
      <w:szCs w:val="16"/>
      <w:lang w:val="ru-RU" w:eastAsia="ru-RU" w:bidi="ar-SA"/>
    </w:rPr>
  </w:style>
  <w:style w:type="character" w:styleId="71">
    <w:name w:val="Знак Знак7"/>
    <w:basedOn w:val="DefaultParagraphFont"/>
    <w:qFormat/>
    <w:rPr>
      <w:sz w:val="16"/>
      <w:szCs w:val="16"/>
      <w:lang w:val="ru-RU" w:eastAsia="ru-RU" w:bidi="ar-SA"/>
    </w:rPr>
  </w:style>
  <w:style w:type="character" w:styleId="34">
    <w:name w:val="Знак Знак3"/>
    <w:basedOn w:val="DefaultParagraphFont"/>
    <w:qFormat/>
    <w:rPr>
      <w:rFonts w:ascii="Courier New" w:hAnsi="Courier New" w:cs="Courier New"/>
      <w:lang w:val="ru-RU" w:eastAsia="ru-RU" w:bidi="ar-SA"/>
    </w:rPr>
  </w:style>
  <w:style w:type="character" w:styleId="Style49">
    <w:name w:val="Глава Знак Знак"/>
    <w:basedOn w:val="DefaultParagraphFont"/>
    <w:qFormat/>
    <w:rPr>
      <w:rFonts w:ascii="Arial" w:hAnsi="Arial" w:cs="Arial"/>
      <w:b/>
      <w:bCs/>
      <w:sz w:val="28"/>
      <w:szCs w:val="24"/>
      <w:lang w:val="ru-RU" w:eastAsia="ru-RU" w:bidi="ar-SA"/>
    </w:rPr>
  </w:style>
  <w:style w:type="character" w:styleId="Style50">
    <w:name w:val="Текст записки Знак"/>
    <w:basedOn w:val="DefaultParagraphFont"/>
    <w:link w:val="Style143"/>
    <w:qFormat/>
    <w:rPr>
      <w:rFonts w:ascii="Times New Roman" w:hAnsi="Times New Roman" w:eastAsia="MS Mincho" w:cs="Times New Roman"/>
      <w:sz w:val="24"/>
      <w:szCs w:val="20"/>
      <w:lang w:eastAsia="ru-RU"/>
    </w:rPr>
  </w:style>
  <w:style w:type="character" w:styleId="Style51">
    <w:name w:val="осн Знак"/>
    <w:basedOn w:val="DefaultParagraphFont"/>
    <w:link w:val="Style154"/>
    <w:qFormat/>
    <w:rPr>
      <w:rFonts w:ascii="Times New Roman" w:hAnsi="Times New Roman" w:eastAsia="Times New Roman" w:cs="Times New Roman"/>
      <w:sz w:val="28"/>
      <w:szCs w:val="28"/>
    </w:rPr>
  </w:style>
  <w:style w:type="character" w:styleId="117">
    <w:name w:val="Текст концевой сноски Знак1"/>
    <w:basedOn w:val="DefaultParagraphFont"/>
    <w:qFormat/>
    <w:rPr/>
  </w:style>
  <w:style w:type="character" w:styleId="Style52">
    <w:name w:val="П.З. Знак"/>
    <w:basedOn w:val="DefaultParagraphFont"/>
    <w:link w:val="Style134"/>
    <w:qFormat/>
    <w:rPr>
      <w:rFonts w:ascii="Times New Roman" w:hAnsi="Times New Roman" w:eastAsia="Times New Roman" w:cs="Times New Roman"/>
      <w:sz w:val="28"/>
      <w:szCs w:val="28"/>
      <w:lang w:eastAsia="ru-RU"/>
    </w:rPr>
  </w:style>
  <w:style w:type="character" w:styleId="Style53">
    <w:name w:val="Заголовок раздела Знак"/>
    <w:basedOn w:val="Style52"/>
    <w:link w:val="Style170"/>
    <w:qFormat/>
    <w:rPr>
      <w:rFonts w:ascii="Times New Roman" w:hAnsi="Times New Roman" w:eastAsia="Times New Roman" w:cs="Times New Roman"/>
      <w:b/>
      <w:sz w:val="28"/>
      <w:szCs w:val="28"/>
      <w:lang w:eastAsia="ru-RU"/>
    </w:rPr>
  </w:style>
  <w:style w:type="character" w:styleId="Style54">
    <w:name w:val="Текст раздела Знак"/>
    <w:basedOn w:val="Style52"/>
    <w:link w:val="Style171"/>
    <w:qFormat/>
    <w:rPr>
      <w:rFonts w:ascii="Times New Roman" w:hAnsi="Times New Roman" w:eastAsia="Times New Roman" w:cs="Times New Roman"/>
      <w:sz w:val="24"/>
      <w:szCs w:val="28"/>
      <w:lang w:eastAsia="ru-RU"/>
    </w:rPr>
  </w:style>
  <w:style w:type="character" w:styleId="01">
    <w:name w:val="Норм 0 Знак"/>
    <w:qFormat/>
    <w:rPr>
      <w:color w:val="000000"/>
      <w:sz w:val="24"/>
    </w:rPr>
  </w:style>
  <w:style w:type="character" w:styleId="118">
    <w:name w:val="Гиперссылка1"/>
    <w:qFormat/>
    <w:rPr>
      <w:color w:val="0000FF"/>
      <w:u w:val="single"/>
    </w:rPr>
  </w:style>
  <w:style w:type="character" w:styleId="Style55">
    <w:name w:val="Абзац обычный Знак Знак Знак Знак Знак Знак"/>
    <w:link w:val="Style175"/>
    <w:qFormat/>
    <w:rPr>
      <w:rFonts w:ascii="Times New Roman" w:hAnsi="Times New Roman" w:eastAsia="Times New Roman" w:cs="Times New Roman"/>
      <w:color w:val="000000"/>
      <w:sz w:val="24"/>
      <w:szCs w:val="20"/>
      <w:lang w:val="x-none" w:eastAsia="x-none"/>
    </w:rPr>
  </w:style>
  <w:style w:type="character" w:styleId="Style56">
    <w:name w:val="Заголовки Знак"/>
    <w:basedOn w:val="1"/>
    <w:link w:val="Style173"/>
    <w:qFormat/>
    <w:rPr>
      <w:rFonts w:ascii="Arial" w:hAnsi="Arial" w:eastAsia="Times New Roman" w:cs="Arial"/>
      <w:b/>
      <w:bCs w:val="false"/>
      <w:color w:val="000000"/>
      <w:kern w:val="2"/>
      <w:sz w:val="28"/>
      <w:szCs w:val="32"/>
      <w:lang w:val="x-none" w:eastAsia="x-none"/>
    </w:rPr>
  </w:style>
  <w:style w:type="character" w:styleId="181">
    <w:name w:val="Знак Знак18"/>
    <w:qFormat/>
    <w:rPr>
      <w:rFonts w:eastAsia="Calibri"/>
      <w:b/>
      <w:sz w:val="32"/>
      <w:lang w:val="ru-RU" w:eastAsia="ru-RU" w:bidi="ar-SA"/>
    </w:rPr>
  </w:style>
  <w:style w:type="character" w:styleId="Bodytext2">
    <w:name w:val="Body text (2)_"/>
    <w:basedOn w:val="DefaultParagraphFont"/>
    <w:link w:val="Bodytext22"/>
    <w:qFormat/>
    <w:rPr>
      <w:rFonts w:ascii="Times New Roman" w:hAnsi="Times New Roman" w:eastAsia="Times New Roman" w:cs="Times New Roman"/>
      <w:sz w:val="20"/>
      <w:szCs w:val="20"/>
      <w:shd w:fill="FFFFFF" w:val="clear"/>
    </w:rPr>
  </w:style>
  <w:style w:type="character" w:styleId="Bodytext2Arial8ptBold">
    <w:name w:val="Body text (2) + Arial;8 pt;Bold"/>
    <w:basedOn w:val="Bodytext2"/>
    <w:qFormat/>
    <w:rPr>
      <w:rFonts w:ascii="Arial" w:hAnsi="Arial" w:eastAsia="Arial" w:cs="Arial"/>
      <w:b/>
      <w:bCs/>
      <w:color w:val="000000"/>
      <w:spacing w:val="0"/>
      <w:w w:val="100"/>
      <w:sz w:val="16"/>
      <w:szCs w:val="16"/>
      <w:shd w:fill="FFFFFF" w:val="clear"/>
      <w:lang w:val="ru-RU" w:eastAsia="ru-RU" w:bidi="ru-RU"/>
    </w:rPr>
  </w:style>
  <w:style w:type="character" w:styleId="Bodytext2Arial65pt">
    <w:name w:val="Body text (2) + Arial;6.5 pt"/>
    <w:basedOn w:val="Bodytext2"/>
    <w:qFormat/>
    <w:rPr>
      <w:rFonts w:ascii="Arial" w:hAnsi="Arial" w:eastAsia="Arial" w:cs="Arial"/>
      <w:color w:val="000000"/>
      <w:spacing w:val="0"/>
      <w:w w:val="100"/>
      <w:sz w:val="13"/>
      <w:szCs w:val="13"/>
      <w:shd w:fill="FFFFFF" w:val="clear"/>
      <w:lang w:val="ru-RU" w:eastAsia="ru-RU" w:bidi="ru-RU"/>
    </w:rPr>
  </w:style>
  <w:style w:type="character" w:styleId="Style57">
    <w:name w:val="ОСНОВНОЙ Знак"/>
    <w:basedOn w:val="DefaultParagraphFont"/>
    <w:link w:val="Style176"/>
    <w:qFormat/>
    <w:rPr>
      <w:rFonts w:ascii="Times New Roman" w:hAnsi="Times New Roman" w:eastAsia="Calibri" w:cs="Times New Roman"/>
      <w:bCs/>
      <w:sz w:val="24"/>
      <w:szCs w:val="24"/>
    </w:rPr>
  </w:style>
  <w:style w:type="character" w:styleId="26">
    <w:name w:val="ЗАГ2 Знак"/>
    <w:basedOn w:val="Style5"/>
    <w:link w:val="234"/>
    <w:qFormat/>
    <w:rPr>
      <w:b/>
    </w:rPr>
  </w:style>
  <w:style w:type="character" w:styleId="35">
    <w:name w:val="ЗАГ3 Знак"/>
    <w:basedOn w:val="26"/>
    <w:link w:val="325"/>
    <w:qFormat/>
    <w:rPr>
      <w:b/>
    </w:rPr>
  </w:style>
  <w:style w:type="character" w:styleId="UnresolvedMention">
    <w:name w:val="Unresolved Mention"/>
    <w:basedOn w:val="DefaultParagraphFont"/>
    <w:qFormat/>
    <w:rPr>
      <w:color w:val="808080"/>
      <w:shd w:fill="E6E6E6" w:val="clear"/>
    </w:rPr>
  </w:style>
  <w:style w:type="character" w:styleId="Style58">
    <w:name w:val="Ссылка указателя"/>
    <w:qFormat/>
    <w:rPr/>
  </w:style>
  <w:style w:type="paragraph" w:styleId="Style59">
    <w:name w:val="Заголовок"/>
    <w:next w:val="BodyText"/>
    <w:qFormat/>
    <w:pPr>
      <w:widowControl/>
      <w:suppressAutoHyphens w:val="true"/>
      <w:overflowPunct w:val="true"/>
      <w:bidi w:val="0"/>
      <w:spacing w:lineRule="auto" w:line="240" w:before="0" w:after="0"/>
      <w:jc w:val="left"/>
    </w:pPr>
    <w:rPr>
      <w:rFonts w:ascii="Arial" w:hAnsi="Arial" w:eastAsia="Times New Roman" w:cs="Arial"/>
      <w:b/>
      <w:bCs/>
      <w:color w:val="auto"/>
      <w:kern w:val="0"/>
      <w:sz w:val="22"/>
      <w:szCs w:val="22"/>
      <w:lang w:val="ru-RU" w:eastAsia="ru-RU" w:bidi="ar-SA"/>
    </w:rPr>
  </w:style>
  <w:style w:type="paragraph" w:styleId="BodyText">
    <w:name w:val="Body Text"/>
    <w:basedOn w:val="Normal"/>
    <w:link w:val="Style6"/>
    <w:pPr>
      <w:spacing w:lineRule="auto" w:line="240" w:before="0" w:after="120"/>
      <w:ind w:left="0" w:right="0" w:firstLine="709"/>
    </w:pPr>
    <w:rPr>
      <w:rFonts w:eastAsia="Times New Roman" w:cs="Times New Roman"/>
      <w:sz w:val="26"/>
      <w:szCs w:val="20"/>
      <w:lang w:eastAsia="ru-RU"/>
    </w:rPr>
  </w:style>
  <w:style w:type="paragraph" w:styleId="List">
    <w:name w:val="List"/>
    <w:basedOn w:val="Normal"/>
    <w:pPr>
      <w:ind w:left="283" w:right="0" w:hanging="283"/>
      <w:jc w:val="left"/>
    </w:pPr>
    <w:rPr>
      <w:rFonts w:eastAsia="Times New Roman" w:cs="Times New Roman"/>
      <w:sz w:val="28"/>
      <w:szCs w:val="24"/>
      <w:lang w:eastAsia="ru-RU"/>
    </w:rPr>
  </w:style>
  <w:style w:type="paragraph" w:styleId="Caption">
    <w:name w:val="Caption"/>
    <w:basedOn w:val="Normal"/>
    <w:qFormat/>
    <w:pPr>
      <w:suppressLineNumbers/>
      <w:spacing w:before="120" w:after="120"/>
    </w:pPr>
    <w:rPr>
      <w:rFonts w:cs="Arial Unicode MS"/>
      <w:i/>
      <w:iCs/>
      <w:sz w:val="24"/>
      <w:szCs w:val="24"/>
    </w:rPr>
  </w:style>
  <w:style w:type="paragraph" w:styleId="Style60">
    <w:name w:val="Указатель"/>
    <w:basedOn w:val="Normal"/>
    <w:qFormat/>
    <w:pPr>
      <w:suppressLineNumbers/>
    </w:pPr>
    <w:rPr>
      <w:rFonts w:cs="Arial Unicode MS"/>
    </w:rPr>
  </w:style>
  <w:style w:type="paragraph" w:styleId="ListParagraph">
    <w:name w:val="List Paragraph"/>
    <w:basedOn w:val="Normal"/>
    <w:link w:val="Style5"/>
    <w:qFormat/>
    <w:pPr>
      <w:spacing w:before="0" w:after="0"/>
      <w:ind w:left="0" w:right="0" w:hanging="0"/>
      <w:contextualSpacing/>
    </w:pPr>
    <w:rPr/>
  </w:style>
  <w:style w:type="paragraph" w:styleId="Date">
    <w:name w:val="Date"/>
    <w:basedOn w:val="Normal"/>
    <w:next w:val="Normal"/>
    <w:link w:val="Style"/>
    <w:qFormat/>
    <w:pPr>
      <w:spacing w:lineRule="auto" w:line="240" w:before="0" w:after="220"/>
      <w:ind w:left="4565" w:right="0" w:hanging="0"/>
      <w:jc w:val="left"/>
    </w:pPr>
    <w:rPr>
      <w:rFonts w:ascii="Garamond" w:hAnsi="Garamond" w:eastAsia="Times New Roman" w:cs="Times New Roman"/>
      <w:kern w:val="2"/>
      <w:sz w:val="20"/>
      <w:szCs w:val="20"/>
      <w:lang w:val="en-US" w:eastAsia="ru-RU"/>
    </w:rPr>
  </w:style>
  <w:style w:type="paragraph" w:styleId="BalloonText">
    <w:name w:val="Balloon Text"/>
    <w:basedOn w:val="Normal"/>
    <w:link w:val="Style1"/>
    <w:qFormat/>
    <w:pPr>
      <w:spacing w:lineRule="auto" w:line="240"/>
    </w:pPr>
    <w:rPr>
      <w:rFonts w:ascii="Tahoma" w:hAnsi="Tahoma" w:cs="Tahoma"/>
      <w:sz w:val="16"/>
      <w:szCs w:val="16"/>
    </w:rPr>
  </w:style>
  <w:style w:type="paragraph" w:styleId="Style61">
    <w:name w:val="Колонтитул"/>
    <w:basedOn w:val="Normal"/>
    <w:qFormat/>
    <w:pPr/>
    <w:rPr/>
  </w:style>
  <w:style w:type="paragraph" w:styleId="Header">
    <w:name w:val="Header"/>
    <w:basedOn w:val="Normal"/>
    <w:link w:val="Style2"/>
    <w:pPr>
      <w:tabs>
        <w:tab w:val="clear" w:pos="708"/>
        <w:tab w:val="center" w:pos="4677" w:leader="none"/>
        <w:tab w:val="right" w:pos="9355" w:leader="none"/>
      </w:tabs>
      <w:spacing w:lineRule="auto" w:line="240"/>
    </w:pPr>
    <w:rPr/>
  </w:style>
  <w:style w:type="paragraph" w:styleId="Footer">
    <w:name w:val="Footer"/>
    <w:basedOn w:val="Normal"/>
    <w:link w:val="Style3"/>
    <w:pPr>
      <w:tabs>
        <w:tab w:val="clear" w:pos="708"/>
        <w:tab w:val="center" w:pos="4677" w:leader="none"/>
        <w:tab w:val="right" w:pos="9355" w:leader="none"/>
      </w:tabs>
      <w:spacing w:lineRule="auto" w:line="240"/>
    </w:pPr>
    <w:rPr/>
  </w:style>
  <w:style w:type="paragraph" w:styleId="Style62">
    <w:name w:val="Текст таблицы"/>
    <w:basedOn w:val="Normal"/>
    <w:link w:val="Style4"/>
    <w:qFormat/>
    <w:pPr>
      <w:spacing w:lineRule="auto" w:line="240"/>
      <w:ind w:left="0" w:right="0" w:hanging="0"/>
      <w:jc w:val="left"/>
    </w:pPr>
    <w:rPr>
      <w:rFonts w:eastAsia="Times New Roman" w:cs="Times New Roman"/>
      <w:szCs w:val="24"/>
      <w:lang w:eastAsia="ru-RU"/>
    </w:rPr>
  </w:style>
  <w:style w:type="paragraph" w:styleId="TOC1">
    <w:name w:val="TOC 1"/>
    <w:basedOn w:val="Normal"/>
    <w:next w:val="Normal"/>
    <w:autoRedefine/>
    <w:pPr>
      <w:tabs>
        <w:tab w:val="clear" w:pos="708"/>
        <w:tab w:val="right" w:pos="9061" w:leader="dot"/>
      </w:tabs>
      <w:spacing w:lineRule="auto" w:line="276" w:before="0" w:after="100"/>
      <w:ind w:left="0" w:right="0" w:hanging="0"/>
      <w:jc w:val="left"/>
    </w:pPr>
    <w:rPr>
      <w:rFonts w:ascii="Times New Roman" w:hAnsi="Times New Roman" w:eastAsia="Calibri" w:cs="Times New Roman"/>
      <w:bCs/>
    </w:rPr>
  </w:style>
  <w:style w:type="paragraph" w:styleId="Style63">
    <w:name w:val="Наззвание таблицы"/>
    <w:basedOn w:val="Normal"/>
    <w:qFormat/>
    <w:pPr>
      <w:spacing w:lineRule="auto" w:line="240" w:before="0" w:after="240"/>
      <w:ind w:left="0" w:right="0" w:hanging="0"/>
      <w:jc w:val="left"/>
    </w:pPr>
    <w:rPr>
      <w:szCs w:val="18"/>
    </w:rPr>
  </w:style>
  <w:style w:type="paragraph" w:styleId="ConsPlusNonformat">
    <w:name w:val="ConsPlusNonformat"/>
    <w:qFormat/>
    <w:pPr>
      <w:widowControl/>
      <w:suppressAutoHyphens w:val="true"/>
      <w:overflowPunct w:val="true"/>
      <w:bidi w:val="0"/>
      <w:spacing w:lineRule="auto" w:line="240" w:before="0" w:after="0"/>
      <w:jc w:val="left"/>
    </w:pPr>
    <w:rPr>
      <w:rFonts w:ascii="Courier New" w:hAnsi="Courier New" w:eastAsia="Times New Roman" w:cs="Courier New"/>
      <w:color w:val="auto"/>
      <w:kern w:val="0"/>
      <w:sz w:val="20"/>
      <w:szCs w:val="20"/>
      <w:lang w:val="ru-RU" w:eastAsia="ru-RU" w:bidi="ar-SA"/>
    </w:rPr>
  </w:style>
  <w:style w:type="paragraph" w:styleId="Ee2">
    <w:name w:val="Оснєeeвной текст 2"/>
    <w:basedOn w:val="Normal"/>
    <w:qFormat/>
    <w:pPr>
      <w:widowControl w:val="false"/>
      <w:snapToGrid w:val="false"/>
      <w:ind w:left="0" w:right="0" w:firstLine="720"/>
    </w:pPr>
    <w:rPr>
      <w:rFonts w:eastAsia="Times New Roman" w:cs="Times New Roman"/>
      <w:sz w:val="28"/>
      <w:szCs w:val="20"/>
      <w:lang w:eastAsia="ru-RU"/>
    </w:rPr>
  </w:style>
  <w:style w:type="paragraph" w:styleId="ConsCell">
    <w:name w:val="ConsCell"/>
    <w:qFormat/>
    <w:pPr>
      <w:widowControl w:val="false"/>
      <w:suppressAutoHyphens w:val="true"/>
      <w:overflowPunct w:val="true"/>
      <w:bidi w:val="0"/>
      <w:spacing w:lineRule="auto" w:line="240" w:before="0" w:after="0"/>
      <w:jc w:val="left"/>
    </w:pPr>
    <w:rPr>
      <w:rFonts w:ascii="Arial" w:hAnsi="Arial" w:eastAsia="Times New Roman" w:cs="Arial"/>
      <w:color w:val="auto"/>
      <w:kern w:val="0"/>
      <w:sz w:val="20"/>
      <w:szCs w:val="20"/>
      <w:lang w:val="ru-RU" w:eastAsia="ru-RU" w:bidi="ar-SA"/>
    </w:rPr>
  </w:style>
  <w:style w:type="paragraph" w:styleId="U">
    <w:name w:val="u"/>
    <w:basedOn w:val="Normal"/>
    <w:qFormat/>
    <w:pPr>
      <w:spacing w:lineRule="auto" w:line="240"/>
      <w:ind w:left="0" w:right="0" w:firstLine="326"/>
    </w:pPr>
    <w:rPr>
      <w:rFonts w:eastAsia="Times New Roman" w:cs="Times New Roman"/>
      <w:szCs w:val="24"/>
      <w:lang w:eastAsia="ru-RU"/>
    </w:rPr>
  </w:style>
  <w:style w:type="paragraph" w:styleId="42">
    <w:name w:val="Текст4"/>
    <w:basedOn w:val="Normal"/>
    <w:qFormat/>
    <w:pPr>
      <w:spacing w:lineRule="auto" w:line="240"/>
      <w:ind w:left="0" w:right="0" w:hanging="0"/>
      <w:jc w:val="left"/>
    </w:pPr>
    <w:rPr>
      <w:rFonts w:ascii="Courier New" w:hAnsi="Courier New" w:eastAsia="Times New Roman" w:cs="Courier New"/>
      <w:sz w:val="20"/>
      <w:szCs w:val="20"/>
      <w:lang w:eastAsia="ru-RU"/>
    </w:rPr>
  </w:style>
  <w:style w:type="paragraph" w:styleId="27">
    <w:name w:val="Основной текст 27"/>
    <w:basedOn w:val="Normal"/>
    <w:qFormat/>
    <w:pPr>
      <w:overflowPunct w:val="false"/>
      <w:spacing w:lineRule="auto" w:line="240" w:before="120" w:after="0"/>
      <w:ind w:left="0" w:right="0" w:firstLine="709"/>
      <w:textAlignment w:val="baseline"/>
    </w:pPr>
    <w:rPr>
      <w:rFonts w:eastAsia="Times New Roman" w:cs="Times New Roman"/>
      <w:sz w:val="28"/>
      <w:szCs w:val="20"/>
      <w:lang w:eastAsia="ru-RU"/>
    </w:rPr>
  </w:style>
  <w:style w:type="paragraph" w:styleId="Style64">
    <w:name w:val="Название рисунка"/>
    <w:basedOn w:val="Normal"/>
    <w:next w:val="Normal"/>
    <w:qFormat/>
    <w:pPr>
      <w:spacing w:lineRule="auto" w:line="276" w:before="0" w:after="200"/>
      <w:ind w:left="0" w:right="0" w:hanging="0"/>
      <w:jc w:val="center"/>
    </w:pPr>
    <w:rPr>
      <w:szCs w:val="18"/>
    </w:rPr>
  </w:style>
  <w:style w:type="paragraph" w:styleId="Tableoffigures1">
    <w:name w:val="table of figures1"/>
    <w:basedOn w:val="Normal"/>
    <w:next w:val="Normal"/>
    <w:qFormat/>
    <w:pPr/>
    <w:rPr>
      <w:szCs w:val="18"/>
    </w:rPr>
  </w:style>
  <w:style w:type="paragraph" w:styleId="Caption1">
    <w:name w:val="caption1"/>
    <w:basedOn w:val="Normal"/>
    <w:next w:val="Normal"/>
    <w:link w:val="Style11"/>
    <w:qFormat/>
    <w:pPr>
      <w:spacing w:lineRule="auto" w:line="240" w:before="0" w:after="200"/>
    </w:pPr>
    <w:rPr>
      <w:i/>
      <w:iCs/>
      <w:color w:val="44546A"/>
      <w:sz w:val="18"/>
      <w:szCs w:val="18"/>
    </w:rPr>
  </w:style>
  <w:style w:type="paragraph" w:styleId="BodyTextIndent">
    <w:name w:val="Body Text Indent"/>
    <w:basedOn w:val="Normal"/>
    <w:link w:val="Style7"/>
    <w:pPr/>
    <w:rPr>
      <w:szCs w:val="24"/>
    </w:rPr>
  </w:style>
  <w:style w:type="paragraph" w:styleId="BlockText">
    <w:name w:val="Block Text"/>
    <w:basedOn w:val="Normal"/>
    <w:qFormat/>
    <w:pPr>
      <w:ind w:left="1080" w:right="227" w:hanging="0"/>
    </w:pPr>
    <w:rPr>
      <w:szCs w:val="18"/>
    </w:rPr>
  </w:style>
  <w:style w:type="paragraph" w:styleId="BodyTextIndent2">
    <w:name w:val="Body Text Indent 2"/>
    <w:basedOn w:val="Normal"/>
    <w:link w:val="21"/>
    <w:qFormat/>
    <w:pPr>
      <w:spacing w:lineRule="auto" w:line="480" w:before="0" w:after="120"/>
      <w:ind w:left="283" w:right="0" w:firstLine="851"/>
    </w:pPr>
    <w:rPr>
      <w:szCs w:val="18"/>
    </w:rPr>
  </w:style>
  <w:style w:type="paragraph" w:styleId="TOC2">
    <w:name w:val="TOC 2"/>
    <w:basedOn w:val="Normal"/>
    <w:next w:val="Normal"/>
    <w:autoRedefine/>
    <w:pPr>
      <w:tabs>
        <w:tab w:val="clear" w:pos="708"/>
        <w:tab w:val="left" w:pos="284" w:leader="none"/>
        <w:tab w:val="left" w:pos="567" w:leader="none"/>
        <w:tab w:val="right" w:pos="9061" w:leader="dot"/>
      </w:tabs>
      <w:spacing w:before="0" w:after="100"/>
      <w:ind w:left="0" w:right="0" w:hanging="0"/>
      <w:jc w:val="left"/>
    </w:pPr>
    <w:rPr>
      <w:rFonts w:ascii="Times New Roman" w:hAnsi="Times New Roman" w:eastAsia="Times New Roman" w:cs="Times New Roman"/>
      <w:spacing w:val="-1"/>
      <w:szCs w:val="18"/>
      <w:lang w:eastAsia="ru-RU"/>
    </w:rPr>
  </w:style>
  <w:style w:type="paragraph" w:styleId="02">
    <w:name w:val="0"/>
    <w:basedOn w:val="Normal"/>
    <w:link w:val="0"/>
    <w:qFormat/>
    <w:pPr>
      <w:ind w:left="284" w:right="284" w:firstLine="567"/>
    </w:pPr>
    <w:rPr>
      <w:rFonts w:eastAsia="Times New Roman" w:cs="Times New Roman"/>
      <w:szCs w:val="24"/>
      <w:lang w:eastAsia="ru-RU"/>
    </w:rPr>
  </w:style>
  <w:style w:type="paragraph" w:styleId="Style65">
    <w:name w:val="ОбычныйТекст"/>
    <w:basedOn w:val="Normal"/>
    <w:link w:val="Style8"/>
    <w:qFormat/>
    <w:pPr>
      <w:ind w:left="0" w:right="0" w:firstLine="709"/>
    </w:pPr>
    <w:rPr>
      <w:rFonts w:eastAsia="Times New Roman" w:cs="Times New Roman"/>
      <w:szCs w:val="24"/>
      <w:lang w:eastAsia="ru-RU"/>
    </w:rPr>
  </w:style>
  <w:style w:type="paragraph" w:styleId="Headertext">
    <w:name w:val="headertext"/>
    <w:basedOn w:val="Normal"/>
    <w:qFormat/>
    <w:pPr>
      <w:spacing w:lineRule="auto" w:line="240" w:before="280" w:after="280"/>
      <w:ind w:left="0" w:right="0" w:hanging="0"/>
      <w:jc w:val="left"/>
    </w:pPr>
    <w:rPr>
      <w:rFonts w:eastAsia="Times New Roman" w:cs="Times New Roman"/>
      <w:szCs w:val="24"/>
      <w:lang w:eastAsia="ru-RU"/>
    </w:rPr>
  </w:style>
  <w:style w:type="paragraph" w:styleId="Formattext">
    <w:name w:val="formattext"/>
    <w:basedOn w:val="Normal"/>
    <w:qFormat/>
    <w:pPr>
      <w:spacing w:lineRule="auto" w:line="240" w:before="280" w:after="280"/>
      <w:ind w:left="0" w:right="0" w:hanging="0"/>
      <w:jc w:val="left"/>
    </w:pPr>
    <w:rPr>
      <w:rFonts w:eastAsia="Times New Roman" w:cs="Times New Roman"/>
      <w:szCs w:val="24"/>
      <w:lang w:eastAsia="ru-RU"/>
    </w:rPr>
  </w:style>
  <w:style w:type="paragraph" w:styleId="119">
    <w:name w:val="1"/>
    <w:basedOn w:val="Normal"/>
    <w:next w:val="Normal"/>
    <w:autoRedefine/>
    <w:qFormat/>
    <w:pPr>
      <w:numPr>
        <w:ilvl w:val="0"/>
        <w:numId w:val="0"/>
      </w:numPr>
      <w:spacing w:before="120" w:after="120"/>
      <w:ind w:left="851" w:right="0" w:hanging="0"/>
      <w:contextualSpacing/>
      <w:jc w:val="left"/>
      <w:outlineLvl w:val="0"/>
    </w:pPr>
    <w:rPr>
      <w:rFonts w:eastAsia="Times New Roman" w:cs="Times New Roman"/>
      <w:b/>
      <w:color w:val="70AD47"/>
      <w:sz w:val="28"/>
      <w:szCs w:val="28"/>
      <w:lang w:eastAsia="ru-RU"/>
    </w:rPr>
  </w:style>
  <w:style w:type="paragraph" w:styleId="TOC3">
    <w:name w:val="TOC 3"/>
    <w:basedOn w:val="Normal"/>
    <w:next w:val="Normal"/>
    <w:autoRedefine/>
    <w:pPr>
      <w:tabs>
        <w:tab w:val="clear" w:pos="708"/>
        <w:tab w:val="right" w:pos="9061" w:leader="dot"/>
      </w:tabs>
      <w:spacing w:lineRule="auto" w:line="276" w:before="0" w:after="100"/>
      <w:ind w:left="0" w:right="0" w:hanging="0"/>
      <w:jc w:val="left"/>
    </w:pPr>
    <w:rPr>
      <w:szCs w:val="18"/>
    </w:rPr>
  </w:style>
  <w:style w:type="paragraph" w:styleId="ListParagraph1">
    <w:name w:val="List Paragraph1"/>
    <w:basedOn w:val="Normal"/>
    <w:link w:val="ListParagraphChar"/>
    <w:qFormat/>
    <w:pPr>
      <w:widowControl w:val="false"/>
      <w:spacing w:lineRule="auto" w:line="240" w:before="0" w:after="0"/>
      <w:ind w:left="720" w:right="0" w:hanging="0"/>
      <w:contextualSpacing/>
      <w:jc w:val="left"/>
    </w:pPr>
    <w:rPr>
      <w:rFonts w:ascii="Cambria" w:hAnsi="Cambria" w:eastAsia="Times New Roman" w:cs="Times New Roman"/>
      <w:szCs w:val="24"/>
      <w:lang w:eastAsia="ru-RU"/>
    </w:rPr>
  </w:style>
  <w:style w:type="paragraph" w:styleId="120">
    <w:name w:val="Знак1 Знак Знак Знак"/>
    <w:basedOn w:val="Normal"/>
    <w:qFormat/>
    <w:pPr>
      <w:spacing w:lineRule="auto" w:line="240"/>
      <w:ind w:left="0" w:right="0" w:hanging="0"/>
      <w:jc w:val="left"/>
    </w:pPr>
    <w:rPr>
      <w:rFonts w:ascii="Verdana" w:hAnsi="Verdana" w:eastAsia="Times New Roman" w:cs="Verdana"/>
      <w:sz w:val="20"/>
      <w:szCs w:val="20"/>
      <w:lang w:val="en-US"/>
    </w:rPr>
  </w:style>
  <w:style w:type="paragraph" w:styleId="Style66">
    <w:name w:val="Чертежный"/>
    <w:qFormat/>
    <w:pPr>
      <w:widowControl/>
      <w:suppressAutoHyphens w:val="true"/>
      <w:overflowPunct w:val="true"/>
      <w:bidi w:val="0"/>
      <w:spacing w:lineRule="auto" w:line="240" w:before="0" w:after="0"/>
      <w:jc w:val="both"/>
    </w:pPr>
    <w:rPr>
      <w:rFonts w:ascii="ISOCPEUR" w:hAnsi="ISOCPEUR" w:eastAsia="Times New Roman" w:cs="Times New Roman"/>
      <w:i/>
      <w:color w:val="auto"/>
      <w:kern w:val="0"/>
      <w:sz w:val="28"/>
      <w:szCs w:val="20"/>
      <w:lang w:val="uk-UA" w:eastAsia="ru-RU" w:bidi="ar-SA"/>
    </w:rPr>
  </w:style>
  <w:style w:type="paragraph" w:styleId="Number">
    <w:name w:val="number"/>
    <w:qFormat/>
    <w:pPr>
      <w:widowControl/>
      <w:suppressAutoHyphens w:val="true"/>
      <w:overflowPunct w:val="true"/>
      <w:bidi w:val="0"/>
      <w:spacing w:lineRule="auto" w:line="240" w:before="0" w:after="0"/>
      <w:jc w:val="center"/>
    </w:pPr>
    <w:rPr>
      <w:rFonts w:ascii="Arial" w:hAnsi="Arial" w:eastAsia="Times New Roman" w:cs="Times New Roman"/>
      <w:color w:val="auto"/>
      <w:kern w:val="0"/>
      <w:sz w:val="24"/>
      <w:szCs w:val="20"/>
      <w:lang w:val="en-US" w:eastAsia="en-US" w:bidi="ar-SA"/>
    </w:rPr>
  </w:style>
  <w:style w:type="paragraph" w:styleId="123">
    <w:name w:val="Заголовок1"/>
    <w:basedOn w:val="BodyText"/>
    <w:next w:val="BodyText"/>
    <w:qFormat/>
    <w:pPr>
      <w:keepNext w:val="true"/>
      <w:keepLines/>
      <w:spacing w:before="360" w:after="360"/>
      <w:jc w:val="center"/>
    </w:pPr>
    <w:rPr>
      <w:b/>
      <w:caps/>
      <w:sz w:val="30"/>
    </w:rPr>
  </w:style>
  <w:style w:type="paragraph" w:styleId="ListBullet">
    <w:name w:val="List Bullet"/>
    <w:basedOn w:val="Normal"/>
    <w:qFormat/>
    <w:pPr>
      <w:tabs>
        <w:tab w:val="clear" w:pos="708"/>
        <w:tab w:val="left" w:pos="360" w:leader="none"/>
      </w:tabs>
      <w:spacing w:lineRule="auto" w:line="240"/>
      <w:ind w:left="357" w:right="0" w:hanging="357"/>
    </w:pPr>
    <w:rPr>
      <w:rFonts w:eastAsia="Times New Roman" w:cs="Times New Roman"/>
      <w:sz w:val="26"/>
      <w:szCs w:val="20"/>
      <w:lang w:eastAsia="ru-RU"/>
    </w:rPr>
  </w:style>
  <w:style w:type="paragraph" w:styleId="ListBullet2">
    <w:name w:val="List Bullet 2"/>
    <w:basedOn w:val="ListBullet"/>
    <w:qFormat/>
    <w:pPr>
      <w:tabs>
        <w:tab w:val="clear" w:pos="360"/>
        <w:tab w:val="left" w:pos="714" w:leader="none"/>
        <w:tab w:val="left" w:pos="926" w:leader="none"/>
      </w:tabs>
      <w:ind w:left="714" w:right="0" w:hanging="360"/>
    </w:pPr>
    <w:rPr/>
  </w:style>
  <w:style w:type="paragraph" w:styleId="ListBullet31">
    <w:name w:val="List Bullet 31"/>
    <w:basedOn w:val="ListNumber2"/>
    <w:qFormat/>
    <w:pPr>
      <w:tabs>
        <w:tab w:val="clear" w:pos="360"/>
        <w:tab w:val="clear" w:pos="907"/>
        <w:tab w:val="left" w:pos="1072" w:leader="none"/>
      </w:tabs>
      <w:ind w:left="1071" w:right="0" w:hanging="357"/>
    </w:pPr>
    <w:rPr/>
  </w:style>
  <w:style w:type="paragraph" w:styleId="ListNumber2">
    <w:name w:val="List Number 2"/>
    <w:basedOn w:val="ListNumber1"/>
    <w:qFormat/>
    <w:pPr>
      <w:tabs>
        <w:tab w:val="clear" w:pos="454"/>
        <w:tab w:val="left" w:pos="360" w:leader="none"/>
        <w:tab w:val="left" w:pos="907" w:leader="none"/>
      </w:tabs>
      <w:ind w:left="908" w:right="0" w:hanging="0"/>
    </w:pPr>
    <w:rPr/>
  </w:style>
  <w:style w:type="paragraph" w:styleId="ListNumber1">
    <w:name w:val="List Number1"/>
    <w:basedOn w:val="Normal"/>
    <w:qFormat/>
    <w:pPr>
      <w:tabs>
        <w:tab w:val="clear" w:pos="708"/>
        <w:tab w:val="left" w:pos="454" w:leader="none"/>
      </w:tabs>
      <w:spacing w:lineRule="auto" w:line="240"/>
      <w:ind w:left="454" w:right="0" w:hanging="454"/>
      <w:jc w:val="left"/>
    </w:pPr>
    <w:rPr>
      <w:rFonts w:eastAsia="Times New Roman" w:cs="Times New Roman"/>
      <w:sz w:val="26"/>
      <w:szCs w:val="20"/>
      <w:lang w:eastAsia="ru-RU"/>
    </w:rPr>
  </w:style>
  <w:style w:type="paragraph" w:styleId="ListBullet41">
    <w:name w:val="List Bullet 41"/>
    <w:basedOn w:val="ListBullet31"/>
    <w:qFormat/>
    <w:pPr>
      <w:tabs>
        <w:tab w:val="left" w:pos="1072" w:leader="none"/>
        <w:tab w:val="left" w:pos="1429" w:leader="none"/>
        <w:tab w:val="left" w:pos="1492" w:leader="none"/>
      </w:tabs>
      <w:ind w:left="1429" w:right="0" w:hanging="360"/>
    </w:pPr>
    <w:rPr/>
  </w:style>
  <w:style w:type="paragraph" w:styleId="ListBullet51">
    <w:name w:val="List Bullet 51"/>
    <w:basedOn w:val="ListNumber4"/>
    <w:qFormat/>
    <w:pPr>
      <w:tabs>
        <w:tab w:val="clear" w:pos="926"/>
        <w:tab w:val="left" w:pos="1786" w:leader="none"/>
      </w:tabs>
      <w:ind w:left="1786" w:right="0" w:hanging="357"/>
    </w:pPr>
    <w:rPr/>
  </w:style>
  <w:style w:type="paragraph" w:styleId="ListNumber4">
    <w:name w:val="List Number 4"/>
    <w:basedOn w:val="ListNumber3"/>
    <w:qFormat/>
    <w:pPr>
      <w:tabs>
        <w:tab w:val="clear" w:pos="1134"/>
        <w:tab w:val="clear" w:pos="1361"/>
        <w:tab w:val="left" w:pos="926" w:leader="none"/>
      </w:tabs>
      <w:ind w:left="1815" w:right="0" w:hanging="0"/>
    </w:pPr>
    <w:rPr/>
  </w:style>
  <w:style w:type="paragraph" w:styleId="ListNumber3">
    <w:name w:val="List Number 3"/>
    <w:basedOn w:val="ListNumber2"/>
    <w:qFormat/>
    <w:pPr>
      <w:tabs>
        <w:tab w:val="clear" w:pos="360"/>
        <w:tab w:val="clear" w:pos="907"/>
        <w:tab w:val="left" w:pos="1134" w:leader="none"/>
        <w:tab w:val="left" w:pos="1361" w:leader="none"/>
      </w:tabs>
      <w:ind w:left="1361" w:right="0" w:hanging="0"/>
    </w:pPr>
    <w:rPr/>
  </w:style>
  <w:style w:type="paragraph" w:styleId="Style67">
    <w:name w:val="Список бюл."/>
    <w:basedOn w:val="ListBullet"/>
    <w:qFormat/>
    <w:pPr/>
    <w:rPr/>
  </w:style>
  <w:style w:type="paragraph" w:styleId="28">
    <w:name w:val="Список бюл.2"/>
    <w:basedOn w:val="ListBullet2"/>
    <w:qFormat/>
    <w:pPr/>
    <w:rPr/>
  </w:style>
  <w:style w:type="paragraph" w:styleId="36">
    <w:name w:val="Список бюл.3"/>
    <w:basedOn w:val="ListBullet31"/>
    <w:qFormat/>
    <w:pPr/>
    <w:rPr/>
  </w:style>
  <w:style w:type="paragraph" w:styleId="43">
    <w:name w:val="Список бюл.4"/>
    <w:basedOn w:val="ListBullet41"/>
    <w:qFormat/>
    <w:pPr/>
    <w:rPr/>
  </w:style>
  <w:style w:type="paragraph" w:styleId="51">
    <w:name w:val="Список бюл.5"/>
    <w:basedOn w:val="ListBullet51"/>
    <w:qFormat/>
    <w:pPr/>
    <w:rPr/>
  </w:style>
  <w:style w:type="paragraph" w:styleId="Style68">
    <w:name w:val="Список нум."/>
    <w:basedOn w:val="ListNumber1"/>
    <w:qFormat/>
    <w:pPr/>
    <w:rPr/>
  </w:style>
  <w:style w:type="paragraph" w:styleId="ListNumber5">
    <w:name w:val="List Number 5"/>
    <w:basedOn w:val="ListNumber4"/>
    <w:qFormat/>
    <w:pPr>
      <w:tabs>
        <w:tab w:val="clear" w:pos="926"/>
        <w:tab w:val="left" w:pos="2268" w:leader="none"/>
      </w:tabs>
      <w:ind w:left="2268" w:right="0" w:hanging="0"/>
    </w:pPr>
    <w:rPr/>
  </w:style>
  <w:style w:type="paragraph" w:styleId="29">
    <w:name w:val="Список нум.2"/>
    <w:basedOn w:val="ListNumber2"/>
    <w:qFormat/>
    <w:pPr/>
    <w:rPr/>
  </w:style>
  <w:style w:type="paragraph" w:styleId="37">
    <w:name w:val="Список нум.3"/>
    <w:basedOn w:val="ListNumber3"/>
    <w:qFormat/>
    <w:pPr/>
    <w:rPr/>
  </w:style>
  <w:style w:type="paragraph" w:styleId="44">
    <w:name w:val="Список нум.4"/>
    <w:basedOn w:val="ListNumber4"/>
    <w:qFormat/>
    <w:pPr/>
    <w:rPr/>
  </w:style>
  <w:style w:type="paragraph" w:styleId="52">
    <w:name w:val="Список нум.5"/>
    <w:basedOn w:val="ListNumber5"/>
    <w:qFormat/>
    <w:pPr/>
    <w:rPr/>
  </w:style>
  <w:style w:type="paragraph" w:styleId="Style69">
    <w:name w:val="Основной текст таблицы"/>
    <w:basedOn w:val="BodyText"/>
    <w:qFormat/>
    <w:pPr>
      <w:spacing w:before="40" w:after="40"/>
      <w:ind w:left="0" w:right="0" w:hanging="0"/>
      <w:jc w:val="center"/>
    </w:pPr>
    <w:rPr>
      <w:sz w:val="24"/>
    </w:rPr>
  </w:style>
  <w:style w:type="paragraph" w:styleId="Style70">
    <w:name w:val="Номер таблицы"/>
    <w:basedOn w:val="BodyText"/>
    <w:next w:val="Style69"/>
    <w:qFormat/>
    <w:pPr>
      <w:keepNext w:val="true"/>
      <w:keepLines/>
      <w:tabs>
        <w:tab w:val="clear" w:pos="708"/>
        <w:tab w:val="left" w:pos="1843" w:leader="none"/>
      </w:tabs>
      <w:spacing w:before="120" w:after="120"/>
      <w:ind w:left="1843" w:right="0" w:hanging="1843"/>
      <w:jc w:val="left"/>
    </w:pPr>
    <w:rPr>
      <w:b/>
    </w:rPr>
  </w:style>
  <w:style w:type="paragraph" w:styleId="Style71">
    <w:name w:val="Содержимое таблицы"/>
    <w:basedOn w:val="Normal"/>
    <w:qFormat/>
    <w:pPr>
      <w:widowControl w:val="false"/>
      <w:suppressLineNumbers/>
      <w:spacing w:lineRule="auto" w:line="240"/>
      <w:ind w:left="0" w:right="0" w:hanging="0"/>
      <w:jc w:val="center"/>
    </w:pPr>
    <w:rPr>
      <w:rFonts w:eastAsia="Times New Roman" w:cs="Tahoma"/>
      <w:szCs w:val="24"/>
      <w:lang w:eastAsia="ru-RU"/>
    </w:rPr>
  </w:style>
  <w:style w:type="paragraph" w:styleId="Style72">
    <w:name w:val="Заголовок таблицы"/>
    <w:basedOn w:val="Style70"/>
    <w:next w:val="Style69"/>
    <w:qFormat/>
    <w:pPr/>
    <w:rPr/>
  </w:style>
  <w:style w:type="paragraph" w:styleId="Title">
    <w:name w:val="Title"/>
    <w:basedOn w:val="Normal"/>
    <w:link w:val="Style9"/>
    <w:qFormat/>
    <w:pPr>
      <w:spacing w:lineRule="auto" w:line="240"/>
      <w:ind w:left="0" w:right="0" w:hanging="0"/>
      <w:jc w:val="center"/>
    </w:pPr>
    <w:rPr>
      <w:rFonts w:eastAsia="Times New Roman" w:cs="Times New Roman"/>
      <w:b/>
      <w:bCs/>
      <w:sz w:val="28"/>
      <w:szCs w:val="20"/>
      <w:lang w:eastAsia="ru-RU"/>
    </w:rPr>
  </w:style>
  <w:style w:type="paragraph" w:styleId="BodyTextIndent3">
    <w:name w:val="Body Text Indent 3"/>
    <w:basedOn w:val="Normal"/>
    <w:link w:val="31"/>
    <w:qFormat/>
    <w:pPr>
      <w:spacing w:lineRule="auto" w:line="240"/>
      <w:ind w:left="540" w:right="0" w:firstLine="540"/>
    </w:pPr>
    <w:rPr>
      <w:rFonts w:eastAsia="Times New Roman" w:cs="Times New Roman"/>
      <w:sz w:val="28"/>
      <w:szCs w:val="20"/>
      <w:lang w:eastAsia="ru-RU"/>
    </w:rPr>
  </w:style>
  <w:style w:type="paragraph" w:styleId="210">
    <w:name w:val="заголовок 2"/>
    <w:basedOn w:val="Normal"/>
    <w:next w:val="Normal"/>
    <w:qFormat/>
    <w:pPr>
      <w:keepNext w:val="true"/>
      <w:spacing w:lineRule="auto" w:line="240"/>
      <w:ind w:left="0" w:right="0" w:hanging="0"/>
      <w:jc w:val="center"/>
    </w:pPr>
    <w:rPr>
      <w:rFonts w:eastAsia="Times New Roman" w:cs="Times New Roman"/>
      <w:sz w:val="28"/>
      <w:szCs w:val="28"/>
      <w:lang w:eastAsia="ru-RU"/>
    </w:rPr>
  </w:style>
  <w:style w:type="paragraph" w:styleId="82">
    <w:name w:val="Стиль8"/>
    <w:basedOn w:val="Normal"/>
    <w:qFormat/>
    <w:pPr>
      <w:ind w:left="284" w:right="0" w:firstLine="709"/>
    </w:pPr>
    <w:rPr>
      <w:rFonts w:eastAsia="Times New Roman" w:cs="Times New Roman"/>
      <w:color w:val="000000"/>
      <w:szCs w:val="24"/>
    </w:rPr>
  </w:style>
  <w:style w:type="paragraph" w:styleId="1110">
    <w:name w:val="Заголовок 11"/>
    <w:basedOn w:val="Normal"/>
    <w:next w:val="Normal"/>
    <w:qFormat/>
    <w:pPr>
      <w:keepNext w:val="true"/>
      <w:numPr>
        <w:ilvl w:val="0"/>
        <w:numId w:val="0"/>
      </w:numPr>
      <w:spacing w:lineRule="auto" w:line="240"/>
      <w:ind w:left="0" w:right="0" w:hanging="0"/>
      <w:jc w:val="left"/>
      <w:outlineLvl w:val="0"/>
    </w:pPr>
    <w:rPr>
      <w:rFonts w:eastAsia="Times New Roman" w:cs="Times New Roman"/>
      <w:sz w:val="28"/>
      <w:szCs w:val="24"/>
      <w:lang w:eastAsia="ru-RU"/>
    </w:rPr>
  </w:style>
  <w:style w:type="paragraph" w:styleId="Style73">
    <w:name w:val="Краткий обратный адрес"/>
    <w:basedOn w:val="Normal"/>
    <w:qFormat/>
    <w:pPr>
      <w:spacing w:lineRule="auto" w:line="240"/>
      <w:ind w:left="0" w:right="0" w:hanging="0"/>
      <w:jc w:val="left"/>
    </w:pPr>
    <w:rPr>
      <w:rFonts w:eastAsia="Times New Roman" w:cs="Times New Roman"/>
      <w:sz w:val="20"/>
      <w:szCs w:val="20"/>
      <w:lang w:eastAsia="ru-RU"/>
    </w:rPr>
  </w:style>
  <w:style w:type="paragraph" w:styleId="TOC4">
    <w:name w:val="TOC 4"/>
    <w:basedOn w:val="Normal"/>
    <w:next w:val="Normal"/>
    <w:autoRedefine/>
    <w:pPr>
      <w:tabs>
        <w:tab w:val="clear" w:pos="708"/>
        <w:tab w:val="right" w:pos="10260" w:leader="dot"/>
      </w:tabs>
      <w:spacing w:lineRule="auto" w:line="240"/>
      <w:ind w:left="600" w:right="0" w:hanging="0"/>
      <w:jc w:val="left"/>
    </w:pPr>
    <w:rPr>
      <w:rFonts w:eastAsia="Times New Roman" w:cs="Times New Roman"/>
      <w:szCs w:val="24"/>
      <w:lang w:eastAsia="ru-RU"/>
    </w:rPr>
  </w:style>
  <w:style w:type="paragraph" w:styleId="DocumentMap">
    <w:name w:val="Document Map"/>
    <w:basedOn w:val="Normal"/>
    <w:link w:val="Style10"/>
    <w:qFormat/>
    <w:pPr>
      <w:shd w:val="clear" w:fill="000080"/>
      <w:spacing w:lineRule="auto" w:line="240"/>
      <w:ind w:left="0" w:right="0" w:hanging="0"/>
      <w:jc w:val="left"/>
    </w:pPr>
    <w:rPr>
      <w:rFonts w:ascii="Tahoma" w:hAnsi="Tahoma" w:eastAsia="Times New Roman" w:cs="Times New Roman"/>
      <w:sz w:val="20"/>
      <w:szCs w:val="20"/>
      <w:lang w:eastAsia="ru-RU"/>
    </w:rPr>
  </w:style>
  <w:style w:type="paragraph" w:styleId="124">
    <w:name w:val="Абзац списка1"/>
    <w:basedOn w:val="Normal"/>
    <w:qFormat/>
    <w:pPr>
      <w:spacing w:lineRule="auto" w:line="276" w:before="0" w:after="200"/>
      <w:ind w:left="720" w:right="0" w:hanging="0"/>
      <w:jc w:val="left"/>
    </w:pPr>
    <w:rPr>
      <w:rFonts w:ascii="Calibri" w:hAnsi="Calibri" w:eastAsia="Times New Roman" w:cs="Calibri"/>
    </w:rPr>
  </w:style>
  <w:style w:type="paragraph" w:styleId="125">
    <w:name w:val="Без интервала1"/>
    <w:qFormat/>
    <w:pPr>
      <w:widowControl/>
      <w:suppressAutoHyphens w:val="true"/>
      <w:overflowPunct w:val="true"/>
      <w:bidi w:val="0"/>
      <w:spacing w:lineRule="auto" w:line="240" w:before="0" w:after="0"/>
      <w:jc w:val="left"/>
    </w:pPr>
    <w:rPr>
      <w:rFonts w:ascii="Calibri" w:hAnsi="Calibri" w:eastAsia="Times New Roman" w:cs="Times New Roman"/>
      <w:color w:val="auto"/>
      <w:kern w:val="0"/>
      <w:sz w:val="22"/>
      <w:szCs w:val="22"/>
      <w:lang w:val="ru-RU" w:eastAsia="en-US" w:bidi="ar-SA"/>
    </w:rPr>
  </w:style>
  <w:style w:type="paragraph" w:styleId="Style74">
    <w:name w:val="С_отступом"/>
    <w:basedOn w:val="BodyText"/>
    <w:qFormat/>
    <w:pPr>
      <w:widowControl w:val="false"/>
      <w:numPr>
        <w:ilvl w:val="0"/>
        <w:numId w:val="2"/>
      </w:numPr>
      <w:tabs>
        <w:tab w:val="clear" w:pos="708"/>
      </w:tabs>
      <w:spacing w:before="0" w:after="0"/>
      <w:ind w:left="0" w:right="0" w:firstLine="720"/>
    </w:pPr>
    <w:rPr>
      <w:rFonts w:cs="Courier New"/>
      <w:sz w:val="24"/>
      <w:szCs w:val="24"/>
    </w:rPr>
  </w:style>
  <w:style w:type="paragraph" w:styleId="PlainText">
    <w:name w:val="Plain Text"/>
    <w:basedOn w:val="Normal"/>
    <w:link w:val="Style12"/>
    <w:qFormat/>
    <w:pPr>
      <w:spacing w:lineRule="auto" w:line="240"/>
      <w:ind w:left="0" w:right="0" w:hanging="0"/>
      <w:jc w:val="left"/>
    </w:pPr>
    <w:rPr>
      <w:rFonts w:ascii="Courier New" w:hAnsi="Courier New" w:eastAsia="Times New Roman" w:cs="Courier New"/>
      <w:sz w:val="20"/>
      <w:szCs w:val="20"/>
      <w:lang w:eastAsia="ru-RU"/>
    </w:rPr>
  </w:style>
  <w:style w:type="paragraph" w:styleId="126">
    <w:name w:val="Заголовок оглавления1"/>
    <w:basedOn w:val="Heading1"/>
    <w:next w:val="Normal"/>
    <w:qFormat/>
    <w:pPr>
      <w:pageBreakBefore w:val="false"/>
      <w:tabs>
        <w:tab w:val="clear" w:pos="708"/>
        <w:tab w:val="left" w:pos="1134" w:leader="none"/>
      </w:tabs>
      <w:spacing w:lineRule="auto" w:line="276" w:before="480" w:after="0"/>
      <w:outlineLvl w:val="9"/>
    </w:pPr>
    <w:rPr>
      <w:rFonts w:ascii="Cambria" w:hAnsi="Cambria" w:eastAsia="Times New Roman" w:cs="Times New Roman"/>
      <w:color w:val="365F91"/>
      <w:sz w:val="28"/>
      <w:lang w:eastAsia="ru-RU"/>
    </w:rPr>
  </w:style>
  <w:style w:type="paragraph" w:styleId="FORMATTEXT1">
    <w:name w:val=".FORMATTEXT"/>
    <w:qFormat/>
    <w:pPr>
      <w:widowControl w:val="false"/>
      <w:suppressAutoHyphens w:val="true"/>
      <w:overflowPunct w:val="true"/>
      <w:bidi w:val="0"/>
      <w:spacing w:lineRule="auto" w:line="240" w:before="0" w:after="0"/>
      <w:jc w:val="left"/>
    </w:pPr>
    <w:rPr>
      <w:rFonts w:ascii="Times New Roman" w:hAnsi="Times New Roman" w:eastAsia="Times New Roman" w:cs="Times New Roman"/>
      <w:color w:val="auto"/>
      <w:kern w:val="0"/>
      <w:sz w:val="24"/>
      <w:szCs w:val="24"/>
      <w:lang w:val="ru-RU" w:eastAsia="ru-RU" w:bidi="ar-SA"/>
    </w:rPr>
  </w:style>
  <w:style w:type="paragraph" w:styleId="Style75">
    <w:name w:val="Маркированный"/>
    <w:basedOn w:val="Normal"/>
    <w:qFormat/>
    <w:pPr>
      <w:ind w:left="0" w:right="0" w:hanging="0"/>
    </w:pPr>
    <w:rPr>
      <w:rFonts w:eastAsia="Times New Roman" w:cs="Times New Roman"/>
      <w:szCs w:val="24"/>
      <w:lang w:eastAsia="ru-RU"/>
    </w:rPr>
  </w:style>
  <w:style w:type="paragraph" w:styleId="38">
    <w:name w:val="Список3"/>
    <w:basedOn w:val="Normal"/>
    <w:qFormat/>
    <w:pPr>
      <w:ind w:left="1134" w:right="284" w:hanging="360"/>
    </w:pPr>
    <w:rPr>
      <w:rFonts w:eastAsia="Times New Roman" w:cs="Times New Roman"/>
      <w:szCs w:val="24"/>
      <w:lang w:eastAsia="ru-RU"/>
    </w:rPr>
  </w:style>
  <w:style w:type="paragraph" w:styleId="1111">
    <w:name w:val="1.1.1"/>
    <w:basedOn w:val="Normal"/>
    <w:next w:val="Normal"/>
    <w:qFormat/>
    <w:pPr>
      <w:numPr>
        <w:ilvl w:val="0"/>
        <w:numId w:val="3"/>
      </w:numPr>
      <w:spacing w:lineRule="auto" w:line="240" w:before="400" w:after="280"/>
      <w:ind w:left="0" w:right="0" w:firstLine="284"/>
      <w:contextualSpacing/>
      <w:jc w:val="center"/>
    </w:pPr>
    <w:rPr>
      <w:rFonts w:eastAsia="Times New Roman" w:cs="Times New Roman"/>
      <w:sz w:val="28"/>
      <w:szCs w:val="28"/>
      <w:lang w:val="en-US" w:eastAsia="ru-RU"/>
    </w:rPr>
  </w:style>
  <w:style w:type="paragraph" w:styleId="Style76">
    <w:name w:val="Пояснение"/>
    <w:qFormat/>
    <w:pPr>
      <w:widowControl w:val="false"/>
      <w:suppressAutoHyphens w:val="true"/>
      <w:overflowPunct w:val="true"/>
      <w:bidi w:val="0"/>
      <w:spacing w:lineRule="auto" w:line="240" w:before="0" w:after="0"/>
      <w:ind w:left="0" w:right="0" w:firstLine="720"/>
      <w:jc w:val="both"/>
    </w:pPr>
    <w:rPr>
      <w:rFonts w:ascii="Times New Roman" w:hAnsi="Times New Roman" w:eastAsia="Times New Roman" w:cs="Times New Roman"/>
      <w:color w:val="auto"/>
      <w:kern w:val="0"/>
      <w:sz w:val="24"/>
      <w:szCs w:val="20"/>
      <w:lang w:val="ru-RU" w:eastAsia="ru-RU" w:bidi="ar-SA"/>
    </w:rPr>
  </w:style>
  <w:style w:type="paragraph" w:styleId="ListContinue">
    <w:name w:val="List Continue"/>
    <w:basedOn w:val="Normal"/>
    <w:qFormat/>
    <w:pPr>
      <w:spacing w:lineRule="auto" w:line="240" w:before="0" w:after="120"/>
      <w:ind w:left="283" w:right="0" w:hanging="0"/>
      <w:contextualSpacing/>
      <w:jc w:val="left"/>
    </w:pPr>
    <w:rPr>
      <w:rFonts w:eastAsia="Times New Roman" w:cs="Times New Roman"/>
      <w:sz w:val="20"/>
      <w:szCs w:val="20"/>
      <w:lang w:eastAsia="ru-RU"/>
    </w:rPr>
  </w:style>
  <w:style w:type="paragraph" w:styleId="127">
    <w:name w:val="Обычный1"/>
    <w:qFormat/>
    <w:pPr>
      <w:widowControl/>
      <w:suppressAutoHyphens w:val="true"/>
      <w:overflowPunct w:val="true"/>
      <w:bidi w:val="0"/>
      <w:spacing w:lineRule="auto" w:line="240" w:before="0" w:after="0"/>
      <w:jc w:val="left"/>
    </w:pPr>
    <w:rPr>
      <w:rFonts w:ascii="TimesET" w:hAnsi="TimesET" w:eastAsia="Times New Roman" w:cs="Times New Roman"/>
      <w:color w:val="auto"/>
      <w:kern w:val="0"/>
      <w:sz w:val="24"/>
      <w:szCs w:val="20"/>
      <w:lang w:val="ru-RU" w:eastAsia="ru-RU" w:bidi="ar-SA"/>
    </w:rPr>
  </w:style>
  <w:style w:type="paragraph" w:styleId="TOC5">
    <w:name w:val="TOC 5"/>
    <w:basedOn w:val="Normal"/>
    <w:next w:val="Normal"/>
    <w:autoRedefine/>
    <w:pPr>
      <w:spacing w:lineRule="auto" w:line="276" w:before="0" w:after="100"/>
      <w:ind w:left="880" w:right="0" w:hanging="0"/>
      <w:jc w:val="left"/>
    </w:pPr>
    <w:rPr>
      <w:rFonts w:ascii="Calibri" w:hAnsi="Calibri" w:eastAsia="Times New Roman" w:cs="Times New Roman"/>
      <w:lang w:eastAsia="ru-RU"/>
    </w:rPr>
  </w:style>
  <w:style w:type="paragraph" w:styleId="TOC6">
    <w:name w:val="TOC 6"/>
    <w:basedOn w:val="Normal"/>
    <w:next w:val="Normal"/>
    <w:autoRedefine/>
    <w:pPr>
      <w:spacing w:lineRule="auto" w:line="276" w:before="0" w:after="100"/>
      <w:ind w:left="1100" w:right="0" w:hanging="0"/>
      <w:jc w:val="left"/>
    </w:pPr>
    <w:rPr>
      <w:rFonts w:ascii="Calibri" w:hAnsi="Calibri" w:eastAsia="Times New Roman" w:cs="Times New Roman"/>
      <w:lang w:eastAsia="ru-RU"/>
    </w:rPr>
  </w:style>
  <w:style w:type="paragraph" w:styleId="TOC7">
    <w:name w:val="TOC 7"/>
    <w:basedOn w:val="Normal"/>
    <w:next w:val="Normal"/>
    <w:autoRedefine/>
    <w:pPr>
      <w:spacing w:lineRule="auto" w:line="276" w:before="0" w:after="100"/>
      <w:ind w:left="1320" w:right="0" w:hanging="0"/>
      <w:jc w:val="left"/>
    </w:pPr>
    <w:rPr>
      <w:rFonts w:ascii="Calibri" w:hAnsi="Calibri" w:eastAsia="Times New Roman" w:cs="Times New Roman"/>
      <w:lang w:eastAsia="ru-RU"/>
    </w:rPr>
  </w:style>
  <w:style w:type="paragraph" w:styleId="TOC8">
    <w:name w:val="TOC 8"/>
    <w:basedOn w:val="Normal"/>
    <w:next w:val="Normal"/>
    <w:autoRedefine/>
    <w:pPr>
      <w:spacing w:lineRule="auto" w:line="276" w:before="0" w:after="100"/>
      <w:ind w:left="1540" w:right="0" w:hanging="0"/>
      <w:jc w:val="left"/>
    </w:pPr>
    <w:rPr>
      <w:rFonts w:ascii="Calibri" w:hAnsi="Calibri" w:eastAsia="Times New Roman" w:cs="Times New Roman"/>
      <w:lang w:eastAsia="ru-RU"/>
    </w:rPr>
  </w:style>
  <w:style w:type="paragraph" w:styleId="TOC9">
    <w:name w:val="TOC 9"/>
    <w:basedOn w:val="Normal"/>
    <w:next w:val="Normal"/>
    <w:autoRedefine/>
    <w:pPr>
      <w:spacing w:lineRule="auto" w:line="276" w:before="0" w:after="100"/>
      <w:ind w:left="1760" w:right="0" w:hanging="0"/>
      <w:jc w:val="left"/>
    </w:pPr>
    <w:rPr>
      <w:rFonts w:ascii="Calibri" w:hAnsi="Calibri" w:eastAsia="Times New Roman" w:cs="Times New Roman"/>
      <w:lang w:eastAsia="ru-RU"/>
    </w:rPr>
  </w:style>
  <w:style w:type="paragraph" w:styleId="128">
    <w:name w:val="Стиль1"/>
    <w:basedOn w:val="ListParagraph1"/>
    <w:link w:val="11"/>
    <w:qFormat/>
    <w:pPr>
      <w:widowControl/>
      <w:spacing w:lineRule="auto" w:line="276" w:before="0" w:after="200"/>
      <w:ind w:left="720" w:right="0" w:hanging="375"/>
      <w:contextualSpacing/>
      <w:jc w:val="both"/>
    </w:pPr>
    <w:rPr>
      <w:rFonts w:ascii="Times New Roman" w:hAnsi="Times New Roman"/>
      <w:b/>
    </w:rPr>
  </w:style>
  <w:style w:type="paragraph" w:styleId="129">
    <w:name w:val="Основной текст с отступом1"/>
    <w:basedOn w:val="Normal"/>
    <w:qFormat/>
    <w:pPr>
      <w:spacing w:lineRule="auto" w:line="240"/>
      <w:ind w:left="0" w:right="0" w:firstLine="720"/>
      <w:jc w:val="left"/>
    </w:pPr>
    <w:rPr>
      <w:rFonts w:eastAsia="Times New Roman" w:cs="Times New Roman"/>
      <w:szCs w:val="20"/>
      <w:lang w:eastAsia="ru-RU"/>
    </w:rPr>
  </w:style>
  <w:style w:type="paragraph" w:styleId="BodyText3">
    <w:name w:val="Body Text 3"/>
    <w:basedOn w:val="Normal"/>
    <w:link w:val="32"/>
    <w:qFormat/>
    <w:pPr>
      <w:spacing w:lineRule="auto" w:line="240"/>
      <w:ind w:left="0" w:right="0" w:hanging="0"/>
      <w:jc w:val="center"/>
    </w:pPr>
    <w:rPr>
      <w:rFonts w:eastAsia="Times New Roman" w:cs="Times New Roman"/>
      <w:sz w:val="20"/>
      <w:szCs w:val="20"/>
      <w:lang w:eastAsia="ru-RU"/>
    </w:rPr>
  </w:style>
  <w:style w:type="paragraph" w:styleId="1112">
    <w:name w:val="Абзац списка11"/>
    <w:basedOn w:val="Normal"/>
    <w:qFormat/>
    <w:pPr>
      <w:spacing w:lineRule="auto" w:line="276" w:before="0" w:after="200"/>
      <w:ind w:left="720" w:right="0" w:hanging="0"/>
      <w:jc w:val="left"/>
    </w:pPr>
    <w:rPr>
      <w:rFonts w:ascii="Calibri" w:hAnsi="Calibri" w:eastAsia="Times New Roman" w:cs="Times New Roman"/>
      <w:lang w:eastAsia="ru-RU"/>
    </w:rPr>
  </w:style>
  <w:style w:type="paragraph" w:styleId="130">
    <w:name w:val="Текст выноски1"/>
    <w:basedOn w:val="Normal"/>
    <w:qFormat/>
    <w:pPr>
      <w:spacing w:lineRule="auto" w:line="240"/>
      <w:ind w:left="0" w:right="0" w:hanging="0"/>
      <w:jc w:val="left"/>
    </w:pPr>
    <w:rPr>
      <w:rFonts w:ascii="Tahoma" w:hAnsi="Tahoma" w:eastAsia="Times New Roman" w:cs="Tahoma"/>
      <w:sz w:val="16"/>
      <w:szCs w:val="16"/>
      <w:lang w:eastAsia="ru-RU"/>
    </w:rPr>
  </w:style>
  <w:style w:type="paragraph" w:styleId="1113">
    <w:name w:val="1.1"/>
    <w:basedOn w:val="Normal"/>
    <w:next w:val="Normal"/>
    <w:qFormat/>
    <w:pPr>
      <w:spacing w:lineRule="auto" w:line="240" w:before="400" w:after="280"/>
      <w:ind w:left="0" w:right="0" w:hanging="0"/>
      <w:contextualSpacing/>
      <w:jc w:val="center"/>
    </w:pPr>
    <w:rPr>
      <w:rFonts w:eastAsia="Times New Roman" w:cs="Times New Roman"/>
      <w:sz w:val="28"/>
      <w:szCs w:val="28"/>
      <w:lang w:eastAsia="ru-RU"/>
    </w:rPr>
  </w:style>
  <w:style w:type="paragraph" w:styleId="11111">
    <w:name w:val="1.1.1.1"/>
    <w:basedOn w:val="Normal"/>
    <w:next w:val="Normal"/>
    <w:qFormat/>
    <w:pPr>
      <w:spacing w:lineRule="auto" w:line="240" w:before="400" w:after="280"/>
      <w:ind w:left="0" w:right="0" w:hanging="0"/>
      <w:jc w:val="center"/>
    </w:pPr>
    <w:rPr>
      <w:rFonts w:eastAsia="Times New Roman" w:cs="Times New Roman"/>
      <w:sz w:val="28"/>
      <w:szCs w:val="28"/>
      <w:lang w:val="en-US" w:eastAsia="ru-RU"/>
    </w:rPr>
  </w:style>
  <w:style w:type="paragraph" w:styleId="BodyText21">
    <w:name w:val="Body Text 2"/>
    <w:basedOn w:val="Normal"/>
    <w:link w:val="22"/>
    <w:qFormat/>
    <w:pPr>
      <w:spacing w:lineRule="auto" w:line="240"/>
      <w:ind w:left="0" w:right="0" w:hanging="0"/>
      <w:jc w:val="center"/>
    </w:pPr>
    <w:rPr>
      <w:rFonts w:eastAsia="Times New Roman" w:cs="Times New Roman"/>
      <w:sz w:val="32"/>
      <w:szCs w:val="20"/>
      <w:lang w:eastAsia="ru-RU"/>
    </w:rPr>
  </w:style>
  <w:style w:type="paragraph" w:styleId="132">
    <w:name w:val="Знак Знак Знак Знак Знак Знак1 Знак Знак Знак Знак Знак Знак"/>
    <w:basedOn w:val="Normal"/>
    <w:qFormat/>
    <w:pPr>
      <w:spacing w:lineRule="exact" w:line="240" w:before="0" w:after="160"/>
      <w:ind w:left="0" w:right="0" w:hanging="0"/>
      <w:jc w:val="left"/>
    </w:pPr>
    <w:rPr>
      <w:rFonts w:ascii="Verdana" w:hAnsi="Verdana" w:eastAsia="Times New Roman" w:cs="Verdana"/>
      <w:sz w:val="20"/>
      <w:szCs w:val="20"/>
      <w:lang w:val="en-US"/>
    </w:rPr>
  </w:style>
  <w:style w:type="paragraph" w:styleId="Xl54">
    <w:name w:val="xl54"/>
    <w:basedOn w:val="Normal"/>
    <w:qFormat/>
    <w:pPr>
      <w:pBdr>
        <w:left w:val="single" w:sz="4" w:space="0" w:color="000000"/>
        <w:right w:val="single" w:sz="4" w:space="0" w:color="000000"/>
      </w:pBdr>
      <w:spacing w:lineRule="auto" w:line="240" w:before="280" w:after="280"/>
      <w:ind w:left="0" w:right="0" w:hanging="0"/>
      <w:jc w:val="center"/>
    </w:pPr>
    <w:rPr>
      <w:rFonts w:ascii="Arial" w:hAnsi="Arial" w:eastAsia="Arial Unicode MS" w:cs="Arial Unicode MS"/>
      <w:b/>
      <w:bCs/>
      <w:szCs w:val="24"/>
      <w:lang w:eastAsia="ru-RU"/>
    </w:rPr>
  </w:style>
  <w:style w:type="paragraph" w:styleId="Standard">
    <w:name w:val="Standard"/>
    <w:qFormat/>
    <w:pPr>
      <w:widowControl w:val="false"/>
      <w:suppressAutoHyphens w:val="true"/>
      <w:overflowPunct w:val="true"/>
      <w:bidi w:val="0"/>
      <w:spacing w:lineRule="auto" w:line="240" w:before="0" w:after="0"/>
      <w:jc w:val="left"/>
      <w:textAlignment w:val="baseline"/>
    </w:pPr>
    <w:rPr>
      <w:rFonts w:ascii="Times New Roman" w:hAnsi="Times New Roman" w:eastAsia="Times New Roman" w:cs="Tahoma"/>
      <w:color w:val="auto"/>
      <w:kern w:val="2"/>
      <w:sz w:val="24"/>
      <w:szCs w:val="24"/>
      <w:lang w:val="de-DE" w:eastAsia="ja-JP" w:bidi="fa-IR"/>
    </w:rPr>
  </w:style>
  <w:style w:type="paragraph" w:styleId="Arial11pt661">
    <w:name w:val="Стиль Arial 11 pt по ширине Перед:  6 пт После:  6 пт"/>
    <w:basedOn w:val="Normal"/>
    <w:link w:val="Arial11pt66"/>
    <w:qFormat/>
    <w:pPr>
      <w:spacing w:lineRule="auto" w:line="240" w:before="120" w:after="120"/>
      <w:ind w:left="0" w:right="0" w:hanging="0"/>
    </w:pPr>
    <w:rPr>
      <w:rFonts w:ascii="Arial" w:hAnsi="Arial" w:eastAsia="Times New Roman" w:cs="Times New Roman"/>
      <w:szCs w:val="20"/>
      <w:lang w:eastAsia="ru-RU"/>
    </w:rPr>
  </w:style>
  <w:style w:type="paragraph" w:styleId="Default">
    <w:name w:val="Default"/>
    <w:qFormat/>
    <w:pPr>
      <w:widowControl w:val="false"/>
      <w:suppressAutoHyphens w:val="true"/>
      <w:overflowPunct w:val="true"/>
      <w:bidi w:val="0"/>
      <w:spacing w:lineRule="auto" w:line="240" w:before="0" w:after="0"/>
      <w:jc w:val="left"/>
    </w:pPr>
    <w:rPr>
      <w:rFonts w:ascii="Times New Roman" w:hAnsi="Times New Roman" w:eastAsia="Times New Roman" w:cs="Times New Roman"/>
      <w:color w:val="000000"/>
      <w:kern w:val="0"/>
      <w:sz w:val="24"/>
      <w:szCs w:val="24"/>
      <w:lang w:val="ru-RU" w:eastAsia="ru-RU" w:bidi="ar-SA"/>
    </w:rPr>
  </w:style>
  <w:style w:type="paragraph" w:styleId="Style510">
    <w:name w:val="Style5"/>
    <w:basedOn w:val="Normal"/>
    <w:qFormat/>
    <w:pPr>
      <w:widowControl w:val="false"/>
      <w:spacing w:lineRule="exact" w:line="259"/>
      <w:ind w:left="0" w:right="0" w:hanging="619"/>
      <w:jc w:val="left"/>
    </w:pPr>
    <w:rPr>
      <w:rFonts w:ascii="Arial" w:hAnsi="Arial" w:eastAsia="Times New Roman" w:cs="Times New Roman"/>
      <w:szCs w:val="24"/>
      <w:lang w:eastAsia="ru-RU"/>
    </w:rPr>
  </w:style>
  <w:style w:type="paragraph" w:styleId="Style81">
    <w:name w:val="Style8"/>
    <w:basedOn w:val="Normal"/>
    <w:qFormat/>
    <w:pPr>
      <w:widowControl w:val="false"/>
      <w:spacing w:lineRule="exact" w:line="269"/>
      <w:ind w:left="0" w:right="0" w:hanging="0"/>
    </w:pPr>
    <w:rPr>
      <w:rFonts w:ascii="Arial" w:hAnsi="Arial" w:eastAsia="Times New Roman" w:cs="Times New Roman"/>
      <w:szCs w:val="24"/>
      <w:lang w:eastAsia="ru-RU"/>
    </w:rPr>
  </w:style>
  <w:style w:type="paragraph" w:styleId="Style310">
    <w:name w:val="Style3"/>
    <w:basedOn w:val="Normal"/>
    <w:qFormat/>
    <w:pPr>
      <w:widowControl w:val="false"/>
      <w:spacing w:lineRule="exact" w:line="264"/>
      <w:ind w:left="0" w:right="0" w:hanging="144"/>
      <w:jc w:val="left"/>
    </w:pPr>
    <w:rPr>
      <w:rFonts w:ascii="Arial" w:hAnsi="Arial" w:eastAsia="Times New Roman" w:cs="Times New Roman"/>
      <w:szCs w:val="24"/>
      <w:lang w:eastAsia="ru-RU"/>
    </w:rPr>
  </w:style>
  <w:style w:type="paragraph" w:styleId="Style610">
    <w:name w:val="Style6"/>
    <w:basedOn w:val="Normal"/>
    <w:qFormat/>
    <w:pPr>
      <w:widowControl w:val="false"/>
      <w:spacing w:lineRule="auto" w:line="240"/>
      <w:ind w:left="0" w:right="0" w:hanging="0"/>
      <w:jc w:val="left"/>
    </w:pPr>
    <w:rPr>
      <w:rFonts w:eastAsia="Times New Roman" w:cs="Times New Roman"/>
      <w:szCs w:val="24"/>
      <w:lang w:eastAsia="ru-RU"/>
    </w:rPr>
  </w:style>
  <w:style w:type="paragraph" w:styleId="39">
    <w:name w:val="Стиль3"/>
    <w:basedOn w:val="Normal"/>
    <w:qFormat/>
    <w:pPr>
      <w:tabs>
        <w:tab w:val="clear" w:pos="708"/>
        <w:tab w:val="left" w:pos="567" w:leader="none"/>
      </w:tabs>
      <w:spacing w:lineRule="auto" w:line="300"/>
      <w:ind w:left="567" w:right="284" w:firstLine="567"/>
      <w:jc w:val="left"/>
    </w:pPr>
    <w:rPr>
      <w:rFonts w:ascii="Arial" w:hAnsi="Arial" w:eastAsia="Times New Roman" w:cs="Arial"/>
      <w:szCs w:val="24"/>
    </w:rPr>
  </w:style>
  <w:style w:type="paragraph" w:styleId="04">
    <w:name w:val="Норм 0"/>
    <w:basedOn w:val="Normal"/>
    <w:link w:val="03"/>
    <w:qFormat/>
    <w:pPr/>
    <w:rPr>
      <w:rFonts w:eastAsia="Times New Roman" w:cs="Times New Roman"/>
      <w:color w:val="000000"/>
      <w:szCs w:val="20"/>
      <w:lang w:eastAsia="ru-RU"/>
    </w:rPr>
  </w:style>
  <w:style w:type="paragraph" w:styleId="Style77">
    <w:name w:val="Список приложений"/>
    <w:basedOn w:val="Normal"/>
    <w:qFormat/>
    <w:pPr>
      <w:spacing w:lineRule="auto" w:line="240" w:before="240" w:after="240"/>
      <w:ind w:left="0" w:right="0" w:hanging="0"/>
      <w:jc w:val="center"/>
    </w:pPr>
    <w:rPr>
      <w:rFonts w:eastAsia="Times New Roman" w:cs="Times New Roman"/>
      <w:b/>
      <w:szCs w:val="20"/>
      <w:lang w:eastAsia="ru-RU"/>
    </w:rPr>
  </w:style>
  <w:style w:type="paragraph" w:styleId="Style78">
    <w:name w:val="Рисунки"/>
    <w:basedOn w:val="Normal"/>
    <w:next w:val="Normal"/>
    <w:qFormat/>
    <w:pPr>
      <w:widowControl w:val="false"/>
      <w:spacing w:lineRule="auto" w:line="240" w:before="120" w:after="120"/>
      <w:ind w:left="0" w:right="0" w:hanging="0"/>
      <w:contextualSpacing/>
      <w:jc w:val="center"/>
    </w:pPr>
    <w:rPr>
      <w:rFonts w:eastAsia="Times New Roman" w:cs="Times New Roman"/>
      <w:szCs w:val="20"/>
      <w:lang w:eastAsia="ru-RU"/>
    </w:rPr>
  </w:style>
  <w:style w:type="paragraph" w:styleId="Annotationtext">
    <w:name w:val="annotation text"/>
    <w:basedOn w:val="Normal"/>
    <w:link w:val="Style14"/>
    <w:qFormat/>
    <w:pPr>
      <w:spacing w:lineRule="auto" w:line="240"/>
      <w:ind w:left="0" w:right="0" w:hanging="0"/>
      <w:jc w:val="left"/>
    </w:pPr>
    <w:rPr>
      <w:rFonts w:eastAsia="Times New Roman" w:cs="Times New Roman"/>
      <w:sz w:val="20"/>
      <w:szCs w:val="20"/>
      <w:lang w:eastAsia="ru-RU"/>
    </w:rPr>
  </w:style>
  <w:style w:type="paragraph" w:styleId="Annotationsubject">
    <w:name w:val="annotation subject"/>
    <w:basedOn w:val="Annotationtext"/>
    <w:next w:val="Annotationtext"/>
    <w:link w:val="Style15"/>
    <w:qFormat/>
    <w:pPr/>
    <w:rPr>
      <w:b/>
      <w:bCs/>
    </w:rPr>
  </w:style>
  <w:style w:type="paragraph" w:styleId="133">
    <w:name w:val="Рецензия1"/>
    <w:qFormat/>
    <w:pPr>
      <w:widowControl/>
      <w:suppressAutoHyphens w:val="true"/>
      <w:overflowPunct w:val="true"/>
      <w:bidi w:val="0"/>
      <w:spacing w:lineRule="auto" w:line="240" w:before="0" w:after="0"/>
      <w:jc w:val="left"/>
    </w:pPr>
    <w:rPr>
      <w:rFonts w:ascii="Times New Roman" w:hAnsi="Times New Roman" w:eastAsia="Times New Roman" w:cs="Times New Roman"/>
      <w:color w:val="auto"/>
      <w:kern w:val="0"/>
      <w:sz w:val="20"/>
      <w:szCs w:val="20"/>
      <w:lang w:val="ru-RU" w:eastAsia="ru-RU" w:bidi="ar-SA"/>
    </w:rPr>
  </w:style>
  <w:style w:type="paragraph" w:styleId="NormalWeb">
    <w:name w:val="Normal (Web)"/>
    <w:basedOn w:val="Normal"/>
    <w:link w:val="12"/>
    <w:qFormat/>
    <w:pPr>
      <w:ind w:left="0" w:right="0" w:hanging="0"/>
      <w:jc w:val="left"/>
    </w:pPr>
    <w:rPr>
      <w:rFonts w:eastAsia="Times New Roman" w:cs="Times New Roman"/>
      <w:szCs w:val="24"/>
      <w:lang w:eastAsia="ru-RU"/>
    </w:rPr>
  </w:style>
  <w:style w:type="paragraph" w:styleId="214">
    <w:name w:val="Заголовок 2а"/>
    <w:basedOn w:val="128"/>
    <w:qFormat/>
    <w:pPr>
      <w:keepNext w:val="true"/>
      <w:numPr>
        <w:ilvl w:val="0"/>
        <w:numId w:val="0"/>
      </w:numPr>
      <w:spacing w:lineRule="auto" w:line="240" w:before="240" w:after="240"/>
      <w:ind w:left="527" w:right="227" w:firstLine="567"/>
      <w:contextualSpacing w:val="false"/>
      <w:outlineLvl w:val="1"/>
    </w:pPr>
    <w:rPr>
      <w:bCs/>
      <w:caps/>
      <w:color w:val="0070C0"/>
      <w:sz w:val="28"/>
    </w:rPr>
  </w:style>
  <w:style w:type="paragraph" w:styleId="Xl24">
    <w:name w:val="xl24"/>
    <w:basedOn w:val="Normal"/>
    <w:qFormat/>
    <w:pPr>
      <w:widowControl w:val="false"/>
      <w:spacing w:before="280" w:after="280"/>
      <w:ind w:left="0" w:right="0" w:hanging="0"/>
      <w:jc w:val="center"/>
      <w:textAlignment w:val="center"/>
    </w:pPr>
    <w:rPr>
      <w:rFonts w:eastAsia="Times New Roman" w:cs="Times New Roman"/>
      <w:sz w:val="28"/>
      <w:szCs w:val="24"/>
      <w:lang w:eastAsia="ru-RU"/>
    </w:rPr>
  </w:style>
  <w:style w:type="paragraph" w:styleId="1210">
    <w:name w:val="абзац 12"/>
    <w:basedOn w:val="Normal"/>
    <w:link w:val="121"/>
    <w:qFormat/>
    <w:pPr>
      <w:spacing w:lineRule="auto" w:line="240" w:before="120" w:after="120"/>
      <w:ind w:left="0" w:right="0" w:firstLine="709"/>
    </w:pPr>
    <w:rPr>
      <w:rFonts w:ascii="Arial" w:hAnsi="Arial"/>
    </w:rPr>
  </w:style>
  <w:style w:type="paragraph" w:styleId="215">
    <w:name w:val="Знак2"/>
    <w:basedOn w:val="Normal"/>
    <w:qFormat/>
    <w:pPr>
      <w:spacing w:lineRule="exact" w:line="240" w:before="0" w:after="160"/>
      <w:ind w:left="0" w:right="0" w:hanging="0"/>
      <w:jc w:val="left"/>
    </w:pPr>
    <w:rPr>
      <w:rFonts w:ascii="Verdana" w:hAnsi="Verdana" w:eastAsia="Times New Roman" w:cs="Verdana"/>
      <w:sz w:val="20"/>
      <w:szCs w:val="20"/>
      <w:lang w:val="en-US"/>
    </w:rPr>
  </w:style>
  <w:style w:type="paragraph" w:styleId="FR2">
    <w:name w:val="FR2"/>
    <w:qFormat/>
    <w:pPr>
      <w:widowControl w:val="false"/>
      <w:suppressAutoHyphens w:val="true"/>
      <w:overflowPunct w:val="true"/>
      <w:bidi w:val="0"/>
      <w:spacing w:lineRule="auto" w:line="259" w:before="0" w:after="0"/>
      <w:ind w:left="0" w:right="0" w:firstLine="720"/>
      <w:jc w:val="left"/>
    </w:pPr>
    <w:rPr>
      <w:rFonts w:ascii="Times New Roman" w:hAnsi="Times New Roman" w:eastAsia="Times New Roman" w:cs="Times New Roman"/>
      <w:color w:val="auto"/>
      <w:kern w:val="0"/>
      <w:sz w:val="28"/>
      <w:szCs w:val="20"/>
      <w:lang w:val="ru-RU" w:eastAsia="ru-RU" w:bidi="ar-SA"/>
    </w:rPr>
  </w:style>
  <w:style w:type="paragraph" w:styleId="FR3">
    <w:name w:val="FR3"/>
    <w:qFormat/>
    <w:pPr>
      <w:widowControl w:val="false"/>
      <w:suppressAutoHyphens w:val="true"/>
      <w:overflowPunct w:val="true"/>
      <w:bidi w:val="0"/>
      <w:spacing w:lineRule="auto" w:line="240" w:before="0" w:after="0"/>
      <w:ind w:left="3240" w:right="0" w:hanging="0"/>
      <w:jc w:val="left"/>
    </w:pPr>
    <w:rPr>
      <w:rFonts w:ascii="Times New Roman" w:hAnsi="Times New Roman" w:eastAsia="Times New Roman" w:cs="Times New Roman"/>
      <w:color w:val="auto"/>
      <w:kern w:val="0"/>
      <w:sz w:val="24"/>
      <w:szCs w:val="20"/>
      <w:lang w:val="ru-RU" w:eastAsia="ru-RU" w:bidi="ar-SA"/>
    </w:rPr>
  </w:style>
  <w:style w:type="paragraph" w:styleId="FR4">
    <w:name w:val="FR4"/>
    <w:qFormat/>
    <w:pPr>
      <w:widowControl w:val="false"/>
      <w:suppressAutoHyphens w:val="true"/>
      <w:overflowPunct w:val="true"/>
      <w:bidi w:val="0"/>
      <w:spacing w:lineRule="auto" w:line="300" w:before="240" w:after="0"/>
      <w:ind w:left="0" w:right="0" w:firstLine="840"/>
      <w:jc w:val="left"/>
    </w:pPr>
    <w:rPr>
      <w:rFonts w:ascii="Arial" w:hAnsi="Arial" w:eastAsia="Times New Roman" w:cs="Times New Roman"/>
      <w:color w:val="auto"/>
      <w:kern w:val="0"/>
      <w:sz w:val="24"/>
      <w:szCs w:val="20"/>
      <w:lang w:val="ru-RU" w:eastAsia="ru-RU" w:bidi="ar-SA"/>
    </w:rPr>
  </w:style>
  <w:style w:type="paragraph" w:styleId="Style79">
    <w:name w:val="ТАБЛИЦА"/>
    <w:basedOn w:val="Normal"/>
    <w:link w:val="Style16"/>
    <w:qFormat/>
    <w:pPr>
      <w:spacing w:lineRule="auto" w:line="240"/>
      <w:ind w:left="0" w:right="0" w:hanging="0"/>
    </w:pPr>
    <w:rPr>
      <w:rFonts w:eastAsia="Times New Roman" w:cs="Times New Roman"/>
      <w:szCs w:val="24"/>
    </w:rPr>
  </w:style>
  <w:style w:type="paragraph" w:styleId="216">
    <w:name w:val="Обычный2"/>
    <w:basedOn w:val="Normal"/>
    <w:qFormat/>
    <w:pPr>
      <w:spacing w:before="0" w:after="120"/>
      <w:ind w:left="0" w:right="0" w:firstLine="709"/>
      <w:contextualSpacing/>
    </w:pPr>
    <w:rPr>
      <w:rFonts w:eastAsia="Times New Roman" w:cs="Times New Roman"/>
      <w:szCs w:val="24"/>
      <w:lang w:val="en-US"/>
    </w:rPr>
  </w:style>
  <w:style w:type="paragraph" w:styleId="Style80">
    <w:name w:val="нормальный"/>
    <w:qFormat/>
    <w:pPr>
      <w:widowControl/>
      <w:suppressAutoHyphens w:val="true"/>
      <w:overflowPunct w:val="true"/>
      <w:bidi w:val="0"/>
      <w:spacing w:lineRule="auto" w:line="240" w:before="0" w:after="0"/>
      <w:ind w:left="0" w:right="0" w:firstLine="567"/>
      <w:jc w:val="both"/>
    </w:pPr>
    <w:rPr>
      <w:rFonts w:ascii="Arial" w:hAnsi="Arial" w:eastAsia="MS Mincho" w:cs="Times New Roman"/>
      <w:color w:val="auto"/>
      <w:kern w:val="0"/>
      <w:sz w:val="24"/>
      <w:szCs w:val="20"/>
      <w:lang w:val="ru-RU" w:eastAsia="ru-RU" w:bidi="ar-SA"/>
    </w:rPr>
  </w:style>
  <w:style w:type="paragraph" w:styleId="312">
    <w:name w:val="Основной текст с отступом 31"/>
    <w:basedOn w:val="Normal"/>
    <w:qFormat/>
    <w:pPr>
      <w:overflowPunct w:val="false"/>
      <w:spacing w:lineRule="auto" w:line="240"/>
      <w:ind w:left="0" w:right="0" w:firstLine="567"/>
      <w:jc w:val="left"/>
      <w:textAlignment w:val="baseline"/>
    </w:pPr>
    <w:rPr>
      <w:rFonts w:ascii="Arial" w:hAnsi="Arial" w:eastAsia="MS Mincho" w:cs="Times New Roman"/>
      <w:szCs w:val="20"/>
      <w:lang w:eastAsia="ru-RU"/>
    </w:rPr>
  </w:style>
  <w:style w:type="paragraph" w:styleId="FootnoteText">
    <w:name w:val="Footnote Text"/>
    <w:basedOn w:val="Normal"/>
    <w:link w:val="Style17"/>
    <w:pPr>
      <w:spacing w:lineRule="auto" w:line="240"/>
      <w:ind w:left="0" w:right="0" w:hanging="0"/>
      <w:jc w:val="left"/>
    </w:pPr>
    <w:rPr>
      <w:rFonts w:eastAsia="Times New Roman" w:cs="Times New Roman"/>
      <w:sz w:val="20"/>
      <w:szCs w:val="20"/>
      <w:lang w:eastAsia="ru-RU"/>
    </w:rPr>
  </w:style>
  <w:style w:type="paragraph" w:styleId="313">
    <w:name w:val="Основной текст 31"/>
    <w:basedOn w:val="Normal"/>
    <w:qFormat/>
    <w:pPr>
      <w:overflowPunct w:val="false"/>
      <w:spacing w:lineRule="auto" w:line="240"/>
      <w:ind w:left="0" w:right="0" w:hanging="0"/>
      <w:jc w:val="center"/>
    </w:pPr>
    <w:rPr>
      <w:rFonts w:ascii="Arial" w:hAnsi="Arial" w:eastAsia="Times New Roman" w:cs="Times New Roman"/>
      <w:b/>
      <w:smallCaps/>
      <w:sz w:val="28"/>
      <w:szCs w:val="20"/>
      <w:lang w:eastAsia="ru-RU"/>
    </w:rPr>
  </w:style>
  <w:style w:type="paragraph" w:styleId="Style82">
    <w:name w:val="Стиль ТАБЛИЦА"/>
    <w:basedOn w:val="Normal"/>
    <w:next w:val="Normal"/>
    <w:qFormat/>
    <w:pPr>
      <w:widowControl w:val="false"/>
      <w:spacing w:lineRule="exact" w:line="240" w:before="80" w:after="80"/>
      <w:ind w:left="0" w:right="0" w:firstLine="709"/>
      <w:contextualSpacing/>
    </w:pPr>
    <w:rPr>
      <w:rFonts w:eastAsia="Times New Roman" w:cs="Courier New"/>
      <w:szCs w:val="20"/>
      <w:lang w:eastAsia="ru-RU"/>
    </w:rPr>
  </w:style>
  <w:style w:type="paragraph" w:styleId="Style83">
    <w:name w:val="Таблица"/>
    <w:basedOn w:val="Normal"/>
    <w:next w:val="Normal"/>
    <w:link w:val="Style30"/>
    <w:qFormat/>
    <w:pPr>
      <w:widowControl w:val="false"/>
      <w:spacing w:lineRule="auto" w:line="240" w:before="60" w:after="60"/>
      <w:ind w:left="0" w:right="0" w:hanging="0"/>
      <w:jc w:val="center"/>
    </w:pPr>
    <w:rPr>
      <w:rFonts w:eastAsia="Times New Roman" w:cs="Times New Roman"/>
      <w:szCs w:val="24"/>
      <w:lang w:val="en-US" w:eastAsia="ru-RU"/>
    </w:rPr>
  </w:style>
  <w:style w:type="paragraph" w:styleId="217">
    <w:name w:val="Основной текст 21"/>
    <w:basedOn w:val="Normal"/>
    <w:qFormat/>
    <w:pPr>
      <w:overflowPunct w:val="false"/>
      <w:spacing w:lineRule="auto" w:line="240" w:before="240" w:after="120"/>
      <w:ind w:left="0" w:right="0" w:hanging="0"/>
      <w:textAlignment w:val="baseline"/>
    </w:pPr>
    <w:rPr>
      <w:rFonts w:ascii="Arial" w:hAnsi="Arial" w:eastAsia="Times New Roman" w:cs="Times New Roman"/>
      <w:szCs w:val="20"/>
      <w:lang w:val="en-US" w:eastAsia="ru-RU"/>
    </w:rPr>
  </w:style>
  <w:style w:type="paragraph" w:styleId="120202">
    <w:name w:val="Стиль 12 пт Слева:  0.2 см Справа:  0.2 см"/>
    <w:basedOn w:val="Normal"/>
    <w:qFormat/>
    <w:pPr>
      <w:spacing w:lineRule="auto" w:line="240"/>
      <w:ind w:left="113" w:right="113" w:hanging="0"/>
      <w:jc w:val="left"/>
    </w:pPr>
    <w:rPr>
      <w:rFonts w:eastAsia="Times New Roman" w:cs="Times New Roman"/>
      <w:szCs w:val="20"/>
      <w:lang w:eastAsia="ru-RU"/>
    </w:rPr>
  </w:style>
  <w:style w:type="paragraph" w:styleId="EndnoteText">
    <w:name w:val="Endnote Text"/>
    <w:basedOn w:val="Normal"/>
    <w:link w:val="Style19"/>
    <w:pPr>
      <w:spacing w:lineRule="auto" w:line="240"/>
      <w:ind w:left="0" w:right="0" w:hanging="0"/>
      <w:jc w:val="left"/>
    </w:pPr>
    <w:rPr>
      <w:rFonts w:eastAsia="Times New Roman" w:cs="Times New Roman"/>
      <w:sz w:val="20"/>
      <w:szCs w:val="20"/>
      <w:lang w:eastAsia="ru-RU"/>
    </w:rPr>
  </w:style>
  <w:style w:type="paragraph" w:styleId="Closing">
    <w:name w:val="Closing"/>
    <w:basedOn w:val="Normal"/>
    <w:next w:val="BodyTextIndent"/>
    <w:qFormat/>
    <w:pPr>
      <w:spacing w:lineRule="auto" w:line="240" w:before="120" w:after="120"/>
      <w:ind w:left="0" w:right="0" w:hanging="0"/>
      <w:contextualSpacing/>
      <w:jc w:val="center"/>
    </w:pPr>
    <w:rPr>
      <w:rFonts w:eastAsia="Times New Roman" w:cs="Times New Roman"/>
      <w:b/>
      <w:bCs/>
      <w:szCs w:val="24"/>
      <w:lang w:eastAsia="ru-RU"/>
    </w:rPr>
  </w:style>
  <w:style w:type="paragraph" w:styleId="1TimesNewRoman">
    <w:name w:val="Стиль Заголовок 1 + Times New Roman"/>
    <w:basedOn w:val="Heading1"/>
    <w:qFormat/>
    <w:pPr>
      <w:keepLines w:val="false"/>
      <w:pageBreakBefore w:val="false"/>
      <w:tabs>
        <w:tab w:val="clear" w:pos="708"/>
        <w:tab w:val="left" w:pos="1134" w:leader="none"/>
      </w:tabs>
      <w:spacing w:lineRule="exact" w:line="360" w:before="240" w:after="60"/>
      <w:ind w:left="2127" w:right="0" w:hanging="709"/>
    </w:pPr>
    <w:rPr>
      <w:rFonts w:eastAsia="Times New Roman" w:cs="Times New Roman"/>
      <w:caps/>
      <w:color w:val="auto"/>
      <w:spacing w:val="20"/>
      <w:kern w:val="2"/>
      <w:szCs w:val="32"/>
      <w:lang w:eastAsia="ru-RU"/>
    </w:rPr>
  </w:style>
  <w:style w:type="paragraph" w:styleId="1TimesNewRomanArial12">
    <w:name w:val="Стиль Стиль Заголовок 1 + Times New Roman + Arial 12 пт"/>
    <w:basedOn w:val="1TimesNewRoman"/>
    <w:qFormat/>
    <w:pPr/>
    <w:rPr>
      <w:spacing w:val="0"/>
    </w:rPr>
  </w:style>
  <w:style w:type="paragraph" w:styleId="218">
    <w:name w:val="Цитата 21"/>
    <w:basedOn w:val="Normal"/>
    <w:next w:val="Normal"/>
    <w:link w:val="QuoteChar"/>
    <w:qFormat/>
    <w:pPr>
      <w:ind w:left="0" w:right="0" w:hanging="0"/>
    </w:pPr>
    <w:rPr>
      <w:rFonts w:eastAsia="Times New Roman" w:cs="Times New Roman"/>
      <w:i/>
      <w:szCs w:val="24"/>
      <w:lang w:val="en-US"/>
    </w:rPr>
  </w:style>
  <w:style w:type="paragraph" w:styleId="Topleveltext">
    <w:name w:val="topleveltext"/>
    <w:basedOn w:val="Normal"/>
    <w:qFormat/>
    <w:pPr>
      <w:spacing w:lineRule="auto" w:line="240" w:before="0" w:after="72"/>
      <w:ind w:left="0" w:right="0" w:hanging="0"/>
      <w:jc w:val="left"/>
    </w:pPr>
    <w:rPr>
      <w:rFonts w:eastAsia="Times New Roman" w:cs="Times New Roman"/>
      <w:szCs w:val="24"/>
      <w:lang w:eastAsia="ru-RU"/>
    </w:rPr>
  </w:style>
  <w:style w:type="paragraph" w:styleId="-">
    <w:name w:val="Рис-графика"/>
    <w:basedOn w:val="Normal"/>
    <w:qFormat/>
    <w:pPr>
      <w:keepNext w:val="true"/>
      <w:keepLines/>
      <w:ind w:left="0" w:right="0" w:hanging="0"/>
      <w:jc w:val="center"/>
    </w:pPr>
    <w:rPr>
      <w:rFonts w:ascii="Arial" w:hAnsi="Arial" w:eastAsia="Times New Roman" w:cs="Times New Roman"/>
      <w:szCs w:val="24"/>
      <w:lang w:eastAsia="ru-RU"/>
    </w:rPr>
  </w:style>
  <w:style w:type="paragraph" w:styleId="-1">
    <w:name w:val="Рис-подпись"/>
    <w:basedOn w:val="Normal"/>
    <w:qFormat/>
    <w:pPr>
      <w:keepLines/>
      <w:suppressAutoHyphens w:val="true"/>
      <w:spacing w:lineRule="auto" w:line="240"/>
      <w:ind w:left="0" w:right="0" w:hanging="0"/>
      <w:jc w:val="center"/>
    </w:pPr>
    <w:rPr>
      <w:rFonts w:ascii="Arial" w:hAnsi="Arial" w:eastAsia="Times New Roman" w:cs="Times New Roman"/>
      <w:szCs w:val="24"/>
      <w:lang w:eastAsia="ru-RU"/>
    </w:rPr>
  </w:style>
  <w:style w:type="paragraph" w:styleId="152">
    <w:name w:val="Шанпар1.5"/>
    <w:basedOn w:val="Normal"/>
    <w:qFormat/>
    <w:pPr>
      <w:widowControl w:val="false"/>
      <w:spacing w:before="120" w:after="200"/>
      <w:ind w:left="0" w:right="0" w:firstLine="709"/>
    </w:pPr>
    <w:rPr>
      <w:rFonts w:eastAsia="Times New Roman" w:cs="Times New Roman"/>
      <w:szCs w:val="20"/>
      <w:lang w:val="en-US" w:eastAsia="ru-RU"/>
    </w:rPr>
  </w:style>
  <w:style w:type="paragraph" w:styleId="Style84">
    <w:name w:val="Табл название"/>
    <w:basedOn w:val="Normal"/>
    <w:qFormat/>
    <w:pPr>
      <w:spacing w:lineRule="auto" w:line="276" w:before="120" w:after="200"/>
      <w:ind w:left="0" w:right="0" w:hanging="0"/>
      <w:jc w:val="center"/>
    </w:pPr>
    <w:rPr>
      <w:rFonts w:eastAsia="Times New Roman" w:cs="Times New Roman"/>
      <w:szCs w:val="24"/>
      <w:lang w:val="en-US" w:eastAsia="ru-RU"/>
    </w:rPr>
  </w:style>
  <w:style w:type="paragraph" w:styleId="134">
    <w:name w:val="Обычный 1"/>
    <w:basedOn w:val="Normal"/>
    <w:qFormat/>
    <w:pPr>
      <w:spacing w:lineRule="auto" w:line="240"/>
    </w:pPr>
    <w:rPr>
      <w:rFonts w:eastAsia="Times New Roman" w:cs="Times New Roman"/>
      <w:szCs w:val="20"/>
      <w:lang w:eastAsia="ru-RU"/>
    </w:rPr>
  </w:style>
  <w:style w:type="paragraph" w:styleId="Style110">
    <w:name w:val="Style1"/>
    <w:basedOn w:val="Normal"/>
    <w:qFormat/>
    <w:pPr>
      <w:widowControl w:val="false"/>
      <w:spacing w:lineRule="auto" w:line="240"/>
      <w:ind w:left="0" w:right="0" w:hanging="0"/>
      <w:jc w:val="left"/>
    </w:pPr>
    <w:rPr>
      <w:rFonts w:eastAsia="Times New Roman" w:cs="Times New Roman"/>
      <w:szCs w:val="24"/>
      <w:lang w:eastAsia="ru-RU"/>
    </w:rPr>
  </w:style>
  <w:style w:type="paragraph" w:styleId="Style85">
    <w:name w:val="Таблица_Строка"/>
    <w:basedOn w:val="Normal"/>
    <w:qFormat/>
    <w:pPr>
      <w:spacing w:lineRule="auto" w:line="276" w:before="120" w:after="200"/>
      <w:ind w:left="0" w:right="0" w:hanging="0"/>
      <w:jc w:val="right"/>
    </w:pPr>
    <w:rPr>
      <w:rFonts w:eastAsia="Times New Roman" w:cs="Times New Roman"/>
      <w:b/>
      <w:szCs w:val="24"/>
      <w:lang w:val="en-US" w:eastAsia="ru-RU"/>
    </w:rPr>
  </w:style>
  <w:style w:type="paragraph" w:styleId="3111">
    <w:name w:val="Основной текст 311"/>
    <w:basedOn w:val="Normal"/>
    <w:qFormat/>
    <w:pPr>
      <w:spacing w:before="0" w:after="200"/>
      <w:ind w:left="0" w:right="0" w:hanging="0"/>
      <w:jc w:val="center"/>
    </w:pPr>
    <w:rPr>
      <w:rFonts w:eastAsia="Times New Roman" w:cs="Times New Roman"/>
      <w:sz w:val="28"/>
      <w:szCs w:val="20"/>
      <w:lang w:val="en-US" w:eastAsia="ru-RU"/>
    </w:rPr>
  </w:style>
  <w:style w:type="paragraph" w:styleId="102">
    <w:name w:val="Стиль10 прилож"/>
    <w:qFormat/>
    <w:pPr>
      <w:widowControl/>
      <w:suppressAutoHyphens w:val="true"/>
      <w:overflowPunct w:val="true"/>
      <w:bidi w:val="0"/>
      <w:spacing w:lineRule="auto" w:line="276" w:before="0" w:after="200"/>
      <w:ind w:left="-91" w:right="-91" w:hanging="0"/>
      <w:jc w:val="left"/>
    </w:pPr>
    <w:rPr>
      <w:rFonts w:ascii="Times New Roman" w:hAnsi="Times New Roman" w:eastAsia="Times New Roman" w:cs="Times New Roman"/>
      <w:color w:val="auto"/>
      <w:kern w:val="0"/>
      <w:sz w:val="22"/>
      <w:szCs w:val="22"/>
      <w:lang w:val="en-US" w:eastAsia="en-US" w:bidi="ar-SA"/>
    </w:rPr>
  </w:style>
  <w:style w:type="paragraph" w:styleId="Style86">
    <w:name w:val="!Обычный"/>
    <w:basedOn w:val="Normal"/>
    <w:next w:val="Normal"/>
    <w:link w:val="Style20"/>
    <w:qFormat/>
    <w:pPr>
      <w:spacing w:lineRule="auto" w:line="312" w:before="0" w:after="200"/>
      <w:ind w:left="0" w:right="0" w:firstLine="709"/>
    </w:pPr>
    <w:rPr>
      <w:rFonts w:ascii="Arial" w:hAnsi="Arial"/>
    </w:rPr>
  </w:style>
  <w:style w:type="paragraph" w:styleId="P13">
    <w:name w:val="p13"/>
    <w:basedOn w:val="Normal"/>
    <w:qFormat/>
    <w:pPr>
      <w:spacing w:lineRule="auto" w:line="276" w:before="280" w:after="280"/>
      <w:ind w:left="0" w:right="0" w:hanging="0"/>
      <w:jc w:val="left"/>
    </w:pPr>
    <w:rPr>
      <w:rFonts w:ascii="Verdana" w:hAnsi="Verdana" w:eastAsia="Gulim" w:cs="Gulim"/>
      <w:sz w:val="20"/>
      <w:szCs w:val="20"/>
      <w:lang w:val="en-US" w:eastAsia="ko-KR"/>
    </w:rPr>
  </w:style>
  <w:style w:type="paragraph" w:styleId="Style87">
    <w:name w:val="ВЦМ"/>
    <w:basedOn w:val="Normal"/>
    <w:qFormat/>
    <w:pPr>
      <w:widowControl w:val="false"/>
      <w:spacing w:before="0" w:after="200"/>
    </w:pPr>
    <w:rPr>
      <w:rFonts w:eastAsia="Times New Roman" w:cs="Times New Roman"/>
      <w:sz w:val="28"/>
      <w:szCs w:val="28"/>
      <w:lang w:val="en-US" w:eastAsia="ru-RU"/>
    </w:rPr>
  </w:style>
  <w:style w:type="paragraph" w:styleId="83">
    <w:name w:val="заголовок 8"/>
    <w:basedOn w:val="Normal"/>
    <w:next w:val="Normal"/>
    <w:qFormat/>
    <w:pPr>
      <w:keepNext w:val="true"/>
      <w:widowControl w:val="false"/>
      <w:spacing w:lineRule="auto" w:line="276" w:before="0" w:after="200"/>
      <w:ind w:left="0" w:right="0" w:hanging="0"/>
      <w:jc w:val="left"/>
    </w:pPr>
    <w:rPr>
      <w:rFonts w:ascii="Arial" w:hAnsi="Arial" w:eastAsia="Times New Roman" w:cs="Arial"/>
      <w:szCs w:val="24"/>
      <w:lang w:val="en-US" w:eastAsia="ru-RU"/>
    </w:rPr>
  </w:style>
  <w:style w:type="paragraph" w:styleId="Style88">
    <w:name w:val="Содержание"/>
    <w:basedOn w:val="Normal"/>
    <w:qFormat/>
    <w:pPr>
      <w:spacing w:lineRule="auto" w:line="276" w:before="0" w:after="200"/>
      <w:ind w:left="57" w:right="57" w:hanging="0"/>
      <w:jc w:val="left"/>
    </w:pPr>
    <w:rPr>
      <w:rFonts w:eastAsia="Times New Roman" w:cs="Times New Roman"/>
      <w:szCs w:val="24"/>
      <w:lang w:val="en-US" w:eastAsia="ru-RU"/>
    </w:rPr>
  </w:style>
  <w:style w:type="paragraph" w:styleId="Style89">
    <w:name w:val="Пояснит"/>
    <w:basedOn w:val="Normal"/>
    <w:qFormat/>
    <w:pPr>
      <w:spacing w:lineRule="auto" w:line="276" w:before="0" w:after="200"/>
      <w:ind w:left="170" w:right="170" w:firstLine="851"/>
    </w:pPr>
    <w:rPr>
      <w:rFonts w:eastAsia="Times New Roman" w:cs="Times New Roman"/>
      <w:szCs w:val="24"/>
      <w:lang w:val="en-US" w:eastAsia="ru-RU"/>
    </w:rPr>
  </w:style>
  <w:style w:type="paragraph" w:styleId="Style90">
    <w:name w:val="Заголовок_таблицы"/>
    <w:basedOn w:val="Style88"/>
    <w:qFormat/>
    <w:pPr>
      <w:jc w:val="center"/>
    </w:pPr>
    <w:rPr/>
  </w:style>
  <w:style w:type="paragraph" w:styleId="Style91">
    <w:name w:val="Стиль_осн_текста"/>
    <w:basedOn w:val="Normal"/>
    <w:qFormat/>
    <w:pPr>
      <w:spacing w:lineRule="auto" w:line="276" w:before="0" w:after="200"/>
    </w:pPr>
    <w:rPr>
      <w:rFonts w:eastAsia="Times New Roman" w:cs="Times New Roman"/>
      <w:szCs w:val="24"/>
      <w:lang w:val="en-US" w:eastAsia="ru-RU"/>
    </w:rPr>
  </w:style>
  <w:style w:type="paragraph" w:styleId="Style92">
    <w:name w:val="Шапка_табл"/>
    <w:basedOn w:val="Normal"/>
    <w:qFormat/>
    <w:pPr>
      <w:spacing w:lineRule="auto" w:line="276" w:before="0" w:after="200"/>
      <w:ind w:left="57" w:right="57" w:hanging="0"/>
      <w:jc w:val="center"/>
    </w:pPr>
    <w:rPr>
      <w:rFonts w:eastAsia="Times New Roman" w:cs="Times New Roman"/>
      <w:szCs w:val="24"/>
      <w:lang w:val="en-US" w:eastAsia="ru-RU"/>
    </w:rPr>
  </w:style>
  <w:style w:type="paragraph" w:styleId="Style93">
    <w:name w:val="Текст_таблицы"/>
    <w:basedOn w:val="Normal"/>
    <w:qFormat/>
    <w:pPr>
      <w:spacing w:lineRule="auto" w:line="276" w:before="0" w:after="200"/>
      <w:ind w:left="57" w:right="57" w:hanging="0"/>
      <w:jc w:val="left"/>
    </w:pPr>
    <w:rPr>
      <w:rFonts w:eastAsia="Times New Roman" w:cs="Times New Roman"/>
      <w:szCs w:val="24"/>
      <w:lang w:val="en-US" w:eastAsia="ru-RU"/>
    </w:rPr>
  </w:style>
  <w:style w:type="paragraph" w:styleId="GAS">
    <w:name w:val="Заголовок/GAS"/>
    <w:basedOn w:val="Normal"/>
    <w:qFormat/>
    <w:pPr>
      <w:spacing w:lineRule="atLeast" w:line="360" w:before="0" w:after="200"/>
      <w:ind w:left="0" w:right="0" w:hanging="0"/>
      <w:jc w:val="center"/>
    </w:pPr>
    <w:rPr>
      <w:rFonts w:ascii="TextBook" w:hAnsi="TextBook" w:eastAsia="Times New Roman" w:cs="Times New Roman"/>
      <w:caps/>
      <w:szCs w:val="20"/>
      <w:lang w:val="en-US" w:eastAsia="ru-RU"/>
    </w:rPr>
  </w:style>
  <w:style w:type="paragraph" w:styleId="Style94">
    <w:name w:val="наш_заголовок"/>
    <w:basedOn w:val="BodyText"/>
    <w:qFormat/>
    <w:pPr>
      <w:spacing w:lineRule="auto" w:line="276"/>
      <w:ind w:left="0" w:right="0" w:hanging="0"/>
      <w:jc w:val="left"/>
    </w:pPr>
    <w:rPr>
      <w:rFonts w:ascii="Calibri" w:hAnsi="Calibri"/>
      <w:sz w:val="22"/>
      <w:szCs w:val="22"/>
      <w:lang w:eastAsia="en-US"/>
    </w:rPr>
  </w:style>
  <w:style w:type="paragraph" w:styleId="Style95">
    <w:name w:val="Осн_текст"/>
    <w:basedOn w:val="Normal"/>
    <w:qFormat/>
    <w:pPr>
      <w:spacing w:lineRule="auto" w:line="276" w:before="0" w:after="200"/>
      <w:ind w:left="170" w:right="170" w:firstLine="851"/>
    </w:pPr>
    <w:rPr>
      <w:rFonts w:eastAsia="Times New Roman" w:cs="Times New Roman"/>
      <w:szCs w:val="24"/>
      <w:lang w:val="en-US" w:eastAsia="ru-RU"/>
    </w:rPr>
  </w:style>
  <w:style w:type="paragraph" w:styleId="Style96">
    <w:name w:val="Стиль_осн_текста Знак Знак"/>
    <w:basedOn w:val="Normal"/>
    <w:qFormat/>
    <w:pPr>
      <w:spacing w:lineRule="auto" w:line="276" w:before="0" w:after="200"/>
    </w:pPr>
    <w:rPr>
      <w:rFonts w:eastAsia="Times New Roman" w:cs="Times New Roman"/>
      <w:szCs w:val="24"/>
      <w:lang w:val="en-US" w:eastAsia="ru-RU"/>
    </w:rPr>
  </w:style>
  <w:style w:type="paragraph" w:styleId="Style97">
    <w:name w:val="Название_страницы"/>
    <w:basedOn w:val="Normal"/>
    <w:qFormat/>
    <w:pPr>
      <w:spacing w:lineRule="auto" w:line="276" w:before="240" w:after="120"/>
      <w:ind w:left="0" w:right="0" w:hanging="0"/>
      <w:jc w:val="center"/>
    </w:pPr>
    <w:rPr>
      <w:rFonts w:eastAsia="Times New Roman" w:cs="Times New Roman"/>
      <w:b/>
      <w:caps/>
      <w:szCs w:val="24"/>
      <w:lang w:val="en-US" w:eastAsia="ru-RU"/>
    </w:rPr>
  </w:style>
  <w:style w:type="paragraph" w:styleId="Style98">
    <w:name w:val="Таблица_Шапка"/>
    <w:basedOn w:val="Normal"/>
    <w:qFormat/>
    <w:pPr>
      <w:spacing w:lineRule="auto" w:line="276" w:before="0" w:after="200"/>
      <w:ind w:left="0" w:right="0" w:hanging="0"/>
      <w:jc w:val="center"/>
    </w:pPr>
    <w:rPr>
      <w:rFonts w:ascii="Arial" w:hAnsi="Arial" w:eastAsia="Times New Roman" w:cs="Times New Roman"/>
      <w:b/>
      <w:sz w:val="20"/>
      <w:szCs w:val="24"/>
      <w:lang w:val="en-US" w:eastAsia="ru-RU"/>
    </w:rPr>
  </w:style>
  <w:style w:type="paragraph" w:styleId="2111">
    <w:name w:val="Основной текст 211"/>
    <w:basedOn w:val="Normal"/>
    <w:qFormat/>
    <w:pPr>
      <w:overflowPunct w:val="false"/>
      <w:spacing w:lineRule="auto" w:line="276" w:before="0" w:after="200"/>
      <w:ind w:left="0" w:right="0" w:firstLine="720"/>
      <w:textAlignment w:val="baseline"/>
    </w:pPr>
    <w:rPr>
      <w:rFonts w:eastAsia="Times New Roman" w:cs="Times New Roman"/>
      <w:sz w:val="28"/>
      <w:szCs w:val="20"/>
      <w:lang w:val="en-US" w:eastAsia="ru-RU"/>
    </w:rPr>
  </w:style>
  <w:style w:type="paragraph" w:styleId="3112">
    <w:name w:val="Основной текст с отступом 311"/>
    <w:basedOn w:val="Normal"/>
    <w:qFormat/>
    <w:pPr>
      <w:widowControl w:val="false"/>
      <w:spacing w:lineRule="auto" w:line="276" w:before="0" w:after="200"/>
      <w:ind w:left="0" w:right="0" w:firstLine="720"/>
      <w:jc w:val="left"/>
    </w:pPr>
    <w:rPr>
      <w:rFonts w:eastAsia="Times New Roman" w:cs="Times New Roman"/>
      <w:sz w:val="28"/>
      <w:szCs w:val="24"/>
      <w:lang w:val="en-US" w:eastAsia="ru-RU"/>
    </w:rPr>
  </w:style>
  <w:style w:type="paragraph" w:styleId="HTMLPreformatted">
    <w:name w:val="HTML Preformatted"/>
    <w:basedOn w:val="Normal"/>
    <w:link w:val="HTML"/>
    <w:qFormat/>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0" w:after="200"/>
      <w:ind w:left="0" w:right="0" w:hanging="0"/>
      <w:jc w:val="left"/>
    </w:pPr>
    <w:rPr>
      <w:rFonts w:ascii="Courier New" w:hAnsi="Courier New" w:eastAsia="Times New Roman" w:cs="Times New Roman"/>
      <w:sz w:val="20"/>
      <w:szCs w:val="20"/>
      <w:lang w:val="en-US" w:eastAsia="ru-RU"/>
    </w:rPr>
  </w:style>
  <w:style w:type="paragraph" w:styleId="ConsPlusNormal">
    <w:name w:val="ConsPlusNormal"/>
    <w:qFormat/>
    <w:pPr>
      <w:widowControl w:val="false"/>
      <w:suppressAutoHyphens w:val="true"/>
      <w:overflowPunct w:val="true"/>
      <w:bidi w:val="0"/>
      <w:spacing w:lineRule="auto" w:line="276" w:before="0" w:after="200"/>
      <w:ind w:left="0" w:right="0" w:firstLine="720"/>
      <w:jc w:val="left"/>
    </w:pPr>
    <w:rPr>
      <w:rFonts w:ascii="Arial" w:hAnsi="Arial" w:eastAsia="Times New Roman" w:cs="Arial"/>
      <w:color w:val="auto"/>
      <w:kern w:val="0"/>
      <w:sz w:val="22"/>
      <w:szCs w:val="22"/>
      <w:lang w:val="en-US" w:eastAsia="en-US" w:bidi="ar-SA"/>
    </w:rPr>
  </w:style>
  <w:style w:type="paragraph" w:styleId="Kosmoslogobold">
    <w:name w:val="kosmos_logo_bold"/>
    <w:basedOn w:val="Normal"/>
    <w:qFormat/>
    <w:pPr>
      <w:spacing w:lineRule="auto" w:line="276" w:before="280" w:after="280"/>
      <w:ind w:left="0" w:right="0" w:hanging="0"/>
      <w:jc w:val="left"/>
    </w:pPr>
    <w:rPr>
      <w:rFonts w:ascii="Verdana" w:hAnsi="Verdana" w:eastAsia="Times New Roman" w:cs="Times New Roman"/>
      <w:b/>
      <w:bCs/>
      <w:sz w:val="67"/>
      <w:szCs w:val="67"/>
      <w:lang w:val="en-US" w:eastAsia="ru-RU"/>
    </w:rPr>
  </w:style>
  <w:style w:type="paragraph" w:styleId="Subtitle">
    <w:name w:val="Subtitle"/>
    <w:basedOn w:val="Normal"/>
    <w:next w:val="Normal"/>
    <w:link w:val="Style21"/>
    <w:qFormat/>
    <w:pPr>
      <w:numPr>
        <w:ilvl w:val="0"/>
        <w:numId w:val="0"/>
      </w:numPr>
      <w:spacing w:lineRule="auto" w:line="276" w:before="0" w:after="200"/>
      <w:ind w:left="0" w:right="0" w:firstLine="851"/>
      <w:jc w:val="left"/>
    </w:pPr>
    <w:rPr>
      <w:rFonts w:ascii="Cambria" w:hAnsi="Cambria" w:eastAsia="Times New Roman" w:cs="Times New Roman"/>
      <w:i/>
      <w:iCs/>
      <w:color w:val="4F81BD"/>
      <w:spacing w:val="15"/>
      <w:szCs w:val="24"/>
      <w:lang w:val="en-US"/>
    </w:rPr>
  </w:style>
  <w:style w:type="paragraph" w:styleId="135">
    <w:name w:val="Выделенная цитата1"/>
    <w:basedOn w:val="Normal"/>
    <w:next w:val="Normal"/>
    <w:link w:val="IntenseQuoteChar"/>
    <w:qFormat/>
    <w:pPr>
      <w:pBdr>
        <w:bottom w:val="single" w:sz="4" w:space="4" w:color="4F81BD"/>
      </w:pBdr>
      <w:spacing w:lineRule="auto" w:line="276" w:before="200" w:after="280"/>
      <w:ind w:left="936" w:right="936" w:hanging="0"/>
      <w:jc w:val="left"/>
    </w:pPr>
    <w:rPr>
      <w:rFonts w:ascii="Calibri" w:hAnsi="Calibri" w:eastAsia="Times New Roman" w:cs="Times New Roman"/>
      <w:b/>
      <w:bCs/>
      <w:i/>
      <w:iCs/>
      <w:color w:val="4F81BD"/>
      <w:lang w:val="en-US"/>
    </w:rPr>
  </w:style>
  <w:style w:type="paragraph" w:styleId="Font5">
    <w:name w:val="font5"/>
    <w:basedOn w:val="Normal"/>
    <w:qFormat/>
    <w:pPr>
      <w:spacing w:lineRule="auto" w:line="240" w:before="280" w:after="280"/>
      <w:ind w:left="0" w:right="0" w:hanging="0"/>
      <w:jc w:val="left"/>
    </w:pPr>
    <w:rPr>
      <w:rFonts w:eastAsia="Times New Roman" w:cs="Times New Roman"/>
      <w:lang w:eastAsia="ru-RU"/>
    </w:rPr>
  </w:style>
  <w:style w:type="paragraph" w:styleId="Font6">
    <w:name w:val="font6"/>
    <w:basedOn w:val="Normal"/>
    <w:qFormat/>
    <w:pPr>
      <w:spacing w:lineRule="auto" w:line="240" w:before="280" w:after="280"/>
      <w:ind w:left="0" w:right="0" w:hanging="0"/>
      <w:jc w:val="left"/>
    </w:pPr>
    <w:rPr>
      <w:rFonts w:eastAsia="Times New Roman" w:cs="Times New Roman"/>
      <w:lang w:eastAsia="ru-RU"/>
    </w:rPr>
  </w:style>
  <w:style w:type="paragraph" w:styleId="Xl63">
    <w:name w:val="xl63"/>
    <w:basedOn w:val="Normal"/>
    <w:qFormat/>
    <w:pPr>
      <w:spacing w:lineRule="auto" w:line="240" w:before="280" w:after="280"/>
      <w:ind w:left="0" w:right="0" w:hanging="0"/>
      <w:jc w:val="left"/>
      <w:textAlignment w:val="top"/>
    </w:pPr>
    <w:rPr>
      <w:rFonts w:eastAsia="Times New Roman" w:cs="Times New Roman"/>
      <w:szCs w:val="24"/>
      <w:lang w:eastAsia="ru-RU"/>
    </w:rPr>
  </w:style>
  <w:style w:type="paragraph" w:styleId="Xl64">
    <w:name w:val="xl64"/>
    <w:basedOn w:val="Normal"/>
    <w:qFormat/>
    <w:pPr>
      <w:spacing w:lineRule="auto" w:line="240" w:before="280" w:after="280"/>
      <w:ind w:left="0" w:right="0" w:hanging="0"/>
      <w:jc w:val="center"/>
      <w:textAlignment w:val="top"/>
    </w:pPr>
    <w:rPr>
      <w:rFonts w:eastAsia="Times New Roman" w:cs="Times New Roman"/>
      <w:szCs w:val="24"/>
      <w:lang w:eastAsia="ru-RU"/>
    </w:rPr>
  </w:style>
  <w:style w:type="paragraph" w:styleId="Xl65">
    <w:name w:val="xl65"/>
    <w:basedOn w:val="Normal"/>
    <w:qFormat/>
    <w:pPr>
      <w:spacing w:lineRule="auto" w:line="240" w:before="280" w:after="280"/>
      <w:ind w:left="0" w:right="0" w:hanging="0"/>
      <w:jc w:val="left"/>
      <w:textAlignment w:val="top"/>
    </w:pPr>
    <w:rPr>
      <w:rFonts w:eastAsia="Times New Roman" w:cs="Times New Roman"/>
      <w:b/>
      <w:bCs/>
      <w:szCs w:val="24"/>
      <w:lang w:eastAsia="ru-RU"/>
    </w:rPr>
  </w:style>
  <w:style w:type="paragraph" w:styleId="Xl66">
    <w:name w:val="xl66"/>
    <w:basedOn w:val="Normal"/>
    <w:qFormat/>
    <w:pPr>
      <w:spacing w:lineRule="auto" w:line="240" w:before="280" w:after="280"/>
      <w:ind w:left="0" w:right="0" w:hanging="0"/>
      <w:jc w:val="center"/>
      <w:textAlignment w:val="top"/>
    </w:pPr>
    <w:rPr>
      <w:rFonts w:eastAsia="Times New Roman" w:cs="Times New Roman"/>
      <w:b/>
      <w:bCs/>
      <w:szCs w:val="24"/>
      <w:lang w:eastAsia="ru-RU"/>
    </w:rPr>
  </w:style>
  <w:style w:type="paragraph" w:styleId="Xl67">
    <w:name w:val="xl67"/>
    <w:basedOn w:val="Normal"/>
    <w:qFormat/>
    <w:pPr>
      <w:pBdr>
        <w:top w:val="single" w:sz="4" w:space="0" w:color="000000"/>
        <w:left w:val="single" w:sz="4" w:space="0" w:color="000000"/>
        <w:bottom w:val="single" w:sz="4" w:space="0" w:color="000000"/>
      </w:pBdr>
      <w:spacing w:lineRule="auto" w:line="240" w:before="280" w:after="280"/>
      <w:ind w:left="0" w:right="0" w:hanging="0"/>
      <w:jc w:val="left"/>
      <w:textAlignment w:val="top"/>
    </w:pPr>
    <w:rPr>
      <w:rFonts w:eastAsia="Times New Roman" w:cs="Times New Roman"/>
      <w:szCs w:val="24"/>
      <w:lang w:eastAsia="ru-RU"/>
    </w:rPr>
  </w:style>
  <w:style w:type="paragraph" w:styleId="Xl68">
    <w:name w:val="xl68"/>
    <w:basedOn w:val="Normal"/>
    <w:qFormat/>
    <w:pPr>
      <w:pBdr>
        <w:left w:val="single" w:sz="4" w:space="0" w:color="000000"/>
        <w:bottom w:val="single" w:sz="4" w:space="0" w:color="000000"/>
        <w:right w:val="single" w:sz="4" w:space="0" w:color="000000"/>
      </w:pBdr>
      <w:spacing w:lineRule="auto" w:line="240" w:before="280" w:after="280"/>
      <w:ind w:left="0" w:right="0" w:hanging="0"/>
      <w:jc w:val="left"/>
      <w:textAlignment w:val="top"/>
    </w:pPr>
    <w:rPr>
      <w:rFonts w:eastAsia="Times New Roman" w:cs="Times New Roman"/>
      <w:b/>
      <w:bCs/>
      <w:szCs w:val="24"/>
      <w:lang w:eastAsia="ru-RU"/>
    </w:rPr>
  </w:style>
  <w:style w:type="paragraph" w:styleId="Xl69">
    <w:name w:val="xl69"/>
    <w:basedOn w:val="Normal"/>
    <w:qFormat/>
    <w:pPr>
      <w:spacing w:lineRule="auto" w:line="240" w:before="280" w:after="280"/>
      <w:ind w:left="0" w:right="0" w:hanging="0"/>
      <w:jc w:val="left"/>
      <w:textAlignment w:val="top"/>
    </w:pPr>
    <w:rPr>
      <w:rFonts w:eastAsia="Times New Roman" w:cs="Times New Roman"/>
      <w:szCs w:val="24"/>
      <w:lang w:eastAsia="ru-RU"/>
    </w:rPr>
  </w:style>
  <w:style w:type="paragraph" w:styleId="Xl70">
    <w:name w:val="xl70"/>
    <w:basedOn w:val="Normal"/>
    <w:qFormat/>
    <w:pPr>
      <w:pBdr>
        <w:top w:val="single" w:sz="4" w:space="0" w:color="000000"/>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szCs w:val="24"/>
      <w:lang w:eastAsia="ru-RU"/>
    </w:rPr>
  </w:style>
  <w:style w:type="paragraph" w:styleId="Xl71">
    <w:name w:val="xl71"/>
    <w:basedOn w:val="Normal"/>
    <w:qFormat/>
    <w:pPr>
      <w:pBdr>
        <w:top w:val="single" w:sz="4" w:space="0" w:color="000000"/>
        <w:left w:val="single" w:sz="4" w:space="0" w:color="000000"/>
        <w:right w:val="single" w:sz="4" w:space="0" w:color="000000"/>
      </w:pBdr>
      <w:spacing w:lineRule="auto" w:line="240" w:before="280" w:after="280"/>
      <w:ind w:left="0" w:right="0" w:hanging="0"/>
      <w:jc w:val="center"/>
      <w:textAlignment w:val="top"/>
    </w:pPr>
    <w:rPr>
      <w:rFonts w:eastAsia="Times New Roman" w:cs="Times New Roman"/>
      <w:szCs w:val="24"/>
      <w:lang w:eastAsia="ru-RU"/>
    </w:rPr>
  </w:style>
  <w:style w:type="paragraph" w:styleId="Xl72">
    <w:name w:val="xl72"/>
    <w:basedOn w:val="Normal"/>
    <w:qFormat/>
    <w:pPr>
      <w:pBdr>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szCs w:val="24"/>
      <w:lang w:eastAsia="ru-RU"/>
    </w:rPr>
  </w:style>
  <w:style w:type="paragraph" w:styleId="Xl73">
    <w:name w:val="xl73"/>
    <w:basedOn w:val="Normal"/>
    <w:qFormat/>
    <w:pPr>
      <w:pBdr>
        <w:top w:val="single" w:sz="4" w:space="0" w:color="000000"/>
        <w:left w:val="single" w:sz="4" w:space="0" w:color="000000"/>
        <w:bottom w:val="single" w:sz="4" w:space="0" w:color="000000"/>
      </w:pBdr>
      <w:spacing w:lineRule="auto" w:line="240" w:before="280" w:after="280"/>
      <w:ind w:left="0" w:right="0" w:hanging="0"/>
      <w:jc w:val="center"/>
      <w:textAlignment w:val="top"/>
    </w:pPr>
    <w:rPr>
      <w:rFonts w:eastAsia="Times New Roman" w:cs="Times New Roman"/>
      <w:szCs w:val="24"/>
      <w:lang w:eastAsia="ru-RU"/>
    </w:rPr>
  </w:style>
  <w:style w:type="paragraph" w:styleId="Xl74">
    <w:name w:val="xl74"/>
    <w:basedOn w:val="Normal"/>
    <w:qFormat/>
    <w:pPr>
      <w:pBdr>
        <w:top w:val="single" w:sz="4" w:space="0" w:color="000000"/>
        <w:left w:val="single" w:sz="4" w:space="0" w:color="000000"/>
      </w:pBdr>
      <w:spacing w:lineRule="auto" w:line="240" w:before="280" w:after="280"/>
      <w:ind w:left="0" w:right="0" w:hanging="0"/>
      <w:jc w:val="center"/>
      <w:textAlignment w:val="top"/>
    </w:pPr>
    <w:rPr>
      <w:rFonts w:eastAsia="Times New Roman" w:cs="Times New Roman"/>
      <w:szCs w:val="24"/>
      <w:lang w:eastAsia="ru-RU"/>
    </w:rPr>
  </w:style>
  <w:style w:type="paragraph" w:styleId="Xl75">
    <w:name w:val="xl75"/>
    <w:basedOn w:val="Normal"/>
    <w:qFormat/>
    <w:pPr>
      <w:pBdr>
        <w:left w:val="single" w:sz="4" w:space="0" w:color="000000"/>
        <w:right w:val="single" w:sz="4" w:space="0" w:color="000000"/>
      </w:pBdr>
      <w:spacing w:lineRule="auto" w:line="240" w:before="280" w:after="280"/>
      <w:ind w:left="0" w:right="0" w:hanging="0"/>
      <w:jc w:val="center"/>
      <w:textAlignment w:val="top"/>
    </w:pPr>
    <w:rPr>
      <w:rFonts w:eastAsia="Times New Roman" w:cs="Times New Roman"/>
      <w:szCs w:val="24"/>
      <w:lang w:eastAsia="ru-RU"/>
    </w:rPr>
  </w:style>
  <w:style w:type="paragraph" w:styleId="Xl76">
    <w:name w:val="xl76"/>
    <w:basedOn w:val="Normal"/>
    <w:qFormat/>
    <w:pPr>
      <w:pBdr>
        <w:top w:val="single" w:sz="4" w:space="0" w:color="000000"/>
        <w:left w:val="single" w:sz="4" w:space="0" w:color="000000"/>
        <w:bottom w:val="single" w:sz="4" w:space="0" w:color="000000"/>
        <w:right w:val="single" w:sz="4" w:space="0" w:color="000000"/>
      </w:pBdr>
      <w:spacing w:lineRule="auto" w:line="240" w:before="280" w:after="280"/>
      <w:ind w:left="0" w:right="0" w:hanging="0"/>
      <w:textAlignment w:val="top"/>
    </w:pPr>
    <w:rPr>
      <w:rFonts w:eastAsia="Times New Roman" w:cs="Times New Roman"/>
      <w:szCs w:val="24"/>
      <w:lang w:eastAsia="ru-RU"/>
    </w:rPr>
  </w:style>
  <w:style w:type="paragraph" w:styleId="Xl77">
    <w:name w:val="xl77"/>
    <w:basedOn w:val="Normal"/>
    <w:qFormat/>
    <w:pPr>
      <w:pBdr>
        <w:top w:val="single" w:sz="4" w:space="0" w:color="000000"/>
        <w:left w:val="single" w:sz="4" w:space="0" w:color="000000"/>
        <w:bottom w:val="single" w:sz="4" w:space="0" w:color="000000"/>
        <w:right w:val="single" w:sz="4" w:space="0" w:color="000000"/>
      </w:pBdr>
      <w:spacing w:lineRule="auto" w:line="240" w:before="280" w:after="280"/>
      <w:ind w:left="0" w:right="0" w:hanging="0"/>
      <w:jc w:val="left"/>
      <w:textAlignment w:val="top"/>
    </w:pPr>
    <w:rPr>
      <w:rFonts w:eastAsia="Times New Roman" w:cs="Times New Roman"/>
      <w:szCs w:val="24"/>
      <w:lang w:eastAsia="ru-RU"/>
    </w:rPr>
  </w:style>
  <w:style w:type="paragraph" w:styleId="Xl78">
    <w:name w:val="xl78"/>
    <w:basedOn w:val="Normal"/>
    <w:qFormat/>
    <w:pPr>
      <w:spacing w:lineRule="auto" w:line="240" w:before="280" w:after="280"/>
      <w:ind w:left="0" w:right="0" w:hanging="0"/>
      <w:jc w:val="left"/>
    </w:pPr>
    <w:rPr>
      <w:rFonts w:eastAsia="Times New Roman" w:cs="Times New Roman"/>
      <w:szCs w:val="24"/>
      <w:lang w:eastAsia="ru-RU"/>
    </w:rPr>
  </w:style>
  <w:style w:type="paragraph" w:styleId="Xl79">
    <w:name w:val="xl79"/>
    <w:basedOn w:val="Normal"/>
    <w:qFormat/>
    <w:pPr>
      <w:spacing w:lineRule="auto" w:line="240" w:before="280" w:after="280"/>
      <w:ind w:left="0" w:right="0" w:hanging="0"/>
      <w:jc w:val="left"/>
    </w:pPr>
    <w:rPr>
      <w:rFonts w:eastAsia="Times New Roman" w:cs="Times New Roman"/>
      <w:szCs w:val="24"/>
      <w:lang w:eastAsia="ru-RU"/>
    </w:rPr>
  </w:style>
  <w:style w:type="paragraph" w:styleId="Xl80">
    <w:name w:val="xl80"/>
    <w:basedOn w:val="Normal"/>
    <w:qFormat/>
    <w:pPr>
      <w:pBdr>
        <w:top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szCs w:val="24"/>
      <w:lang w:eastAsia="ru-RU"/>
    </w:rPr>
  </w:style>
  <w:style w:type="paragraph" w:styleId="Xl81">
    <w:name w:val="xl81"/>
    <w:basedOn w:val="Normal"/>
    <w:qFormat/>
    <w:pPr>
      <w:pBdr>
        <w:top w:val="single" w:sz="4" w:space="0" w:color="000000"/>
        <w:bottom w:val="single" w:sz="4" w:space="0" w:color="000000"/>
      </w:pBdr>
      <w:spacing w:lineRule="auto" w:line="240" w:before="280" w:after="280"/>
      <w:ind w:left="0" w:right="0" w:hanging="0"/>
      <w:jc w:val="center"/>
      <w:textAlignment w:val="top"/>
    </w:pPr>
    <w:rPr>
      <w:rFonts w:eastAsia="Times New Roman" w:cs="Times New Roman"/>
      <w:szCs w:val="24"/>
      <w:lang w:eastAsia="ru-RU"/>
    </w:rPr>
  </w:style>
  <w:style w:type="paragraph" w:styleId="Xl82">
    <w:name w:val="xl82"/>
    <w:basedOn w:val="Normal"/>
    <w:qFormat/>
    <w:pPr>
      <w:pBdr>
        <w:top w:val="single" w:sz="4" w:space="0" w:color="000000"/>
      </w:pBdr>
      <w:spacing w:lineRule="auto" w:line="240" w:before="280" w:after="280"/>
      <w:ind w:left="0" w:right="0" w:hanging="0"/>
      <w:jc w:val="center"/>
      <w:textAlignment w:val="top"/>
    </w:pPr>
    <w:rPr>
      <w:rFonts w:eastAsia="Times New Roman" w:cs="Times New Roman"/>
      <w:szCs w:val="24"/>
      <w:lang w:eastAsia="ru-RU"/>
    </w:rPr>
  </w:style>
  <w:style w:type="paragraph" w:styleId="Xl83">
    <w:name w:val="xl83"/>
    <w:basedOn w:val="Normal"/>
    <w:qFormat/>
    <w:pPr>
      <w:pBdr>
        <w:top w:val="single" w:sz="4" w:space="0" w:color="000000"/>
        <w:right w:val="single" w:sz="4" w:space="0" w:color="000000"/>
      </w:pBdr>
      <w:spacing w:lineRule="auto" w:line="240" w:before="280" w:after="280"/>
      <w:ind w:left="0" w:right="0" w:hanging="0"/>
      <w:jc w:val="center"/>
      <w:textAlignment w:val="top"/>
    </w:pPr>
    <w:rPr>
      <w:rFonts w:eastAsia="Times New Roman" w:cs="Times New Roman"/>
      <w:szCs w:val="24"/>
      <w:lang w:eastAsia="ru-RU"/>
    </w:rPr>
  </w:style>
  <w:style w:type="paragraph" w:styleId="Xl84">
    <w:name w:val="xl84"/>
    <w:basedOn w:val="Normal"/>
    <w:qFormat/>
    <w:pPr>
      <w:pBdr>
        <w:left w:val="single" w:sz="4" w:space="0" w:color="000000"/>
        <w:bottom w:val="single" w:sz="4" w:space="0" w:color="000000"/>
      </w:pBdr>
      <w:spacing w:lineRule="auto" w:line="240" w:before="280" w:after="280"/>
      <w:ind w:left="0" w:right="0" w:hanging="0"/>
      <w:jc w:val="center"/>
      <w:textAlignment w:val="top"/>
    </w:pPr>
    <w:rPr>
      <w:rFonts w:eastAsia="Times New Roman" w:cs="Times New Roman"/>
      <w:szCs w:val="24"/>
      <w:lang w:eastAsia="ru-RU"/>
    </w:rPr>
  </w:style>
  <w:style w:type="paragraph" w:styleId="Xl85">
    <w:name w:val="xl85"/>
    <w:basedOn w:val="Normal"/>
    <w:qFormat/>
    <w:pPr>
      <w:pBdr>
        <w:bottom w:val="single" w:sz="4" w:space="0" w:color="000000"/>
      </w:pBdr>
      <w:spacing w:lineRule="auto" w:line="240" w:before="280" w:after="280"/>
      <w:ind w:left="0" w:right="0" w:hanging="0"/>
      <w:jc w:val="center"/>
      <w:textAlignment w:val="top"/>
    </w:pPr>
    <w:rPr>
      <w:rFonts w:eastAsia="Times New Roman" w:cs="Times New Roman"/>
      <w:szCs w:val="24"/>
      <w:lang w:eastAsia="ru-RU"/>
    </w:rPr>
  </w:style>
  <w:style w:type="paragraph" w:styleId="Xl86">
    <w:name w:val="xl86"/>
    <w:basedOn w:val="Normal"/>
    <w:qFormat/>
    <w:pPr>
      <w:pBdr>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szCs w:val="24"/>
      <w:lang w:eastAsia="ru-RU"/>
    </w:rPr>
  </w:style>
  <w:style w:type="paragraph" w:styleId="Xl87">
    <w:name w:val="xl87"/>
    <w:basedOn w:val="Normal"/>
    <w:qFormat/>
    <w:pPr>
      <w:pBdr>
        <w:left w:val="single" w:sz="4" w:space="0" w:color="000000"/>
      </w:pBdr>
      <w:spacing w:lineRule="auto" w:line="240" w:before="280" w:after="280"/>
      <w:ind w:left="0" w:right="0" w:hanging="0"/>
      <w:jc w:val="center"/>
      <w:textAlignment w:val="top"/>
    </w:pPr>
    <w:rPr>
      <w:rFonts w:eastAsia="Times New Roman" w:cs="Times New Roman"/>
      <w:szCs w:val="24"/>
      <w:lang w:eastAsia="ru-RU"/>
    </w:rPr>
  </w:style>
  <w:style w:type="paragraph" w:styleId="Xl88">
    <w:name w:val="xl88"/>
    <w:basedOn w:val="Normal"/>
    <w:qFormat/>
    <w:pPr>
      <w:pBdr>
        <w:right w:val="single" w:sz="4" w:space="0" w:color="000000"/>
      </w:pBdr>
      <w:spacing w:lineRule="auto" w:line="240" w:before="280" w:after="280"/>
      <w:ind w:left="0" w:right="0" w:hanging="0"/>
      <w:jc w:val="center"/>
      <w:textAlignment w:val="top"/>
    </w:pPr>
    <w:rPr>
      <w:rFonts w:eastAsia="Times New Roman" w:cs="Times New Roman"/>
      <w:szCs w:val="24"/>
      <w:lang w:eastAsia="ru-RU"/>
    </w:rPr>
  </w:style>
  <w:style w:type="paragraph" w:styleId="Xl89">
    <w:name w:val="xl89"/>
    <w:basedOn w:val="Normal"/>
    <w:qFormat/>
    <w:pPr>
      <w:pBdr>
        <w:top w:val="single" w:sz="4" w:space="0" w:color="000000"/>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color w:val="FF0000"/>
      <w:sz w:val="40"/>
      <w:szCs w:val="40"/>
      <w:lang w:eastAsia="ru-RU"/>
    </w:rPr>
  </w:style>
  <w:style w:type="paragraph" w:styleId="321">
    <w:name w:val="Основной текст с отступом 32"/>
    <w:basedOn w:val="Normal"/>
    <w:qFormat/>
    <w:pPr>
      <w:suppressAutoHyphens w:val="true"/>
      <w:spacing w:lineRule="auto" w:line="240"/>
      <w:ind w:left="0" w:right="0" w:firstLine="540"/>
    </w:pPr>
    <w:rPr>
      <w:rFonts w:eastAsia="Times New Roman" w:cs="Times New Roman"/>
      <w:sz w:val="28"/>
      <w:szCs w:val="20"/>
      <w:lang w:eastAsia="ar-SA"/>
    </w:rPr>
  </w:style>
  <w:style w:type="paragraph" w:styleId="222">
    <w:name w:val="Основной текст с отступом 22"/>
    <w:basedOn w:val="Normal"/>
    <w:qFormat/>
    <w:pPr>
      <w:suppressAutoHyphens w:val="true"/>
      <w:spacing w:lineRule="auto" w:line="240"/>
      <w:ind w:left="0" w:right="0" w:firstLine="780"/>
    </w:pPr>
    <w:rPr>
      <w:rFonts w:eastAsia="Times New Roman" w:cs="Times New Roman"/>
      <w:szCs w:val="24"/>
      <w:lang w:eastAsia="ar-SA"/>
    </w:rPr>
  </w:style>
  <w:style w:type="paragraph" w:styleId="310">
    <w:name w:val="Обычный3"/>
    <w:qFormat/>
    <w:pPr>
      <w:widowControl/>
      <w:suppressAutoHyphens w:val="true"/>
      <w:overflowPunct w:val="true"/>
      <w:bidi w:val="0"/>
      <w:spacing w:lineRule="auto" w:line="240" w:before="0" w:after="0"/>
      <w:jc w:val="left"/>
    </w:pPr>
    <w:rPr>
      <w:rFonts w:ascii="Times New Roman" w:hAnsi="Times New Roman" w:eastAsia="Times New Roman" w:cs="Times New Roman"/>
      <w:color w:val="auto"/>
      <w:kern w:val="0"/>
      <w:sz w:val="20"/>
      <w:szCs w:val="20"/>
      <w:lang w:val="en-GB" w:eastAsia="ru-RU" w:bidi="ar-SA"/>
    </w:rPr>
  </w:style>
  <w:style w:type="paragraph" w:styleId="Src">
    <w:name w:val="src"/>
    <w:basedOn w:val="Normal"/>
    <w:qFormat/>
    <w:pPr>
      <w:spacing w:lineRule="auto" w:line="240" w:before="0" w:after="225"/>
      <w:ind w:left="0" w:right="0" w:hanging="0"/>
      <w:jc w:val="left"/>
    </w:pPr>
    <w:rPr>
      <w:rFonts w:eastAsia="Times New Roman" w:cs="Times New Roman"/>
      <w:i/>
      <w:iCs/>
      <w:color w:val="939756"/>
      <w:sz w:val="17"/>
      <w:szCs w:val="17"/>
      <w:lang w:eastAsia="ru-RU"/>
    </w:rPr>
  </w:style>
  <w:style w:type="paragraph" w:styleId="Style99">
    <w:name w:val="Формула"/>
    <w:basedOn w:val="Normal"/>
    <w:qFormat/>
    <w:pPr>
      <w:spacing w:before="200" w:after="200"/>
      <w:jc w:val="center"/>
    </w:pPr>
    <w:rPr>
      <w:rFonts w:eastAsia="Times New Roman" w:cs="Times New Roman"/>
      <w:szCs w:val="32"/>
      <w:lang w:eastAsia="ru-RU"/>
    </w:rPr>
  </w:style>
  <w:style w:type="paragraph" w:styleId="Style100">
    <w:name w:val="формула"/>
    <w:basedOn w:val="134"/>
    <w:qFormat/>
    <w:pPr>
      <w:spacing w:before="200" w:after="200"/>
      <w:ind w:left="0" w:right="0" w:hanging="0"/>
      <w:jc w:val="center"/>
    </w:pPr>
    <w:rPr/>
  </w:style>
  <w:style w:type="paragraph" w:styleId="92">
    <w:name w:val="заголовок9"/>
    <w:basedOn w:val="Normal"/>
    <w:qFormat/>
    <w:pPr>
      <w:spacing w:lineRule="auto" w:line="240"/>
      <w:ind w:left="851" w:right="0" w:hanging="425"/>
      <w:jc w:val="left"/>
    </w:pPr>
    <w:rPr>
      <w:rFonts w:eastAsia="Times New Roman" w:cs="Times New Roman"/>
      <w:b/>
      <w:bCs/>
      <w:sz w:val="20"/>
      <w:lang w:eastAsia="ru-RU"/>
    </w:rPr>
  </w:style>
  <w:style w:type="paragraph" w:styleId="Style101">
    <w:name w:val="Таблица №"/>
    <w:basedOn w:val="Normal"/>
    <w:link w:val="Style22"/>
    <w:qFormat/>
    <w:pPr>
      <w:spacing w:lineRule="auto" w:line="312" w:before="120" w:after="120"/>
      <w:ind w:left="0" w:right="0" w:hanging="0"/>
      <w:jc w:val="right"/>
    </w:pPr>
    <w:rPr>
      <w:rFonts w:eastAsia="Times New Roman" w:cs="Times New Roman"/>
      <w:b/>
      <w:szCs w:val="20"/>
      <w:lang w:eastAsia="ru-RU"/>
    </w:rPr>
  </w:style>
  <w:style w:type="paragraph" w:styleId="Style102">
    <w:name w:val="Таблица Заголовок"/>
    <w:basedOn w:val="Normal"/>
    <w:qFormat/>
    <w:pPr>
      <w:tabs>
        <w:tab w:val="clear" w:pos="708"/>
        <w:tab w:val="left" w:pos="0" w:leader="none"/>
        <w:tab w:val="left" w:pos="360" w:leader="none"/>
      </w:tabs>
      <w:spacing w:before="0" w:after="120"/>
      <w:ind w:left="0" w:right="0" w:firstLine="720"/>
      <w:jc w:val="center"/>
    </w:pPr>
    <w:rPr>
      <w:rFonts w:eastAsia="Times New Roman" w:cs="Times New Roman"/>
      <w:color w:val="7030A0"/>
      <w:szCs w:val="24"/>
      <w:lang w:eastAsia="ru-RU"/>
    </w:rPr>
  </w:style>
  <w:style w:type="paragraph" w:styleId="Style103">
    <w:name w:val="СМС Основной"/>
    <w:basedOn w:val="Normal"/>
    <w:link w:val="Style23"/>
    <w:qFormat/>
    <w:pPr/>
    <w:rPr>
      <w:rFonts w:eastAsia="Times New Roman" w:cs="Times New Roman"/>
      <w:szCs w:val="24"/>
      <w:lang w:eastAsia="ru-RU"/>
    </w:rPr>
  </w:style>
  <w:style w:type="paragraph" w:styleId="C1">
    <w:name w:val="ВНП Обычный текст c отступом"/>
    <w:basedOn w:val="Normal"/>
    <w:link w:val="C"/>
    <w:qFormat/>
    <w:pPr/>
    <w:rPr/>
  </w:style>
  <w:style w:type="paragraph" w:styleId="261">
    <w:name w:val="Основной текст 26"/>
    <w:basedOn w:val="Normal"/>
    <w:qFormat/>
    <w:pPr>
      <w:overflowPunct w:val="false"/>
      <w:spacing w:lineRule="auto" w:line="240" w:before="120" w:after="0"/>
      <w:ind w:left="0" w:right="0" w:firstLine="709"/>
    </w:pPr>
    <w:rPr>
      <w:rFonts w:eastAsia="Times New Roman" w:cs="Times New Roman"/>
      <w:sz w:val="28"/>
      <w:szCs w:val="20"/>
      <w:lang w:eastAsia="ru-RU"/>
    </w:rPr>
  </w:style>
  <w:style w:type="paragraph" w:styleId="314">
    <w:name w:val="Основной текст (3)"/>
    <w:basedOn w:val="Normal"/>
    <w:link w:val="3Exact"/>
    <w:qFormat/>
    <w:pPr>
      <w:widowControl w:val="false"/>
      <w:shd w:val="clear" w:fill="FFFFFF"/>
      <w:spacing w:lineRule="atLeast" w:line="240"/>
      <w:ind w:left="0" w:right="0" w:hanging="0"/>
      <w:jc w:val="left"/>
    </w:pPr>
    <w:rPr/>
  </w:style>
  <w:style w:type="paragraph" w:styleId="NormalIndent">
    <w:name w:val="Normal Indent"/>
    <w:basedOn w:val="Normal"/>
    <w:qFormat/>
    <w:pPr>
      <w:widowControl w:val="false"/>
      <w:ind w:left="0" w:right="0" w:firstLine="709"/>
    </w:pPr>
    <w:rPr>
      <w:rFonts w:eastAsia="Times New Roman" w:cs="Times New Roman"/>
      <w:szCs w:val="24"/>
      <w:lang w:eastAsia="ru-RU"/>
    </w:rPr>
  </w:style>
  <w:style w:type="paragraph" w:styleId="322">
    <w:name w:val="Основной текст 32"/>
    <w:basedOn w:val="Normal"/>
    <w:qFormat/>
    <w:pPr>
      <w:overflowPunct w:val="false"/>
      <w:spacing w:lineRule="auto" w:line="240"/>
      <w:ind w:left="0" w:right="0" w:hanging="0"/>
      <w:jc w:val="center"/>
    </w:pPr>
    <w:rPr>
      <w:rFonts w:ascii="Arial" w:hAnsi="Arial" w:eastAsia="Times New Roman" w:cs="Times New Roman"/>
      <w:b/>
      <w:smallCaps/>
      <w:sz w:val="28"/>
      <w:szCs w:val="20"/>
      <w:lang w:eastAsia="ru-RU"/>
    </w:rPr>
  </w:style>
  <w:style w:type="paragraph" w:styleId="223">
    <w:name w:val="Основной текст 22"/>
    <w:basedOn w:val="Normal"/>
    <w:qFormat/>
    <w:pPr>
      <w:overflowPunct w:val="false"/>
      <w:spacing w:lineRule="auto" w:line="240" w:before="240" w:after="120"/>
      <w:ind w:left="0" w:right="0" w:hanging="0"/>
      <w:textAlignment w:val="baseline"/>
    </w:pPr>
    <w:rPr>
      <w:rFonts w:ascii="Arial" w:hAnsi="Arial" w:eastAsia="Times New Roman" w:cs="Times New Roman"/>
      <w:szCs w:val="20"/>
      <w:lang w:val="en-US" w:eastAsia="ru-RU"/>
    </w:rPr>
  </w:style>
  <w:style w:type="paragraph" w:styleId="Xl90">
    <w:name w:val="xl90"/>
    <w:basedOn w:val="Normal"/>
    <w:qFormat/>
    <w:pPr>
      <w:pBdr>
        <w:top w:val="single" w:sz="4" w:space="0" w:color="000000"/>
        <w:left w:val="single" w:sz="4" w:space="0" w:color="000000"/>
        <w:bottom w:val="single" w:sz="4" w:space="0" w:color="000000"/>
        <w:right w:val="single" w:sz="4" w:space="0" w:color="000000"/>
      </w:pBdr>
      <w:spacing w:lineRule="auto" w:line="240" w:before="280" w:after="280"/>
      <w:ind w:left="0" w:right="0" w:hanging="0"/>
      <w:jc w:val="left"/>
      <w:textAlignment w:val="top"/>
    </w:pPr>
    <w:rPr>
      <w:rFonts w:eastAsia="Times New Roman" w:cs="Times New Roman"/>
      <w:lang w:eastAsia="ru-RU"/>
    </w:rPr>
  </w:style>
  <w:style w:type="paragraph" w:styleId="Xl91">
    <w:name w:val="xl91"/>
    <w:basedOn w:val="Normal"/>
    <w:qFormat/>
    <w:pPr>
      <w:pBdr>
        <w:top w:val="single" w:sz="4" w:space="0" w:color="000000"/>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92">
    <w:name w:val="xl92"/>
    <w:basedOn w:val="Normal"/>
    <w:qFormat/>
    <w:pPr>
      <w:pBdr>
        <w:top w:val="single" w:sz="4" w:space="0" w:color="000000"/>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b/>
      <w:bCs/>
      <w:lang w:eastAsia="ru-RU"/>
    </w:rPr>
  </w:style>
  <w:style w:type="paragraph" w:styleId="Xl93">
    <w:name w:val="xl93"/>
    <w:basedOn w:val="Normal"/>
    <w:qFormat/>
    <w:pPr>
      <w:pBdr>
        <w:top w:val="single" w:sz="4" w:space="0" w:color="000000"/>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94">
    <w:name w:val="xl94"/>
    <w:basedOn w:val="Normal"/>
    <w:qFormat/>
    <w:pPr>
      <w:pBdr>
        <w:top w:val="single" w:sz="4" w:space="0" w:color="000000"/>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95">
    <w:name w:val="xl95"/>
    <w:basedOn w:val="Normal"/>
    <w:qFormat/>
    <w:pPr>
      <w:pBdr>
        <w:top w:val="single" w:sz="4" w:space="0" w:color="000000"/>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96">
    <w:name w:val="xl96"/>
    <w:basedOn w:val="Normal"/>
    <w:qFormat/>
    <w:pPr>
      <w:pBdr>
        <w:top w:val="single" w:sz="4" w:space="0" w:color="000000"/>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97">
    <w:name w:val="xl97"/>
    <w:basedOn w:val="Normal"/>
    <w:qFormat/>
    <w:pPr>
      <w:pBdr>
        <w:top w:val="single" w:sz="4" w:space="0" w:color="000000"/>
        <w:left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98">
    <w:name w:val="xl98"/>
    <w:basedOn w:val="Normal"/>
    <w:qFormat/>
    <w:pPr>
      <w:pBdr>
        <w:top w:val="single" w:sz="12" w:space="0" w:color="000000"/>
        <w:left w:val="double" w:sz="6" w:space="0" w:color="000000"/>
        <w:bottom w:val="single" w:sz="4" w:space="0" w:color="000000"/>
        <w:right w:val="single" w:sz="4" w:space="0" w:color="000000"/>
      </w:pBdr>
      <w:spacing w:lineRule="auto" w:line="240" w:before="280" w:after="280"/>
      <w:ind w:left="0" w:right="0" w:hanging="0"/>
      <w:jc w:val="right"/>
      <w:textAlignment w:val="top"/>
    </w:pPr>
    <w:rPr>
      <w:rFonts w:eastAsia="Times New Roman" w:cs="Times New Roman"/>
      <w:lang w:eastAsia="ru-RU"/>
    </w:rPr>
  </w:style>
  <w:style w:type="paragraph" w:styleId="Xl99">
    <w:name w:val="xl99"/>
    <w:basedOn w:val="Normal"/>
    <w:qFormat/>
    <w:pPr>
      <w:pBdr>
        <w:top w:val="single" w:sz="12" w:space="0" w:color="000000"/>
        <w:left w:val="single" w:sz="4" w:space="0" w:color="000000"/>
        <w:bottom w:val="single" w:sz="4" w:space="0" w:color="000000"/>
        <w:right w:val="single" w:sz="4" w:space="0" w:color="000000"/>
      </w:pBdr>
      <w:spacing w:lineRule="auto" w:line="240" w:before="280" w:after="280"/>
      <w:ind w:left="0" w:right="0" w:hanging="0"/>
      <w:jc w:val="right"/>
      <w:textAlignment w:val="top"/>
    </w:pPr>
    <w:rPr>
      <w:rFonts w:eastAsia="Times New Roman" w:cs="Times New Roman"/>
      <w:lang w:eastAsia="ru-RU"/>
    </w:rPr>
  </w:style>
  <w:style w:type="paragraph" w:styleId="Xl100">
    <w:name w:val="xl100"/>
    <w:basedOn w:val="Normal"/>
    <w:qFormat/>
    <w:pPr>
      <w:pBdr>
        <w:top w:val="single" w:sz="12" w:space="0" w:color="000000"/>
        <w:left w:val="single" w:sz="4" w:space="0" w:color="000000"/>
        <w:bottom w:val="single" w:sz="4" w:space="0" w:color="000000"/>
        <w:right w:val="single" w:sz="4" w:space="0" w:color="000000"/>
      </w:pBdr>
      <w:spacing w:lineRule="auto" w:line="240" w:before="280" w:after="280"/>
      <w:ind w:left="0" w:right="0" w:hanging="0"/>
      <w:jc w:val="left"/>
      <w:textAlignment w:val="top"/>
    </w:pPr>
    <w:rPr>
      <w:rFonts w:eastAsia="Times New Roman" w:cs="Times New Roman"/>
      <w:lang w:eastAsia="ru-RU"/>
    </w:rPr>
  </w:style>
  <w:style w:type="paragraph" w:styleId="Xl101">
    <w:name w:val="xl101"/>
    <w:basedOn w:val="Normal"/>
    <w:qFormat/>
    <w:pPr>
      <w:pBdr>
        <w:top w:val="single" w:sz="12" w:space="0" w:color="000000"/>
        <w:left w:val="single" w:sz="4" w:space="0" w:color="000000"/>
        <w:bottom w:val="single" w:sz="4" w:space="0" w:color="000000"/>
        <w:right w:val="single" w:sz="4" w:space="0" w:color="000000"/>
      </w:pBdr>
      <w:spacing w:lineRule="auto" w:line="240" w:before="280" w:after="280"/>
      <w:ind w:left="0" w:right="0" w:hanging="0"/>
      <w:jc w:val="right"/>
      <w:textAlignment w:val="top"/>
    </w:pPr>
    <w:rPr>
      <w:rFonts w:eastAsia="Times New Roman" w:cs="Times New Roman"/>
      <w:lang w:eastAsia="ru-RU"/>
    </w:rPr>
  </w:style>
  <w:style w:type="paragraph" w:styleId="Xl102">
    <w:name w:val="xl102"/>
    <w:basedOn w:val="Normal"/>
    <w:qFormat/>
    <w:pPr>
      <w:pBdr>
        <w:top w:val="single" w:sz="12" w:space="0" w:color="000000"/>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03">
    <w:name w:val="xl103"/>
    <w:basedOn w:val="Normal"/>
    <w:qFormat/>
    <w:pPr>
      <w:pBdr>
        <w:top w:val="single" w:sz="12" w:space="0" w:color="000000"/>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b/>
      <w:bCs/>
      <w:lang w:eastAsia="ru-RU"/>
    </w:rPr>
  </w:style>
  <w:style w:type="paragraph" w:styleId="Xl104">
    <w:name w:val="xl104"/>
    <w:basedOn w:val="Normal"/>
    <w:qFormat/>
    <w:pPr>
      <w:pBdr>
        <w:top w:val="single" w:sz="12" w:space="0" w:color="000000"/>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05">
    <w:name w:val="xl105"/>
    <w:basedOn w:val="Normal"/>
    <w:qFormat/>
    <w:pPr>
      <w:pBdr>
        <w:top w:val="single" w:sz="12" w:space="0" w:color="000000"/>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06">
    <w:name w:val="xl106"/>
    <w:basedOn w:val="Normal"/>
    <w:qFormat/>
    <w:pPr>
      <w:pBdr>
        <w:top w:val="single" w:sz="12" w:space="0" w:color="000000"/>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07">
    <w:name w:val="xl107"/>
    <w:basedOn w:val="Normal"/>
    <w:qFormat/>
    <w:pPr>
      <w:pBdr>
        <w:top w:val="single" w:sz="12" w:space="0" w:color="000000"/>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08">
    <w:name w:val="xl108"/>
    <w:basedOn w:val="Normal"/>
    <w:qFormat/>
    <w:pPr>
      <w:pBdr>
        <w:top w:val="single" w:sz="12" w:space="0" w:color="000000"/>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09">
    <w:name w:val="xl109"/>
    <w:basedOn w:val="Normal"/>
    <w:qFormat/>
    <w:pPr>
      <w:pBdr>
        <w:top w:val="single" w:sz="12" w:space="0" w:color="000000"/>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10">
    <w:name w:val="xl110"/>
    <w:basedOn w:val="Normal"/>
    <w:qFormat/>
    <w:pPr>
      <w:pBdr>
        <w:top w:val="single" w:sz="12" w:space="0" w:color="000000"/>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11">
    <w:name w:val="xl111"/>
    <w:basedOn w:val="Normal"/>
    <w:qFormat/>
    <w:pPr>
      <w:pBdr>
        <w:top w:val="single" w:sz="12" w:space="0" w:color="000000"/>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12">
    <w:name w:val="xl112"/>
    <w:basedOn w:val="Normal"/>
    <w:qFormat/>
    <w:pPr>
      <w:pBdr>
        <w:top w:val="single" w:sz="12" w:space="0" w:color="000000"/>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13">
    <w:name w:val="xl113"/>
    <w:basedOn w:val="Normal"/>
    <w:qFormat/>
    <w:pPr>
      <w:pBdr>
        <w:top w:val="single" w:sz="12" w:space="0" w:color="000000"/>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14">
    <w:name w:val="xl114"/>
    <w:basedOn w:val="Normal"/>
    <w:qFormat/>
    <w:pPr>
      <w:pBdr>
        <w:top w:val="single" w:sz="12" w:space="0" w:color="000000"/>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15">
    <w:name w:val="xl115"/>
    <w:basedOn w:val="Normal"/>
    <w:qFormat/>
    <w:pPr>
      <w:pBdr>
        <w:top w:val="single" w:sz="4" w:space="0" w:color="000000"/>
        <w:left w:val="single" w:sz="4" w:space="0" w:color="000000"/>
        <w:bottom w:val="single" w:sz="4" w:space="0" w:color="000000"/>
        <w:right w:val="single" w:sz="4" w:space="0" w:color="000000"/>
      </w:pBdr>
      <w:spacing w:lineRule="auto" w:line="240" w:before="280" w:after="280"/>
      <w:ind w:left="0" w:right="0" w:hanging="0"/>
      <w:jc w:val="right"/>
      <w:textAlignment w:val="top"/>
    </w:pPr>
    <w:rPr>
      <w:rFonts w:eastAsia="Times New Roman" w:cs="Times New Roman"/>
      <w:lang w:eastAsia="ru-RU"/>
    </w:rPr>
  </w:style>
  <w:style w:type="paragraph" w:styleId="Xl116">
    <w:name w:val="xl116"/>
    <w:basedOn w:val="Normal"/>
    <w:qFormat/>
    <w:pPr>
      <w:pBdr>
        <w:top w:val="single" w:sz="4" w:space="0" w:color="000000"/>
        <w:left w:val="single" w:sz="4" w:space="0" w:color="000000"/>
        <w:bottom w:val="single" w:sz="4" w:space="0" w:color="000000"/>
        <w:right w:val="single" w:sz="4" w:space="0" w:color="000000"/>
      </w:pBdr>
      <w:spacing w:lineRule="auto" w:line="240" w:before="280" w:after="280"/>
      <w:ind w:left="0" w:right="0" w:hanging="0"/>
      <w:jc w:val="right"/>
      <w:textAlignment w:val="top"/>
    </w:pPr>
    <w:rPr>
      <w:rFonts w:eastAsia="Times New Roman" w:cs="Times New Roman"/>
      <w:lang w:eastAsia="ru-RU"/>
    </w:rPr>
  </w:style>
  <w:style w:type="paragraph" w:styleId="Xl117">
    <w:name w:val="xl117"/>
    <w:basedOn w:val="Normal"/>
    <w:qFormat/>
    <w:pPr>
      <w:pBdr>
        <w:top w:val="double" w:sz="6" w:space="0" w:color="000000"/>
        <w:left w:val="single" w:sz="4" w:space="0" w:color="000000"/>
        <w:bottom w:val="single" w:sz="4" w:space="0" w:color="000000"/>
        <w:right w:val="single" w:sz="4" w:space="0" w:color="000000"/>
      </w:pBdr>
      <w:spacing w:lineRule="auto" w:line="240" w:before="280" w:after="280"/>
      <w:ind w:left="0" w:right="0" w:hanging="0"/>
      <w:jc w:val="right"/>
      <w:textAlignment w:val="top"/>
    </w:pPr>
    <w:rPr>
      <w:rFonts w:eastAsia="Times New Roman" w:cs="Times New Roman"/>
      <w:lang w:eastAsia="ru-RU"/>
    </w:rPr>
  </w:style>
  <w:style w:type="paragraph" w:styleId="Xl118">
    <w:name w:val="xl118"/>
    <w:basedOn w:val="Normal"/>
    <w:qFormat/>
    <w:pPr>
      <w:pBdr>
        <w:top w:val="double" w:sz="6" w:space="0" w:color="000000"/>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19">
    <w:name w:val="xl119"/>
    <w:basedOn w:val="Normal"/>
    <w:qFormat/>
    <w:pPr>
      <w:pBdr>
        <w:top w:val="double" w:sz="6" w:space="0" w:color="000000"/>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20">
    <w:name w:val="xl120"/>
    <w:basedOn w:val="Normal"/>
    <w:qFormat/>
    <w:pPr>
      <w:pBdr>
        <w:top w:val="single" w:sz="4" w:space="0" w:color="000000"/>
        <w:left w:val="single" w:sz="4" w:space="0" w:color="000000"/>
        <w:bottom w:val="single" w:sz="4" w:space="0" w:color="000000"/>
        <w:right w:val="single" w:sz="4" w:space="0" w:color="000000"/>
      </w:pBdr>
      <w:spacing w:lineRule="auto" w:line="240" w:before="280" w:after="280"/>
      <w:ind w:left="0" w:right="0" w:hanging="0"/>
      <w:jc w:val="right"/>
      <w:textAlignment w:val="top"/>
    </w:pPr>
    <w:rPr>
      <w:rFonts w:eastAsia="Times New Roman" w:cs="Times New Roman"/>
      <w:lang w:eastAsia="ru-RU"/>
    </w:rPr>
  </w:style>
  <w:style w:type="paragraph" w:styleId="Xl121">
    <w:name w:val="xl121"/>
    <w:basedOn w:val="Normal"/>
    <w:qFormat/>
    <w:pPr>
      <w:pBdr>
        <w:top w:val="single" w:sz="4" w:space="0" w:color="000000"/>
        <w:left w:val="double" w:sz="6" w:space="0" w:color="000000"/>
        <w:right w:val="single" w:sz="4" w:space="0" w:color="000000"/>
      </w:pBdr>
      <w:spacing w:lineRule="auto" w:line="240" w:before="280" w:after="280"/>
      <w:ind w:left="0" w:right="0" w:hanging="0"/>
      <w:jc w:val="right"/>
      <w:textAlignment w:val="top"/>
    </w:pPr>
    <w:rPr>
      <w:rFonts w:eastAsia="Times New Roman" w:cs="Times New Roman"/>
      <w:lang w:eastAsia="ru-RU"/>
    </w:rPr>
  </w:style>
  <w:style w:type="paragraph" w:styleId="Xl122">
    <w:name w:val="xl122"/>
    <w:basedOn w:val="Normal"/>
    <w:qFormat/>
    <w:pPr>
      <w:pBdr>
        <w:top w:val="single" w:sz="4" w:space="0" w:color="000000"/>
        <w:left w:val="single" w:sz="4" w:space="0" w:color="000000"/>
        <w:right w:val="single" w:sz="4" w:space="0" w:color="000000"/>
      </w:pBdr>
      <w:spacing w:lineRule="auto" w:line="240" w:before="280" w:after="280"/>
      <w:ind w:left="0" w:right="0" w:hanging="0"/>
      <w:jc w:val="right"/>
      <w:textAlignment w:val="top"/>
    </w:pPr>
    <w:rPr>
      <w:rFonts w:eastAsia="Times New Roman" w:cs="Times New Roman"/>
      <w:lang w:eastAsia="ru-RU"/>
    </w:rPr>
  </w:style>
  <w:style w:type="paragraph" w:styleId="Xl123">
    <w:name w:val="xl123"/>
    <w:basedOn w:val="Normal"/>
    <w:qFormat/>
    <w:pPr>
      <w:pBdr>
        <w:top w:val="single" w:sz="4" w:space="0" w:color="000000"/>
        <w:left w:val="single" w:sz="4" w:space="0" w:color="000000"/>
        <w:right w:val="single" w:sz="4" w:space="0" w:color="000000"/>
      </w:pBdr>
      <w:spacing w:lineRule="auto" w:line="240" w:before="280" w:after="280"/>
      <w:ind w:left="0" w:right="0" w:hanging="0"/>
      <w:jc w:val="left"/>
      <w:textAlignment w:val="top"/>
    </w:pPr>
    <w:rPr>
      <w:rFonts w:eastAsia="Times New Roman" w:cs="Times New Roman"/>
      <w:lang w:eastAsia="ru-RU"/>
    </w:rPr>
  </w:style>
  <w:style w:type="paragraph" w:styleId="Xl124">
    <w:name w:val="xl124"/>
    <w:basedOn w:val="Normal"/>
    <w:qFormat/>
    <w:pPr>
      <w:pBdr>
        <w:top w:val="single" w:sz="4" w:space="0" w:color="000000"/>
        <w:left w:val="single" w:sz="4" w:space="0" w:color="000000"/>
        <w:right w:val="single" w:sz="4" w:space="0" w:color="000000"/>
      </w:pBdr>
      <w:spacing w:lineRule="auto" w:line="240" w:before="280" w:after="280"/>
      <w:ind w:left="0" w:right="0" w:hanging="0"/>
      <w:jc w:val="right"/>
      <w:textAlignment w:val="top"/>
    </w:pPr>
    <w:rPr>
      <w:rFonts w:eastAsia="Times New Roman" w:cs="Times New Roman"/>
      <w:lang w:eastAsia="ru-RU"/>
    </w:rPr>
  </w:style>
  <w:style w:type="paragraph" w:styleId="Xl125">
    <w:name w:val="xl125"/>
    <w:basedOn w:val="Normal"/>
    <w:qFormat/>
    <w:pPr>
      <w:pBdr>
        <w:top w:val="single" w:sz="4" w:space="0" w:color="000000"/>
        <w:left w:val="single" w:sz="4" w:space="0" w:color="000000"/>
        <w:right w:val="single" w:sz="4" w:space="0" w:color="000000"/>
      </w:pBdr>
      <w:spacing w:lineRule="auto" w:line="240" w:before="280" w:after="280"/>
      <w:ind w:left="0" w:right="0" w:hanging="0"/>
      <w:jc w:val="right"/>
      <w:textAlignment w:val="top"/>
    </w:pPr>
    <w:rPr>
      <w:rFonts w:eastAsia="Times New Roman" w:cs="Times New Roman"/>
      <w:lang w:eastAsia="ru-RU"/>
    </w:rPr>
  </w:style>
  <w:style w:type="paragraph" w:styleId="Xl126">
    <w:name w:val="xl126"/>
    <w:basedOn w:val="Normal"/>
    <w:qFormat/>
    <w:pPr>
      <w:pBdr>
        <w:top w:val="single" w:sz="4" w:space="0" w:color="000000"/>
        <w:left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27">
    <w:name w:val="xl127"/>
    <w:basedOn w:val="Normal"/>
    <w:qFormat/>
    <w:pPr>
      <w:pBdr>
        <w:top w:val="single" w:sz="4" w:space="0" w:color="000000"/>
        <w:left w:val="single" w:sz="4" w:space="0" w:color="000000"/>
        <w:right w:val="single" w:sz="4" w:space="0" w:color="000000"/>
      </w:pBdr>
      <w:spacing w:lineRule="auto" w:line="240" w:before="280" w:after="280"/>
      <w:ind w:left="0" w:right="0" w:hanging="0"/>
      <w:jc w:val="center"/>
      <w:textAlignment w:val="top"/>
    </w:pPr>
    <w:rPr>
      <w:rFonts w:eastAsia="Times New Roman" w:cs="Times New Roman"/>
      <w:b/>
      <w:bCs/>
      <w:lang w:eastAsia="ru-RU"/>
    </w:rPr>
  </w:style>
  <w:style w:type="paragraph" w:styleId="Xl128">
    <w:name w:val="xl128"/>
    <w:basedOn w:val="Normal"/>
    <w:qFormat/>
    <w:pPr>
      <w:pBdr>
        <w:top w:val="single" w:sz="4" w:space="0" w:color="000000"/>
        <w:left w:val="single" w:sz="4" w:space="0" w:color="000000"/>
        <w:right w:val="double" w:sz="6" w:space="0" w:color="000000"/>
      </w:pBdr>
      <w:spacing w:lineRule="auto" w:line="240" w:before="280" w:after="280"/>
      <w:ind w:left="0" w:right="0" w:hanging="0"/>
      <w:jc w:val="center"/>
      <w:textAlignment w:val="top"/>
    </w:pPr>
    <w:rPr>
      <w:rFonts w:eastAsia="Times New Roman" w:cs="Times New Roman"/>
      <w:lang w:eastAsia="ru-RU"/>
    </w:rPr>
  </w:style>
  <w:style w:type="paragraph" w:styleId="Xl129">
    <w:name w:val="xl129"/>
    <w:basedOn w:val="Normal"/>
    <w:qFormat/>
    <w:pPr>
      <w:pBdr>
        <w:top w:val="single" w:sz="12" w:space="0" w:color="000000"/>
        <w:left w:val="double" w:sz="6" w:space="0" w:color="000000"/>
        <w:right w:val="single" w:sz="4" w:space="0" w:color="000000"/>
      </w:pBdr>
      <w:spacing w:lineRule="auto" w:line="240" w:before="280" w:after="280"/>
      <w:ind w:left="0" w:right="0" w:hanging="0"/>
      <w:jc w:val="right"/>
      <w:textAlignment w:val="top"/>
    </w:pPr>
    <w:rPr>
      <w:rFonts w:eastAsia="Times New Roman" w:cs="Times New Roman"/>
      <w:lang w:eastAsia="ru-RU"/>
    </w:rPr>
  </w:style>
  <w:style w:type="paragraph" w:styleId="Xl130">
    <w:name w:val="xl130"/>
    <w:basedOn w:val="Normal"/>
    <w:qFormat/>
    <w:pPr>
      <w:pBdr>
        <w:top w:val="single" w:sz="12" w:space="0" w:color="000000"/>
        <w:left w:val="single" w:sz="4" w:space="0" w:color="000000"/>
        <w:right w:val="single" w:sz="4" w:space="0" w:color="000000"/>
      </w:pBdr>
      <w:spacing w:lineRule="auto" w:line="240" w:before="280" w:after="280"/>
      <w:ind w:left="0" w:right="0" w:hanging="0"/>
      <w:jc w:val="right"/>
      <w:textAlignment w:val="top"/>
    </w:pPr>
    <w:rPr>
      <w:rFonts w:eastAsia="Times New Roman" w:cs="Times New Roman"/>
      <w:lang w:eastAsia="ru-RU"/>
    </w:rPr>
  </w:style>
  <w:style w:type="paragraph" w:styleId="Xl131">
    <w:name w:val="xl131"/>
    <w:basedOn w:val="Normal"/>
    <w:qFormat/>
    <w:pPr>
      <w:pBdr>
        <w:top w:val="single" w:sz="12" w:space="0" w:color="000000"/>
        <w:left w:val="single" w:sz="4" w:space="0" w:color="000000"/>
        <w:right w:val="single" w:sz="4" w:space="0" w:color="000000"/>
      </w:pBdr>
      <w:spacing w:lineRule="auto" w:line="240" w:before="280" w:after="280"/>
      <w:ind w:left="0" w:right="0" w:hanging="0"/>
      <w:jc w:val="left"/>
      <w:textAlignment w:val="top"/>
    </w:pPr>
    <w:rPr>
      <w:rFonts w:eastAsia="Times New Roman" w:cs="Times New Roman"/>
      <w:lang w:eastAsia="ru-RU"/>
    </w:rPr>
  </w:style>
  <w:style w:type="paragraph" w:styleId="Xl132">
    <w:name w:val="xl132"/>
    <w:basedOn w:val="Normal"/>
    <w:qFormat/>
    <w:pPr>
      <w:pBdr>
        <w:top w:val="single" w:sz="12" w:space="0" w:color="000000"/>
        <w:left w:val="single" w:sz="4" w:space="0" w:color="000000"/>
        <w:right w:val="single" w:sz="4" w:space="0" w:color="000000"/>
      </w:pBdr>
      <w:spacing w:lineRule="auto" w:line="240" w:before="280" w:after="280"/>
      <w:ind w:left="0" w:right="0" w:hanging="0"/>
      <w:jc w:val="right"/>
      <w:textAlignment w:val="top"/>
    </w:pPr>
    <w:rPr>
      <w:rFonts w:eastAsia="Times New Roman" w:cs="Times New Roman"/>
      <w:lang w:eastAsia="ru-RU"/>
    </w:rPr>
  </w:style>
  <w:style w:type="paragraph" w:styleId="Xl133">
    <w:name w:val="xl133"/>
    <w:basedOn w:val="Normal"/>
    <w:qFormat/>
    <w:pPr>
      <w:pBdr>
        <w:top w:val="single" w:sz="12" w:space="0" w:color="000000"/>
        <w:left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34">
    <w:name w:val="xl134"/>
    <w:basedOn w:val="Normal"/>
    <w:qFormat/>
    <w:pPr>
      <w:pBdr>
        <w:top w:val="single" w:sz="12" w:space="0" w:color="000000"/>
        <w:left w:val="single" w:sz="4" w:space="0" w:color="000000"/>
        <w:right w:val="single" w:sz="4" w:space="0" w:color="000000"/>
      </w:pBdr>
      <w:spacing w:lineRule="auto" w:line="240" w:before="280" w:after="280"/>
      <w:ind w:left="0" w:right="0" w:hanging="0"/>
      <w:jc w:val="center"/>
      <w:textAlignment w:val="top"/>
    </w:pPr>
    <w:rPr>
      <w:rFonts w:eastAsia="Times New Roman" w:cs="Times New Roman"/>
      <w:b/>
      <w:bCs/>
      <w:lang w:eastAsia="ru-RU"/>
    </w:rPr>
  </w:style>
  <w:style w:type="paragraph" w:styleId="Xl135">
    <w:name w:val="xl135"/>
    <w:basedOn w:val="Normal"/>
    <w:qFormat/>
    <w:pPr>
      <w:pBdr>
        <w:top w:val="single" w:sz="12" w:space="0" w:color="000000"/>
        <w:left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36">
    <w:name w:val="xl136"/>
    <w:basedOn w:val="Normal"/>
    <w:qFormat/>
    <w:pPr>
      <w:pBdr>
        <w:top w:val="single" w:sz="12" w:space="0" w:color="000000"/>
        <w:left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37">
    <w:name w:val="xl137"/>
    <w:basedOn w:val="Normal"/>
    <w:qFormat/>
    <w:pPr>
      <w:pBdr>
        <w:top w:val="single" w:sz="12" w:space="0" w:color="000000"/>
        <w:left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38">
    <w:name w:val="xl138"/>
    <w:basedOn w:val="Normal"/>
    <w:qFormat/>
    <w:pPr>
      <w:pBdr>
        <w:top w:val="single" w:sz="12" w:space="0" w:color="000000"/>
        <w:left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39">
    <w:name w:val="xl139"/>
    <w:basedOn w:val="Normal"/>
    <w:qFormat/>
    <w:pPr>
      <w:pBdr>
        <w:top w:val="single" w:sz="12" w:space="0" w:color="000000"/>
        <w:left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40">
    <w:name w:val="xl140"/>
    <w:basedOn w:val="Normal"/>
    <w:qFormat/>
    <w:pPr>
      <w:pBdr>
        <w:top w:val="single" w:sz="12" w:space="0" w:color="000000"/>
        <w:left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41">
    <w:name w:val="xl141"/>
    <w:basedOn w:val="Normal"/>
    <w:qFormat/>
    <w:pPr>
      <w:pBdr>
        <w:top w:val="single" w:sz="12" w:space="0" w:color="000000"/>
        <w:left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42">
    <w:name w:val="xl142"/>
    <w:basedOn w:val="Normal"/>
    <w:qFormat/>
    <w:pPr>
      <w:pBdr>
        <w:top w:val="single" w:sz="12" w:space="0" w:color="000000"/>
        <w:left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43">
    <w:name w:val="xl143"/>
    <w:basedOn w:val="Normal"/>
    <w:qFormat/>
    <w:pPr>
      <w:pBdr>
        <w:top w:val="single" w:sz="12" w:space="0" w:color="000000"/>
        <w:left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44">
    <w:name w:val="xl144"/>
    <w:basedOn w:val="Normal"/>
    <w:qFormat/>
    <w:pPr>
      <w:pBdr>
        <w:top w:val="single" w:sz="12" w:space="0" w:color="000000"/>
        <w:left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45">
    <w:name w:val="xl145"/>
    <w:basedOn w:val="Normal"/>
    <w:qFormat/>
    <w:pPr>
      <w:pBdr>
        <w:top w:val="double" w:sz="6" w:space="0" w:color="000000"/>
        <w:left w:val="single" w:sz="4" w:space="0" w:color="000000"/>
        <w:right w:val="double" w:sz="6" w:space="0" w:color="000000"/>
      </w:pBdr>
      <w:spacing w:lineRule="auto" w:line="240" w:before="280" w:after="280"/>
      <w:ind w:left="0" w:right="0" w:hanging="0"/>
      <w:jc w:val="center"/>
      <w:textAlignment w:val="top"/>
    </w:pPr>
    <w:rPr>
      <w:rFonts w:eastAsia="Times New Roman" w:cs="Times New Roman"/>
      <w:lang w:eastAsia="ru-RU"/>
    </w:rPr>
  </w:style>
  <w:style w:type="paragraph" w:styleId="Xl146">
    <w:name w:val="xl146"/>
    <w:basedOn w:val="Normal"/>
    <w:qFormat/>
    <w:pPr>
      <w:pBdr>
        <w:top w:val="double" w:sz="6" w:space="0" w:color="000000"/>
        <w:left w:val="single" w:sz="4" w:space="0" w:color="000000"/>
        <w:bottom w:val="single" w:sz="4" w:space="0" w:color="000000"/>
        <w:right w:val="single" w:sz="4" w:space="0" w:color="000000"/>
      </w:pBdr>
      <w:spacing w:lineRule="auto" w:line="240" w:before="280" w:after="280"/>
      <w:ind w:left="0" w:right="0" w:hanging="0"/>
      <w:jc w:val="right"/>
      <w:textAlignment w:val="top"/>
    </w:pPr>
    <w:rPr>
      <w:rFonts w:eastAsia="Times New Roman" w:cs="Times New Roman"/>
      <w:lang w:eastAsia="ru-RU"/>
    </w:rPr>
  </w:style>
  <w:style w:type="paragraph" w:styleId="Xl147">
    <w:name w:val="xl147"/>
    <w:basedOn w:val="Normal"/>
    <w:qFormat/>
    <w:pPr>
      <w:pBdr>
        <w:top w:val="single" w:sz="4" w:space="0" w:color="000000"/>
        <w:left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48">
    <w:name w:val="xl148"/>
    <w:basedOn w:val="Normal"/>
    <w:qFormat/>
    <w:pPr>
      <w:pBdr>
        <w:top w:val="single" w:sz="4" w:space="0" w:color="000000"/>
        <w:left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49">
    <w:name w:val="xl149"/>
    <w:basedOn w:val="Normal"/>
    <w:qFormat/>
    <w:pPr>
      <w:pBdr>
        <w:top w:val="single" w:sz="4" w:space="0" w:color="000000"/>
        <w:left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50">
    <w:name w:val="xl150"/>
    <w:basedOn w:val="Normal"/>
    <w:qFormat/>
    <w:pPr>
      <w:pBdr>
        <w:top w:val="single" w:sz="12" w:space="0" w:color="000000"/>
        <w:left w:val="single" w:sz="4" w:space="0" w:color="000000"/>
        <w:bottom w:val="single" w:sz="4" w:space="0" w:color="000000"/>
        <w:right w:val="single" w:sz="4" w:space="0" w:color="000000"/>
      </w:pBdr>
      <w:spacing w:lineRule="auto" w:line="240" w:before="280" w:after="280"/>
      <w:ind w:left="0" w:right="0" w:hanging="0"/>
      <w:jc w:val="right"/>
      <w:textAlignment w:val="top"/>
    </w:pPr>
    <w:rPr>
      <w:rFonts w:eastAsia="Times New Roman" w:cs="Times New Roman"/>
      <w:lang w:eastAsia="ru-RU"/>
    </w:rPr>
  </w:style>
  <w:style w:type="paragraph" w:styleId="Xl151">
    <w:name w:val="xl151"/>
    <w:basedOn w:val="Normal"/>
    <w:qFormat/>
    <w:pPr>
      <w:pBdr>
        <w:top w:val="single" w:sz="4" w:space="0" w:color="000000"/>
        <w:left w:val="double" w:sz="6" w:space="0" w:color="000000"/>
        <w:bottom w:val="single" w:sz="4" w:space="0" w:color="000000"/>
        <w:right w:val="single" w:sz="4" w:space="0" w:color="000000"/>
      </w:pBdr>
      <w:spacing w:lineRule="auto" w:line="240" w:before="280" w:after="280"/>
      <w:ind w:left="0" w:right="0" w:hanging="0"/>
      <w:jc w:val="right"/>
      <w:textAlignment w:val="top"/>
    </w:pPr>
    <w:rPr>
      <w:rFonts w:eastAsia="Times New Roman" w:cs="Times New Roman"/>
      <w:lang w:eastAsia="ru-RU"/>
    </w:rPr>
  </w:style>
  <w:style w:type="paragraph" w:styleId="Xl152">
    <w:name w:val="xl152"/>
    <w:basedOn w:val="Normal"/>
    <w:qFormat/>
    <w:pPr>
      <w:pBdr>
        <w:top w:val="single" w:sz="4" w:space="0" w:color="000000"/>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53">
    <w:name w:val="xl153"/>
    <w:basedOn w:val="Normal"/>
    <w:qFormat/>
    <w:pPr>
      <w:pBdr>
        <w:top w:val="single" w:sz="4" w:space="0" w:color="000000"/>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b/>
      <w:bCs/>
      <w:lang w:eastAsia="ru-RU"/>
    </w:rPr>
  </w:style>
  <w:style w:type="paragraph" w:styleId="Xl154">
    <w:name w:val="xl154"/>
    <w:basedOn w:val="Normal"/>
    <w:qFormat/>
    <w:pPr>
      <w:pBdr>
        <w:top w:val="single" w:sz="4" w:space="0" w:color="000000"/>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55">
    <w:name w:val="xl155"/>
    <w:basedOn w:val="Normal"/>
    <w:qFormat/>
    <w:pPr>
      <w:pBdr>
        <w:top w:val="single" w:sz="4" w:space="0" w:color="000000"/>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56">
    <w:name w:val="xl156"/>
    <w:basedOn w:val="Normal"/>
    <w:qFormat/>
    <w:pPr>
      <w:pBdr>
        <w:top w:val="single" w:sz="4" w:space="0" w:color="000000"/>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57">
    <w:name w:val="xl157"/>
    <w:basedOn w:val="Normal"/>
    <w:qFormat/>
    <w:pPr>
      <w:pBdr>
        <w:top w:val="single" w:sz="4" w:space="0" w:color="000000"/>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58">
    <w:name w:val="xl158"/>
    <w:basedOn w:val="Normal"/>
    <w:qFormat/>
    <w:pPr>
      <w:pBdr>
        <w:top w:val="single" w:sz="12" w:space="0" w:color="000000"/>
        <w:left w:val="single" w:sz="4" w:space="0" w:color="000000"/>
        <w:bottom w:val="single" w:sz="4" w:space="0" w:color="000000"/>
        <w:right w:val="single" w:sz="4" w:space="0" w:color="000000"/>
      </w:pBdr>
      <w:spacing w:lineRule="auto" w:line="240" w:before="280" w:after="280"/>
      <w:ind w:left="0" w:right="0" w:hanging="0"/>
      <w:jc w:val="right"/>
      <w:textAlignment w:val="top"/>
    </w:pPr>
    <w:rPr>
      <w:rFonts w:eastAsia="Times New Roman" w:cs="Times New Roman"/>
      <w:lang w:eastAsia="ru-RU"/>
    </w:rPr>
  </w:style>
  <w:style w:type="paragraph" w:styleId="Xl159">
    <w:name w:val="xl159"/>
    <w:basedOn w:val="Normal"/>
    <w:qFormat/>
    <w:pPr>
      <w:pBdr>
        <w:top w:val="single" w:sz="4" w:space="0" w:color="000000"/>
        <w:left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60">
    <w:name w:val="xl160"/>
    <w:basedOn w:val="Normal"/>
    <w:qFormat/>
    <w:pPr>
      <w:pBdr>
        <w:left w:val="double" w:sz="6" w:space="0" w:color="000000"/>
        <w:bottom w:val="single" w:sz="4" w:space="0" w:color="000000"/>
        <w:right w:val="single" w:sz="4" w:space="0" w:color="000000"/>
      </w:pBdr>
      <w:spacing w:lineRule="auto" w:line="240" w:before="280" w:after="280"/>
      <w:ind w:left="0" w:right="0" w:hanging="0"/>
      <w:jc w:val="right"/>
      <w:textAlignment w:val="top"/>
    </w:pPr>
    <w:rPr>
      <w:rFonts w:eastAsia="Times New Roman" w:cs="Times New Roman"/>
      <w:lang w:eastAsia="ru-RU"/>
    </w:rPr>
  </w:style>
  <w:style w:type="paragraph" w:styleId="Xl161">
    <w:name w:val="xl161"/>
    <w:basedOn w:val="Normal"/>
    <w:qFormat/>
    <w:pPr>
      <w:pBdr>
        <w:left w:val="single" w:sz="4" w:space="0" w:color="000000"/>
        <w:bottom w:val="single" w:sz="4" w:space="0" w:color="000000"/>
        <w:right w:val="single" w:sz="4" w:space="0" w:color="000000"/>
      </w:pBdr>
      <w:spacing w:lineRule="auto" w:line="240" w:before="280" w:after="280"/>
      <w:ind w:left="0" w:right="0" w:hanging="0"/>
      <w:jc w:val="right"/>
      <w:textAlignment w:val="top"/>
    </w:pPr>
    <w:rPr>
      <w:rFonts w:eastAsia="Times New Roman" w:cs="Times New Roman"/>
      <w:lang w:eastAsia="ru-RU"/>
    </w:rPr>
  </w:style>
  <w:style w:type="paragraph" w:styleId="Xl162">
    <w:name w:val="xl162"/>
    <w:basedOn w:val="Normal"/>
    <w:qFormat/>
    <w:pPr>
      <w:pBdr>
        <w:left w:val="single" w:sz="4" w:space="0" w:color="000000"/>
        <w:bottom w:val="single" w:sz="4" w:space="0" w:color="000000"/>
        <w:right w:val="single" w:sz="4" w:space="0" w:color="000000"/>
      </w:pBdr>
      <w:spacing w:lineRule="auto" w:line="240" w:before="280" w:after="280"/>
      <w:ind w:left="0" w:right="0" w:hanging="0"/>
      <w:jc w:val="left"/>
      <w:textAlignment w:val="top"/>
    </w:pPr>
    <w:rPr>
      <w:rFonts w:eastAsia="Times New Roman" w:cs="Times New Roman"/>
      <w:lang w:eastAsia="ru-RU"/>
    </w:rPr>
  </w:style>
  <w:style w:type="paragraph" w:styleId="Xl163">
    <w:name w:val="xl163"/>
    <w:basedOn w:val="Normal"/>
    <w:qFormat/>
    <w:pPr>
      <w:pBdr>
        <w:left w:val="single" w:sz="4" w:space="0" w:color="000000"/>
        <w:bottom w:val="single" w:sz="4" w:space="0" w:color="000000"/>
        <w:right w:val="single" w:sz="4" w:space="0" w:color="000000"/>
      </w:pBdr>
      <w:spacing w:lineRule="auto" w:line="240" w:before="280" w:after="280"/>
      <w:ind w:left="0" w:right="0" w:hanging="0"/>
      <w:jc w:val="right"/>
      <w:textAlignment w:val="top"/>
    </w:pPr>
    <w:rPr>
      <w:rFonts w:eastAsia="Times New Roman" w:cs="Times New Roman"/>
      <w:lang w:eastAsia="ru-RU"/>
    </w:rPr>
  </w:style>
  <w:style w:type="paragraph" w:styleId="Xl164">
    <w:name w:val="xl164"/>
    <w:basedOn w:val="Normal"/>
    <w:qFormat/>
    <w:pPr>
      <w:pBdr>
        <w:left w:val="single" w:sz="4" w:space="0" w:color="000000"/>
        <w:bottom w:val="single" w:sz="4" w:space="0" w:color="000000"/>
        <w:right w:val="single" w:sz="4" w:space="0" w:color="000000"/>
      </w:pBdr>
      <w:spacing w:lineRule="auto" w:line="240" w:before="280" w:after="280"/>
      <w:ind w:left="0" w:right="0" w:hanging="0"/>
      <w:jc w:val="right"/>
      <w:textAlignment w:val="top"/>
    </w:pPr>
    <w:rPr>
      <w:rFonts w:eastAsia="Times New Roman" w:cs="Times New Roman"/>
      <w:lang w:eastAsia="ru-RU"/>
    </w:rPr>
  </w:style>
  <w:style w:type="paragraph" w:styleId="Xl165">
    <w:name w:val="xl165"/>
    <w:basedOn w:val="Normal"/>
    <w:qFormat/>
    <w:pPr>
      <w:pBdr>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66">
    <w:name w:val="xl166"/>
    <w:basedOn w:val="Normal"/>
    <w:qFormat/>
    <w:pPr>
      <w:pBdr>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b/>
      <w:bCs/>
      <w:lang w:eastAsia="ru-RU"/>
    </w:rPr>
  </w:style>
  <w:style w:type="paragraph" w:styleId="Xl167">
    <w:name w:val="xl167"/>
    <w:basedOn w:val="Normal"/>
    <w:qFormat/>
    <w:pPr>
      <w:pBdr>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68">
    <w:name w:val="xl168"/>
    <w:basedOn w:val="Normal"/>
    <w:qFormat/>
    <w:pPr>
      <w:pBdr>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69">
    <w:name w:val="xl169"/>
    <w:basedOn w:val="Normal"/>
    <w:qFormat/>
    <w:pPr>
      <w:pBdr>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70">
    <w:name w:val="xl170"/>
    <w:basedOn w:val="Normal"/>
    <w:qFormat/>
    <w:pPr>
      <w:pBdr>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71">
    <w:name w:val="xl171"/>
    <w:basedOn w:val="Normal"/>
    <w:qFormat/>
    <w:pPr>
      <w:pBdr>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72">
    <w:name w:val="xl172"/>
    <w:basedOn w:val="Normal"/>
    <w:qFormat/>
    <w:pPr>
      <w:pBdr>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73">
    <w:name w:val="xl173"/>
    <w:basedOn w:val="Normal"/>
    <w:qFormat/>
    <w:pPr>
      <w:pBdr>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74">
    <w:name w:val="xl174"/>
    <w:basedOn w:val="Normal"/>
    <w:qFormat/>
    <w:pPr>
      <w:pBdr>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75">
    <w:name w:val="xl175"/>
    <w:basedOn w:val="Normal"/>
    <w:qFormat/>
    <w:pPr>
      <w:pBdr>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76">
    <w:name w:val="xl176"/>
    <w:basedOn w:val="Normal"/>
    <w:qFormat/>
    <w:pPr>
      <w:pBdr>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77">
    <w:name w:val="xl177"/>
    <w:basedOn w:val="Normal"/>
    <w:qFormat/>
    <w:pPr>
      <w:pBdr>
        <w:top w:val="single" w:sz="4" w:space="0" w:color="000000"/>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sz w:val="16"/>
      <w:szCs w:val="16"/>
      <w:lang w:eastAsia="ru-RU"/>
    </w:rPr>
  </w:style>
  <w:style w:type="paragraph" w:styleId="Xl178">
    <w:name w:val="xl178"/>
    <w:basedOn w:val="Normal"/>
    <w:qFormat/>
    <w:pPr>
      <w:pBdr>
        <w:top w:val="single" w:sz="12" w:space="0" w:color="000000"/>
        <w:left w:val="single" w:sz="4" w:space="0" w:color="000000"/>
        <w:bottom w:val="double" w:sz="6" w:space="0" w:color="000000"/>
        <w:right w:val="single" w:sz="4" w:space="0" w:color="000000"/>
      </w:pBdr>
      <w:spacing w:lineRule="auto" w:line="240" w:before="280" w:after="280"/>
      <w:ind w:left="0" w:right="0" w:hanging="0"/>
      <w:jc w:val="left"/>
      <w:textAlignment w:val="top"/>
    </w:pPr>
    <w:rPr>
      <w:rFonts w:eastAsia="Times New Roman" w:cs="Times New Roman"/>
      <w:lang w:eastAsia="ru-RU"/>
    </w:rPr>
  </w:style>
  <w:style w:type="paragraph" w:styleId="Xl179">
    <w:name w:val="xl179"/>
    <w:basedOn w:val="Normal"/>
    <w:qFormat/>
    <w:pPr>
      <w:pBdr>
        <w:top w:val="double" w:sz="6" w:space="0" w:color="000000"/>
        <w:left w:val="double" w:sz="6" w:space="0" w:color="000000"/>
        <w:bottom w:val="double" w:sz="6" w:space="0" w:color="000000"/>
        <w:right w:val="single" w:sz="4" w:space="0" w:color="000000"/>
      </w:pBdr>
      <w:spacing w:lineRule="auto" w:line="240" w:before="280" w:after="280"/>
      <w:ind w:left="0" w:right="0" w:hanging="0"/>
      <w:jc w:val="right"/>
      <w:textAlignment w:val="top"/>
    </w:pPr>
    <w:rPr>
      <w:rFonts w:eastAsia="Times New Roman" w:cs="Times New Roman"/>
      <w:lang w:eastAsia="ru-RU"/>
    </w:rPr>
  </w:style>
  <w:style w:type="paragraph" w:styleId="Xl180">
    <w:name w:val="xl180"/>
    <w:basedOn w:val="Normal"/>
    <w:qFormat/>
    <w:pPr>
      <w:pBdr>
        <w:top w:val="double" w:sz="6" w:space="0" w:color="000000"/>
        <w:left w:val="single" w:sz="4" w:space="0" w:color="000000"/>
        <w:bottom w:val="double" w:sz="6" w:space="0" w:color="000000"/>
        <w:right w:val="single" w:sz="4" w:space="0" w:color="000000"/>
      </w:pBdr>
      <w:spacing w:lineRule="auto" w:line="240" w:before="280" w:after="280"/>
      <w:ind w:left="0" w:right="0" w:hanging="0"/>
      <w:jc w:val="right"/>
      <w:textAlignment w:val="top"/>
    </w:pPr>
    <w:rPr>
      <w:rFonts w:eastAsia="Times New Roman" w:cs="Times New Roman"/>
      <w:lang w:eastAsia="ru-RU"/>
    </w:rPr>
  </w:style>
  <w:style w:type="paragraph" w:styleId="Xl181">
    <w:name w:val="xl181"/>
    <w:basedOn w:val="Normal"/>
    <w:qFormat/>
    <w:pPr>
      <w:pBdr>
        <w:top w:val="double" w:sz="6" w:space="0" w:color="000000"/>
        <w:left w:val="single" w:sz="4" w:space="0" w:color="000000"/>
        <w:bottom w:val="double" w:sz="6" w:space="0" w:color="000000"/>
        <w:right w:val="single" w:sz="4" w:space="0" w:color="000000"/>
      </w:pBdr>
      <w:spacing w:lineRule="auto" w:line="240" w:before="280" w:after="280"/>
      <w:ind w:left="0" w:right="0" w:hanging="0"/>
      <w:jc w:val="left"/>
      <w:textAlignment w:val="top"/>
    </w:pPr>
    <w:rPr>
      <w:rFonts w:eastAsia="Times New Roman" w:cs="Times New Roman"/>
      <w:lang w:eastAsia="ru-RU"/>
    </w:rPr>
  </w:style>
  <w:style w:type="paragraph" w:styleId="Xl182">
    <w:name w:val="xl182"/>
    <w:basedOn w:val="Normal"/>
    <w:qFormat/>
    <w:pPr>
      <w:pBdr>
        <w:top w:val="double" w:sz="6" w:space="0" w:color="000000"/>
        <w:left w:val="single" w:sz="4" w:space="0" w:color="000000"/>
        <w:bottom w:val="double" w:sz="6" w:space="0" w:color="000000"/>
        <w:right w:val="single" w:sz="4" w:space="0" w:color="000000"/>
      </w:pBdr>
      <w:spacing w:lineRule="auto" w:line="240" w:before="280" w:after="280"/>
      <w:ind w:left="0" w:right="0" w:hanging="0"/>
      <w:jc w:val="right"/>
      <w:textAlignment w:val="top"/>
    </w:pPr>
    <w:rPr>
      <w:rFonts w:eastAsia="Times New Roman" w:cs="Times New Roman"/>
      <w:lang w:eastAsia="ru-RU"/>
    </w:rPr>
  </w:style>
  <w:style w:type="paragraph" w:styleId="Xl183">
    <w:name w:val="xl183"/>
    <w:basedOn w:val="Normal"/>
    <w:qFormat/>
    <w:pPr>
      <w:pBdr>
        <w:top w:val="double" w:sz="6" w:space="0" w:color="000000"/>
        <w:left w:val="single" w:sz="4" w:space="0" w:color="000000"/>
        <w:bottom w:val="double" w:sz="6" w:space="0" w:color="000000"/>
        <w:right w:val="single" w:sz="4" w:space="0" w:color="000000"/>
      </w:pBdr>
      <w:spacing w:lineRule="auto" w:line="240" w:before="280" w:after="280"/>
      <w:ind w:left="0" w:right="0" w:hanging="0"/>
      <w:jc w:val="right"/>
      <w:textAlignment w:val="top"/>
    </w:pPr>
    <w:rPr>
      <w:rFonts w:eastAsia="Times New Roman" w:cs="Times New Roman"/>
      <w:lang w:eastAsia="ru-RU"/>
    </w:rPr>
  </w:style>
  <w:style w:type="paragraph" w:styleId="Xl184">
    <w:name w:val="xl184"/>
    <w:basedOn w:val="Normal"/>
    <w:qFormat/>
    <w:pPr>
      <w:pBdr>
        <w:top w:val="double" w:sz="6" w:space="0" w:color="000000"/>
        <w:left w:val="single" w:sz="4" w:space="0" w:color="000000"/>
        <w:bottom w:val="double" w:sz="6"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85">
    <w:name w:val="xl185"/>
    <w:basedOn w:val="Normal"/>
    <w:qFormat/>
    <w:pPr>
      <w:pBdr>
        <w:top w:val="double" w:sz="6" w:space="0" w:color="000000"/>
        <w:left w:val="single" w:sz="4" w:space="0" w:color="000000"/>
        <w:bottom w:val="double" w:sz="6" w:space="0" w:color="000000"/>
        <w:right w:val="single" w:sz="4" w:space="0" w:color="000000"/>
      </w:pBdr>
      <w:spacing w:lineRule="auto" w:line="240" w:before="280" w:after="280"/>
      <w:ind w:left="0" w:right="0" w:hanging="0"/>
      <w:jc w:val="center"/>
      <w:textAlignment w:val="top"/>
    </w:pPr>
    <w:rPr>
      <w:rFonts w:eastAsia="Times New Roman" w:cs="Times New Roman"/>
      <w:b/>
      <w:bCs/>
      <w:lang w:eastAsia="ru-RU"/>
    </w:rPr>
  </w:style>
  <w:style w:type="paragraph" w:styleId="Xl186">
    <w:name w:val="xl186"/>
    <w:basedOn w:val="Normal"/>
    <w:qFormat/>
    <w:pPr>
      <w:pBdr>
        <w:top w:val="double" w:sz="6" w:space="0" w:color="000000"/>
        <w:left w:val="single" w:sz="4" w:space="0" w:color="000000"/>
        <w:bottom w:val="double" w:sz="6"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87">
    <w:name w:val="xl187"/>
    <w:basedOn w:val="Normal"/>
    <w:qFormat/>
    <w:pPr>
      <w:pBdr>
        <w:top w:val="double" w:sz="6" w:space="0" w:color="000000"/>
        <w:left w:val="single" w:sz="4" w:space="0" w:color="000000"/>
        <w:bottom w:val="double" w:sz="6"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88">
    <w:name w:val="xl188"/>
    <w:basedOn w:val="Normal"/>
    <w:qFormat/>
    <w:pPr>
      <w:pBdr>
        <w:top w:val="double" w:sz="6" w:space="0" w:color="000000"/>
        <w:left w:val="single" w:sz="4" w:space="0" w:color="000000"/>
        <w:bottom w:val="double" w:sz="6"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89">
    <w:name w:val="xl189"/>
    <w:basedOn w:val="Normal"/>
    <w:qFormat/>
    <w:pPr>
      <w:pBdr>
        <w:top w:val="double" w:sz="6" w:space="0" w:color="000000"/>
        <w:left w:val="single" w:sz="4" w:space="0" w:color="000000"/>
        <w:bottom w:val="double" w:sz="6"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90">
    <w:name w:val="xl190"/>
    <w:basedOn w:val="Normal"/>
    <w:qFormat/>
    <w:pPr>
      <w:pBdr>
        <w:top w:val="double" w:sz="6" w:space="0" w:color="000000"/>
        <w:left w:val="single" w:sz="4" w:space="0" w:color="000000"/>
        <w:bottom w:val="double" w:sz="6"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91">
    <w:name w:val="xl191"/>
    <w:basedOn w:val="Normal"/>
    <w:qFormat/>
    <w:pPr>
      <w:pBdr>
        <w:top w:val="double" w:sz="6" w:space="0" w:color="000000"/>
        <w:left w:val="single" w:sz="4" w:space="0" w:color="000000"/>
        <w:bottom w:val="double" w:sz="6"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92">
    <w:name w:val="xl192"/>
    <w:basedOn w:val="Normal"/>
    <w:qFormat/>
    <w:pPr>
      <w:pBdr>
        <w:top w:val="double" w:sz="6" w:space="0" w:color="000000"/>
        <w:left w:val="single" w:sz="4" w:space="0" w:color="000000"/>
        <w:bottom w:val="double" w:sz="6"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93">
    <w:name w:val="xl193"/>
    <w:basedOn w:val="Normal"/>
    <w:qFormat/>
    <w:pPr>
      <w:pBdr>
        <w:top w:val="double" w:sz="6" w:space="0" w:color="000000"/>
        <w:left w:val="single" w:sz="4" w:space="0" w:color="000000"/>
        <w:bottom w:val="double" w:sz="6"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94">
    <w:name w:val="xl194"/>
    <w:basedOn w:val="Normal"/>
    <w:qFormat/>
    <w:pPr>
      <w:pBdr>
        <w:left w:val="single" w:sz="4" w:space="0" w:color="000000"/>
        <w:bottom w:val="double" w:sz="6" w:space="0" w:color="000000"/>
        <w:right w:val="single" w:sz="4" w:space="0" w:color="000000"/>
      </w:pBdr>
      <w:spacing w:lineRule="auto" w:line="240" w:before="280" w:after="280"/>
      <w:ind w:left="0" w:right="0" w:hanging="0"/>
      <w:jc w:val="left"/>
      <w:textAlignment w:val="top"/>
    </w:pPr>
    <w:rPr>
      <w:rFonts w:eastAsia="Times New Roman" w:cs="Times New Roman"/>
      <w:lang w:eastAsia="ru-RU"/>
    </w:rPr>
  </w:style>
  <w:style w:type="paragraph" w:styleId="Xl195">
    <w:name w:val="xl195"/>
    <w:basedOn w:val="Normal"/>
    <w:qFormat/>
    <w:pPr>
      <w:pBdr>
        <w:top w:val="double" w:sz="6" w:space="0" w:color="000000"/>
        <w:left w:val="single" w:sz="4" w:space="0" w:color="000000"/>
        <w:bottom w:val="double" w:sz="6"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96">
    <w:name w:val="xl196"/>
    <w:basedOn w:val="Normal"/>
    <w:qFormat/>
    <w:pPr>
      <w:pBdr>
        <w:top w:val="double" w:sz="6" w:space="0" w:color="000000"/>
        <w:left w:val="single" w:sz="4" w:space="0" w:color="000000"/>
        <w:bottom w:val="double" w:sz="6"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197">
    <w:name w:val="xl197"/>
    <w:basedOn w:val="Normal"/>
    <w:qFormat/>
    <w:pPr>
      <w:pBdr>
        <w:top w:val="double" w:sz="6" w:space="0" w:color="000000"/>
        <w:left w:val="single" w:sz="4" w:space="0" w:color="000000"/>
        <w:bottom w:val="double" w:sz="6" w:space="0" w:color="000000"/>
        <w:right w:val="double" w:sz="6" w:space="0" w:color="000000"/>
      </w:pBdr>
      <w:spacing w:lineRule="auto" w:line="240" w:before="280" w:after="280"/>
      <w:ind w:left="0" w:right="0" w:hanging="0"/>
      <w:jc w:val="center"/>
      <w:textAlignment w:val="top"/>
    </w:pPr>
    <w:rPr>
      <w:rFonts w:eastAsia="Times New Roman" w:cs="Times New Roman"/>
      <w:lang w:eastAsia="ru-RU"/>
    </w:rPr>
  </w:style>
  <w:style w:type="paragraph" w:styleId="Xl198">
    <w:name w:val="xl198"/>
    <w:basedOn w:val="Normal"/>
    <w:qFormat/>
    <w:pPr>
      <w:pBdr>
        <w:left w:val="single" w:sz="4" w:space="0" w:color="000000"/>
        <w:bottom w:val="single" w:sz="4" w:space="0" w:color="000000"/>
        <w:right w:val="single" w:sz="4" w:space="0" w:color="000000"/>
      </w:pBdr>
      <w:spacing w:lineRule="auto" w:line="240" w:before="280" w:after="280"/>
      <w:ind w:left="0" w:right="0" w:hanging="0"/>
      <w:jc w:val="right"/>
      <w:textAlignment w:val="top"/>
    </w:pPr>
    <w:rPr>
      <w:rFonts w:eastAsia="Times New Roman" w:cs="Times New Roman"/>
      <w:lang w:eastAsia="ru-RU"/>
    </w:rPr>
  </w:style>
  <w:style w:type="paragraph" w:styleId="Xl199">
    <w:name w:val="xl199"/>
    <w:basedOn w:val="Normal"/>
    <w:qFormat/>
    <w:pPr>
      <w:pBdr>
        <w:top w:val="single" w:sz="4" w:space="0" w:color="000000"/>
        <w:left w:val="single" w:sz="4" w:space="0" w:color="000000"/>
        <w:bottom w:val="single" w:sz="12"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200">
    <w:name w:val="xl200"/>
    <w:basedOn w:val="Normal"/>
    <w:qFormat/>
    <w:pPr>
      <w:pBdr>
        <w:left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201">
    <w:name w:val="xl201"/>
    <w:basedOn w:val="Normal"/>
    <w:qFormat/>
    <w:pPr>
      <w:pBdr>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202">
    <w:name w:val="xl202"/>
    <w:basedOn w:val="Normal"/>
    <w:qFormat/>
    <w:pPr>
      <w:pBdr>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sz w:val="18"/>
      <w:szCs w:val="18"/>
      <w:lang w:eastAsia="ru-RU"/>
    </w:rPr>
  </w:style>
  <w:style w:type="paragraph" w:styleId="Xl203">
    <w:name w:val="xl203"/>
    <w:basedOn w:val="Normal"/>
    <w:qFormat/>
    <w:pPr>
      <w:pBdr>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204">
    <w:name w:val="xl204"/>
    <w:basedOn w:val="Normal"/>
    <w:qFormat/>
    <w:pPr>
      <w:pBdr>
        <w:top w:val="double" w:sz="6" w:space="0" w:color="000000"/>
        <w:left w:val="double" w:sz="6" w:space="0" w:color="000000"/>
        <w:bottom w:val="single" w:sz="4" w:space="0" w:color="000000"/>
        <w:right w:val="single" w:sz="4" w:space="0" w:color="000000"/>
      </w:pBdr>
      <w:spacing w:lineRule="auto" w:line="240" w:before="280" w:after="280"/>
      <w:ind w:left="0" w:right="0" w:hanging="0"/>
      <w:jc w:val="right"/>
      <w:textAlignment w:val="top"/>
    </w:pPr>
    <w:rPr>
      <w:rFonts w:eastAsia="Times New Roman" w:cs="Times New Roman"/>
      <w:lang w:eastAsia="ru-RU"/>
    </w:rPr>
  </w:style>
  <w:style w:type="paragraph" w:styleId="Xl205">
    <w:name w:val="xl205"/>
    <w:basedOn w:val="Normal"/>
    <w:qFormat/>
    <w:pPr>
      <w:pBdr>
        <w:top w:val="double" w:sz="6" w:space="0" w:color="000000"/>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206">
    <w:name w:val="xl206"/>
    <w:basedOn w:val="Normal"/>
    <w:qFormat/>
    <w:pPr>
      <w:pBdr>
        <w:left w:val="double" w:sz="6" w:space="0" w:color="000000"/>
        <w:bottom w:val="single" w:sz="4" w:space="0" w:color="000000"/>
        <w:right w:val="single" w:sz="4" w:space="0" w:color="000000"/>
      </w:pBdr>
      <w:spacing w:lineRule="auto" w:line="240" w:before="280" w:after="280"/>
      <w:ind w:left="0" w:right="0" w:hanging="0"/>
      <w:jc w:val="right"/>
      <w:textAlignment w:val="top"/>
    </w:pPr>
    <w:rPr>
      <w:rFonts w:eastAsia="Times New Roman" w:cs="Times New Roman"/>
      <w:lang w:eastAsia="ru-RU"/>
    </w:rPr>
  </w:style>
  <w:style w:type="paragraph" w:styleId="Xl207">
    <w:name w:val="xl207"/>
    <w:basedOn w:val="Normal"/>
    <w:qFormat/>
    <w:pPr>
      <w:pBdr>
        <w:left w:val="single" w:sz="4" w:space="0" w:color="000000"/>
        <w:bottom w:val="single" w:sz="4" w:space="0" w:color="000000"/>
        <w:right w:val="single" w:sz="4" w:space="0" w:color="000000"/>
      </w:pBdr>
      <w:spacing w:lineRule="auto" w:line="240" w:before="280" w:after="280"/>
      <w:ind w:left="0" w:right="0" w:hanging="0"/>
      <w:jc w:val="right"/>
      <w:textAlignment w:val="top"/>
    </w:pPr>
    <w:rPr>
      <w:rFonts w:eastAsia="Times New Roman" w:cs="Times New Roman"/>
      <w:lang w:eastAsia="ru-RU"/>
    </w:rPr>
  </w:style>
  <w:style w:type="paragraph" w:styleId="Xl208">
    <w:name w:val="xl208"/>
    <w:basedOn w:val="Normal"/>
    <w:qFormat/>
    <w:pPr>
      <w:pBdr>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209">
    <w:name w:val="xl209"/>
    <w:basedOn w:val="Normal"/>
    <w:qFormat/>
    <w:pPr>
      <w:pBdr>
        <w:top w:val="single" w:sz="4" w:space="0" w:color="000000"/>
        <w:left w:val="double" w:sz="6" w:space="0" w:color="000000"/>
        <w:bottom w:val="double" w:sz="6" w:space="0" w:color="000000"/>
        <w:right w:val="single" w:sz="4" w:space="0" w:color="000000"/>
      </w:pBdr>
      <w:spacing w:lineRule="auto" w:line="240" w:before="280" w:after="280"/>
      <w:ind w:left="0" w:right="0" w:hanging="0"/>
      <w:jc w:val="right"/>
      <w:textAlignment w:val="top"/>
    </w:pPr>
    <w:rPr>
      <w:rFonts w:eastAsia="Times New Roman" w:cs="Times New Roman"/>
      <w:lang w:eastAsia="ru-RU"/>
    </w:rPr>
  </w:style>
  <w:style w:type="paragraph" w:styleId="Xl210">
    <w:name w:val="xl210"/>
    <w:basedOn w:val="Normal"/>
    <w:qFormat/>
    <w:pPr>
      <w:pBdr>
        <w:top w:val="single" w:sz="4" w:space="0" w:color="000000"/>
        <w:left w:val="single" w:sz="4" w:space="0" w:color="000000"/>
        <w:bottom w:val="double" w:sz="6" w:space="0" w:color="000000"/>
        <w:right w:val="single" w:sz="4" w:space="0" w:color="000000"/>
      </w:pBdr>
      <w:spacing w:lineRule="auto" w:line="240" w:before="280" w:after="280"/>
      <w:ind w:left="0" w:right="0" w:hanging="0"/>
      <w:jc w:val="right"/>
      <w:textAlignment w:val="top"/>
    </w:pPr>
    <w:rPr>
      <w:rFonts w:eastAsia="Times New Roman" w:cs="Times New Roman"/>
      <w:lang w:eastAsia="ru-RU"/>
    </w:rPr>
  </w:style>
  <w:style w:type="paragraph" w:styleId="Xl211">
    <w:name w:val="xl211"/>
    <w:basedOn w:val="Normal"/>
    <w:qFormat/>
    <w:pPr>
      <w:pBdr>
        <w:top w:val="single" w:sz="4" w:space="0" w:color="000000"/>
        <w:left w:val="single" w:sz="4" w:space="0" w:color="000000"/>
        <w:bottom w:val="double" w:sz="6" w:space="0" w:color="000000"/>
        <w:right w:val="single" w:sz="4" w:space="0" w:color="000000"/>
      </w:pBdr>
      <w:spacing w:lineRule="auto" w:line="240" w:before="280" w:after="280"/>
      <w:ind w:left="0" w:right="0" w:hanging="0"/>
      <w:jc w:val="left"/>
      <w:textAlignment w:val="top"/>
    </w:pPr>
    <w:rPr>
      <w:rFonts w:eastAsia="Times New Roman" w:cs="Times New Roman"/>
      <w:lang w:eastAsia="ru-RU"/>
    </w:rPr>
  </w:style>
  <w:style w:type="paragraph" w:styleId="Xl212">
    <w:name w:val="xl212"/>
    <w:basedOn w:val="Normal"/>
    <w:qFormat/>
    <w:pPr>
      <w:pBdr>
        <w:top w:val="single" w:sz="4" w:space="0" w:color="000000"/>
        <w:left w:val="single" w:sz="4" w:space="0" w:color="000000"/>
        <w:bottom w:val="double" w:sz="6"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213">
    <w:name w:val="xl213"/>
    <w:basedOn w:val="Normal"/>
    <w:qFormat/>
    <w:pPr>
      <w:pBdr>
        <w:top w:val="single" w:sz="4" w:space="0" w:color="000000"/>
        <w:left w:val="single" w:sz="4" w:space="0" w:color="000000"/>
        <w:bottom w:val="double" w:sz="6" w:space="0" w:color="000000"/>
        <w:right w:val="single" w:sz="4" w:space="0" w:color="000000"/>
      </w:pBdr>
      <w:spacing w:lineRule="auto" w:line="240" w:before="280" w:after="280"/>
      <w:ind w:left="0" w:right="0" w:hanging="0"/>
      <w:jc w:val="center"/>
      <w:textAlignment w:val="top"/>
    </w:pPr>
    <w:rPr>
      <w:rFonts w:eastAsia="Times New Roman" w:cs="Times New Roman"/>
      <w:b/>
      <w:bCs/>
      <w:lang w:eastAsia="ru-RU"/>
    </w:rPr>
  </w:style>
  <w:style w:type="paragraph" w:styleId="Xl214">
    <w:name w:val="xl214"/>
    <w:basedOn w:val="Normal"/>
    <w:qFormat/>
    <w:pPr>
      <w:pBdr>
        <w:top w:val="single" w:sz="4" w:space="0" w:color="000000"/>
        <w:left w:val="single" w:sz="4" w:space="0" w:color="000000"/>
        <w:bottom w:val="double" w:sz="6"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215">
    <w:name w:val="xl215"/>
    <w:basedOn w:val="Normal"/>
    <w:qFormat/>
    <w:pPr>
      <w:pBdr>
        <w:top w:val="single" w:sz="4" w:space="0" w:color="000000"/>
        <w:left w:val="single" w:sz="4" w:space="0" w:color="000000"/>
        <w:bottom w:val="double" w:sz="6"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216">
    <w:name w:val="xl216"/>
    <w:basedOn w:val="Normal"/>
    <w:qFormat/>
    <w:pPr>
      <w:pBdr>
        <w:top w:val="single" w:sz="4" w:space="0" w:color="000000"/>
        <w:left w:val="single" w:sz="4" w:space="0" w:color="000000"/>
        <w:bottom w:val="double" w:sz="6"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217">
    <w:name w:val="xl217"/>
    <w:basedOn w:val="Normal"/>
    <w:qFormat/>
    <w:pPr>
      <w:pBdr>
        <w:top w:val="single" w:sz="4" w:space="0" w:color="000000"/>
        <w:left w:val="single" w:sz="4" w:space="0" w:color="000000"/>
        <w:bottom w:val="single" w:sz="4" w:space="0" w:color="000000"/>
        <w:right w:val="single" w:sz="4" w:space="0" w:color="000000"/>
      </w:pBdr>
      <w:spacing w:lineRule="auto" w:line="240" w:before="280" w:after="280"/>
      <w:ind w:left="0" w:right="0" w:hanging="0"/>
      <w:jc w:val="right"/>
      <w:textAlignment w:val="top"/>
    </w:pPr>
    <w:rPr>
      <w:rFonts w:eastAsia="Times New Roman" w:cs="Times New Roman"/>
      <w:lang w:eastAsia="ru-RU"/>
    </w:rPr>
  </w:style>
  <w:style w:type="paragraph" w:styleId="Xl218">
    <w:name w:val="xl218"/>
    <w:basedOn w:val="Normal"/>
    <w:qFormat/>
    <w:pPr>
      <w:pBdr>
        <w:top w:val="single" w:sz="4" w:space="0" w:color="000000"/>
        <w:left w:val="single" w:sz="4" w:space="0" w:color="000000"/>
        <w:right w:val="single" w:sz="4" w:space="0" w:color="000000"/>
      </w:pBdr>
      <w:spacing w:lineRule="auto" w:line="240" w:before="280" w:after="280"/>
      <w:ind w:left="0" w:right="0" w:hanging="0"/>
      <w:jc w:val="right"/>
      <w:textAlignment w:val="top"/>
    </w:pPr>
    <w:rPr>
      <w:rFonts w:eastAsia="Times New Roman" w:cs="Times New Roman"/>
      <w:lang w:eastAsia="ru-RU"/>
    </w:rPr>
  </w:style>
  <w:style w:type="paragraph" w:styleId="Xl219">
    <w:name w:val="xl219"/>
    <w:basedOn w:val="Normal"/>
    <w:qFormat/>
    <w:pPr>
      <w:pBdr>
        <w:top w:val="single" w:sz="4" w:space="0" w:color="000000"/>
        <w:left w:val="single" w:sz="4" w:space="0" w:color="000000"/>
        <w:bottom w:val="single" w:sz="8"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220">
    <w:name w:val="xl220"/>
    <w:basedOn w:val="Normal"/>
    <w:qFormat/>
    <w:pPr>
      <w:pBdr>
        <w:top w:val="single" w:sz="4" w:space="0" w:color="000000"/>
        <w:left w:val="single" w:sz="4" w:space="0" w:color="000000"/>
        <w:bottom w:val="single" w:sz="8"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221">
    <w:name w:val="xl221"/>
    <w:basedOn w:val="Normal"/>
    <w:qFormat/>
    <w:pPr>
      <w:pBdr>
        <w:top w:val="single" w:sz="4" w:space="0" w:color="000000"/>
        <w:left w:val="single" w:sz="4" w:space="0" w:color="000000"/>
        <w:bottom w:val="single" w:sz="8" w:space="0" w:color="000000"/>
        <w:right w:val="single" w:sz="4" w:space="0" w:color="000000"/>
      </w:pBdr>
      <w:spacing w:lineRule="auto" w:line="240" w:before="280" w:after="280"/>
      <w:ind w:left="0" w:right="0" w:hanging="0"/>
      <w:jc w:val="left"/>
      <w:textAlignment w:val="top"/>
    </w:pPr>
    <w:rPr>
      <w:rFonts w:eastAsia="Times New Roman" w:cs="Times New Roman"/>
      <w:lang w:eastAsia="ru-RU"/>
    </w:rPr>
  </w:style>
  <w:style w:type="paragraph" w:styleId="Xl222">
    <w:name w:val="xl222"/>
    <w:basedOn w:val="Normal"/>
    <w:qFormat/>
    <w:pPr>
      <w:pBdr>
        <w:top w:val="single" w:sz="4" w:space="0" w:color="000000"/>
        <w:left w:val="single" w:sz="4" w:space="0" w:color="000000"/>
        <w:bottom w:val="single" w:sz="8"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223">
    <w:name w:val="xl223"/>
    <w:basedOn w:val="Normal"/>
    <w:qFormat/>
    <w:pPr>
      <w:pBdr>
        <w:top w:val="single" w:sz="4" w:space="0" w:color="000000"/>
        <w:left w:val="single" w:sz="4" w:space="0" w:color="000000"/>
        <w:bottom w:val="single" w:sz="8"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224">
    <w:name w:val="xl224"/>
    <w:basedOn w:val="Normal"/>
    <w:qFormat/>
    <w:pPr>
      <w:pBdr>
        <w:top w:val="double" w:sz="6" w:space="0" w:color="000000"/>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225">
    <w:name w:val="xl225"/>
    <w:basedOn w:val="Normal"/>
    <w:qFormat/>
    <w:pPr>
      <w:pBdr>
        <w:top w:val="single" w:sz="4" w:space="0" w:color="000000"/>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226">
    <w:name w:val="xl226"/>
    <w:basedOn w:val="Normal"/>
    <w:qFormat/>
    <w:pPr>
      <w:pBdr>
        <w:top w:val="single" w:sz="4" w:space="0" w:color="000000"/>
        <w:left w:val="single" w:sz="4" w:space="0" w:color="000000"/>
        <w:bottom w:val="double" w:sz="6"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227">
    <w:name w:val="xl227"/>
    <w:basedOn w:val="Normal"/>
    <w:qFormat/>
    <w:pPr>
      <w:pBdr>
        <w:top w:val="single" w:sz="12" w:space="0" w:color="000000"/>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228">
    <w:name w:val="xl228"/>
    <w:basedOn w:val="Normal"/>
    <w:qFormat/>
    <w:pPr>
      <w:pBdr>
        <w:top w:val="double" w:sz="6" w:space="0" w:color="000000"/>
        <w:left w:val="single" w:sz="4" w:space="0" w:color="000000"/>
        <w:bottom w:val="single" w:sz="4" w:space="0" w:color="000000"/>
        <w:right w:val="double" w:sz="6" w:space="0" w:color="000000"/>
      </w:pBdr>
      <w:spacing w:lineRule="auto" w:line="240" w:before="280" w:after="280"/>
      <w:ind w:left="0" w:right="0" w:hanging="0"/>
      <w:jc w:val="center"/>
      <w:textAlignment w:val="top"/>
    </w:pPr>
    <w:rPr>
      <w:rFonts w:eastAsia="Times New Roman" w:cs="Times New Roman"/>
      <w:lang w:eastAsia="ru-RU"/>
    </w:rPr>
  </w:style>
  <w:style w:type="paragraph" w:styleId="Xl229">
    <w:name w:val="xl229"/>
    <w:basedOn w:val="Normal"/>
    <w:qFormat/>
    <w:pPr>
      <w:pBdr>
        <w:top w:val="single" w:sz="4" w:space="0" w:color="000000"/>
        <w:left w:val="single" w:sz="4" w:space="0" w:color="000000"/>
        <w:bottom w:val="single" w:sz="4" w:space="0" w:color="000000"/>
        <w:right w:val="double" w:sz="6" w:space="0" w:color="000000"/>
      </w:pBdr>
      <w:spacing w:lineRule="auto" w:line="240" w:before="280" w:after="280"/>
      <w:ind w:left="0" w:right="0" w:hanging="0"/>
      <w:jc w:val="center"/>
      <w:textAlignment w:val="top"/>
    </w:pPr>
    <w:rPr>
      <w:rFonts w:eastAsia="Times New Roman" w:cs="Times New Roman"/>
      <w:lang w:eastAsia="ru-RU"/>
    </w:rPr>
  </w:style>
  <w:style w:type="paragraph" w:styleId="Xl230">
    <w:name w:val="xl230"/>
    <w:basedOn w:val="Normal"/>
    <w:qFormat/>
    <w:pPr>
      <w:pBdr>
        <w:top w:val="single" w:sz="4" w:space="0" w:color="000000"/>
        <w:left w:val="single" w:sz="4" w:space="0" w:color="000000"/>
        <w:bottom w:val="double" w:sz="6" w:space="0" w:color="000000"/>
        <w:right w:val="double" w:sz="6" w:space="0" w:color="000000"/>
      </w:pBdr>
      <w:spacing w:lineRule="auto" w:line="240" w:before="280" w:after="280"/>
      <w:ind w:left="0" w:right="0" w:hanging="0"/>
      <w:jc w:val="center"/>
      <w:textAlignment w:val="top"/>
    </w:pPr>
    <w:rPr>
      <w:rFonts w:eastAsia="Times New Roman" w:cs="Times New Roman"/>
      <w:lang w:eastAsia="ru-RU"/>
    </w:rPr>
  </w:style>
  <w:style w:type="paragraph" w:styleId="Xl231">
    <w:name w:val="xl231"/>
    <w:basedOn w:val="Normal"/>
    <w:qFormat/>
    <w:pPr>
      <w:pBdr>
        <w:left w:val="single" w:sz="4" w:space="0" w:color="000000"/>
        <w:bottom w:val="single" w:sz="4" w:space="0" w:color="000000"/>
        <w:right w:val="double" w:sz="6" w:space="0" w:color="000000"/>
      </w:pBdr>
      <w:spacing w:lineRule="auto" w:line="240" w:before="280" w:after="280"/>
      <w:ind w:left="0" w:right="0" w:hanging="0"/>
      <w:jc w:val="center"/>
      <w:textAlignment w:val="top"/>
    </w:pPr>
    <w:rPr>
      <w:rFonts w:eastAsia="Times New Roman" w:cs="Times New Roman"/>
      <w:lang w:eastAsia="ru-RU"/>
    </w:rPr>
  </w:style>
  <w:style w:type="paragraph" w:styleId="Xl232">
    <w:name w:val="xl232"/>
    <w:basedOn w:val="Normal"/>
    <w:qFormat/>
    <w:pPr>
      <w:pBdr>
        <w:top w:val="single" w:sz="12" w:space="0" w:color="000000"/>
        <w:left w:val="single" w:sz="12" w:space="0" w:color="000000"/>
        <w:bottom w:val="single" w:sz="12" w:space="0" w:color="000000"/>
      </w:pBdr>
      <w:spacing w:lineRule="auto" w:line="240" w:before="280" w:after="280"/>
      <w:ind w:left="0" w:right="0" w:hanging="0"/>
      <w:jc w:val="left"/>
      <w:textAlignment w:val="top"/>
    </w:pPr>
    <w:rPr>
      <w:rFonts w:eastAsia="Times New Roman" w:cs="Times New Roman"/>
      <w:b/>
      <w:bCs/>
      <w:lang w:eastAsia="ru-RU"/>
    </w:rPr>
  </w:style>
  <w:style w:type="paragraph" w:styleId="Xl233">
    <w:name w:val="xl233"/>
    <w:basedOn w:val="Normal"/>
    <w:qFormat/>
    <w:pPr>
      <w:pBdr>
        <w:top w:val="single" w:sz="12" w:space="0" w:color="000000"/>
        <w:bottom w:val="single" w:sz="12" w:space="0" w:color="000000"/>
      </w:pBdr>
      <w:spacing w:lineRule="auto" w:line="240" w:before="280" w:after="280"/>
      <w:ind w:left="0" w:right="0" w:hanging="0"/>
      <w:jc w:val="left"/>
      <w:textAlignment w:val="top"/>
    </w:pPr>
    <w:rPr>
      <w:rFonts w:eastAsia="Times New Roman" w:cs="Times New Roman"/>
      <w:b/>
      <w:bCs/>
      <w:lang w:eastAsia="ru-RU"/>
    </w:rPr>
  </w:style>
  <w:style w:type="paragraph" w:styleId="Xl234">
    <w:name w:val="xl234"/>
    <w:basedOn w:val="Normal"/>
    <w:qFormat/>
    <w:pPr>
      <w:pBdr>
        <w:top w:val="single" w:sz="12" w:space="0" w:color="000000"/>
        <w:bottom w:val="single" w:sz="12" w:space="0" w:color="000000"/>
      </w:pBdr>
      <w:spacing w:lineRule="auto" w:line="240" w:before="280" w:after="280"/>
      <w:ind w:left="0" w:right="0" w:hanging="0"/>
      <w:jc w:val="center"/>
      <w:textAlignment w:val="top"/>
    </w:pPr>
    <w:rPr>
      <w:rFonts w:eastAsia="Times New Roman" w:cs="Times New Roman"/>
      <w:b/>
      <w:bCs/>
      <w:lang w:eastAsia="ru-RU"/>
    </w:rPr>
  </w:style>
  <w:style w:type="paragraph" w:styleId="Xl235">
    <w:name w:val="xl235"/>
    <w:basedOn w:val="Normal"/>
    <w:qFormat/>
    <w:pPr>
      <w:pBdr>
        <w:top w:val="single" w:sz="12" w:space="0" w:color="000000"/>
        <w:bottom w:val="single" w:sz="12" w:space="0" w:color="000000"/>
        <w:right w:val="single" w:sz="12" w:space="0" w:color="000000"/>
      </w:pBdr>
      <w:spacing w:lineRule="auto" w:line="240" w:before="280" w:after="280"/>
      <w:ind w:left="0" w:right="0" w:hanging="0"/>
      <w:jc w:val="center"/>
      <w:textAlignment w:val="top"/>
    </w:pPr>
    <w:rPr>
      <w:rFonts w:eastAsia="Times New Roman" w:cs="Times New Roman"/>
      <w:b/>
      <w:bCs/>
      <w:lang w:eastAsia="ru-RU"/>
    </w:rPr>
  </w:style>
  <w:style w:type="paragraph" w:styleId="Xl236">
    <w:name w:val="xl236"/>
    <w:basedOn w:val="Normal"/>
    <w:qFormat/>
    <w:pPr>
      <w:pBdr>
        <w:top w:val="double" w:sz="6" w:space="0" w:color="000000"/>
        <w:right w:val="single" w:sz="4" w:space="0" w:color="000000"/>
      </w:pBdr>
      <w:spacing w:lineRule="auto" w:line="240" w:before="280" w:after="280"/>
      <w:ind w:left="0" w:right="0" w:hanging="0"/>
      <w:jc w:val="center"/>
      <w:textAlignment w:val="top"/>
    </w:pPr>
    <w:rPr>
      <w:rFonts w:eastAsia="Times New Roman" w:cs="Times New Roman"/>
      <w:szCs w:val="24"/>
      <w:lang w:eastAsia="ru-RU"/>
    </w:rPr>
  </w:style>
  <w:style w:type="paragraph" w:styleId="Xl237">
    <w:name w:val="xl237"/>
    <w:basedOn w:val="Normal"/>
    <w:qFormat/>
    <w:pPr>
      <w:pBdr>
        <w:top w:val="double" w:sz="6" w:space="0" w:color="000000"/>
        <w:left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238">
    <w:name w:val="xl238"/>
    <w:basedOn w:val="Normal"/>
    <w:qFormat/>
    <w:pPr>
      <w:pBdr>
        <w:top w:val="double" w:sz="6" w:space="0" w:color="000000"/>
        <w:left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239">
    <w:name w:val="xl239"/>
    <w:basedOn w:val="Normal"/>
    <w:qFormat/>
    <w:pPr>
      <w:spacing w:lineRule="auto" w:line="240" w:before="280" w:after="280"/>
      <w:ind w:left="0" w:right="0" w:hanging="0"/>
      <w:jc w:val="left"/>
    </w:pPr>
    <w:rPr>
      <w:rFonts w:eastAsia="Times New Roman" w:cs="Times New Roman"/>
      <w:lang w:eastAsia="ru-RU"/>
    </w:rPr>
  </w:style>
  <w:style w:type="paragraph" w:styleId="Xl240">
    <w:name w:val="xl240"/>
    <w:basedOn w:val="Normal"/>
    <w:qFormat/>
    <w:pPr>
      <w:pBdr>
        <w:top w:val="single" w:sz="4" w:space="0" w:color="000000"/>
        <w:left w:val="double" w:sz="6"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241">
    <w:name w:val="xl241"/>
    <w:basedOn w:val="Normal"/>
    <w:qFormat/>
    <w:pPr>
      <w:pBdr>
        <w:top w:val="single" w:sz="4" w:space="0" w:color="000000"/>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242">
    <w:name w:val="xl242"/>
    <w:basedOn w:val="Normal"/>
    <w:qFormat/>
    <w:pPr>
      <w:pBdr>
        <w:top w:val="single" w:sz="4" w:space="0" w:color="000000"/>
        <w:left w:val="double" w:sz="6" w:space="0" w:color="000000"/>
        <w:bottom w:val="double" w:sz="6"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243">
    <w:name w:val="xl243"/>
    <w:basedOn w:val="Normal"/>
    <w:qFormat/>
    <w:pPr>
      <w:pBdr>
        <w:top w:val="single" w:sz="4" w:space="0" w:color="000000"/>
        <w:left w:val="single" w:sz="4" w:space="0" w:color="000000"/>
        <w:bottom w:val="double" w:sz="6"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244">
    <w:name w:val="xl244"/>
    <w:basedOn w:val="Normal"/>
    <w:qFormat/>
    <w:pPr>
      <w:pBdr>
        <w:top w:val="double" w:sz="6" w:space="0" w:color="000000"/>
        <w:left w:val="double" w:sz="6"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245">
    <w:name w:val="xl245"/>
    <w:basedOn w:val="Normal"/>
    <w:qFormat/>
    <w:pPr>
      <w:pBdr>
        <w:top w:val="double" w:sz="6"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246">
    <w:name w:val="xl246"/>
    <w:basedOn w:val="Normal"/>
    <w:qFormat/>
    <w:pPr>
      <w:pBdr>
        <w:top w:val="double" w:sz="6"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247">
    <w:name w:val="xl247"/>
    <w:basedOn w:val="Normal"/>
    <w:qFormat/>
    <w:pPr>
      <w:pBdr>
        <w:top w:val="single" w:sz="4" w:space="0" w:color="000000"/>
        <w:left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248">
    <w:name w:val="xl248"/>
    <w:basedOn w:val="Normal"/>
    <w:qFormat/>
    <w:pPr>
      <w:pBdr>
        <w:top w:val="single" w:sz="4" w:space="0" w:color="000000"/>
        <w:left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249">
    <w:name w:val="xl249"/>
    <w:basedOn w:val="Normal"/>
    <w:qFormat/>
    <w:pPr>
      <w:pBdr>
        <w:top w:val="single" w:sz="4" w:space="0" w:color="000000"/>
        <w:left w:val="single" w:sz="4" w:space="0" w:color="000000"/>
        <w:right w:val="double" w:sz="6" w:space="0" w:color="000000"/>
      </w:pBdr>
      <w:spacing w:lineRule="auto" w:line="240" w:before="280" w:after="280"/>
      <w:ind w:left="0" w:right="0" w:hanging="0"/>
      <w:jc w:val="center"/>
      <w:textAlignment w:val="top"/>
    </w:pPr>
    <w:rPr>
      <w:rFonts w:eastAsia="Times New Roman" w:cs="Times New Roman"/>
      <w:lang w:eastAsia="ru-RU"/>
    </w:rPr>
  </w:style>
  <w:style w:type="paragraph" w:styleId="Xl250">
    <w:name w:val="xl250"/>
    <w:basedOn w:val="Normal"/>
    <w:qFormat/>
    <w:pPr>
      <w:pBdr>
        <w:top w:val="single" w:sz="4" w:space="0" w:color="000000"/>
        <w:left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251">
    <w:name w:val="xl251"/>
    <w:basedOn w:val="Normal"/>
    <w:qFormat/>
    <w:pPr>
      <w:pBdr>
        <w:left w:val="double" w:sz="6"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252">
    <w:name w:val="xl252"/>
    <w:basedOn w:val="Normal"/>
    <w:qFormat/>
    <w:pPr>
      <w:pBdr>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253">
    <w:name w:val="xl253"/>
    <w:basedOn w:val="Normal"/>
    <w:qFormat/>
    <w:pPr>
      <w:pBdr>
        <w:left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254">
    <w:name w:val="xl254"/>
    <w:basedOn w:val="Normal"/>
    <w:qFormat/>
    <w:pPr>
      <w:pBdr>
        <w:left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255">
    <w:name w:val="xl255"/>
    <w:basedOn w:val="Normal"/>
    <w:qFormat/>
    <w:pPr>
      <w:pBdr>
        <w:left w:val="single" w:sz="4" w:space="0" w:color="000000"/>
        <w:bottom w:val="single" w:sz="4" w:space="0" w:color="000000"/>
        <w:right w:val="double" w:sz="6" w:space="0" w:color="000000"/>
      </w:pBdr>
      <w:spacing w:lineRule="auto" w:line="240" w:before="280" w:after="280"/>
      <w:ind w:left="0" w:right="0" w:hanging="0"/>
      <w:jc w:val="center"/>
      <w:textAlignment w:val="top"/>
    </w:pPr>
    <w:rPr>
      <w:rFonts w:eastAsia="Times New Roman" w:cs="Times New Roman"/>
      <w:lang w:eastAsia="ru-RU"/>
    </w:rPr>
  </w:style>
  <w:style w:type="paragraph" w:styleId="Xl256">
    <w:name w:val="xl256"/>
    <w:basedOn w:val="Normal"/>
    <w:qFormat/>
    <w:pPr>
      <w:pBdr>
        <w:top w:val="single" w:sz="4" w:space="0" w:color="000000"/>
        <w:left w:val="single" w:sz="4" w:space="0" w:color="000000"/>
        <w:right w:val="double" w:sz="6" w:space="0" w:color="000000"/>
      </w:pBdr>
      <w:spacing w:lineRule="auto" w:line="240" w:before="280" w:after="280"/>
      <w:ind w:left="0" w:right="0" w:hanging="0"/>
      <w:jc w:val="center"/>
      <w:textAlignment w:val="top"/>
    </w:pPr>
    <w:rPr>
      <w:rFonts w:eastAsia="Times New Roman" w:cs="Times New Roman"/>
      <w:lang w:eastAsia="ru-RU"/>
    </w:rPr>
  </w:style>
  <w:style w:type="paragraph" w:styleId="Xl257">
    <w:name w:val="xl257"/>
    <w:basedOn w:val="Normal"/>
    <w:qFormat/>
    <w:pPr>
      <w:pBdr>
        <w:top w:val="single" w:sz="4" w:space="0" w:color="000000"/>
        <w:left w:val="single" w:sz="4" w:space="0" w:color="000000"/>
        <w:bottom w:val="single" w:sz="4" w:space="0" w:color="000000"/>
        <w:right w:val="double" w:sz="6" w:space="0" w:color="000000"/>
      </w:pBdr>
      <w:spacing w:lineRule="auto" w:line="240" w:before="280" w:after="280"/>
      <w:ind w:left="0" w:right="0" w:hanging="0"/>
      <w:jc w:val="center"/>
      <w:textAlignment w:val="top"/>
    </w:pPr>
    <w:rPr>
      <w:rFonts w:eastAsia="Times New Roman" w:cs="Times New Roman"/>
      <w:lang w:eastAsia="ru-RU"/>
    </w:rPr>
  </w:style>
  <w:style w:type="paragraph" w:styleId="Xl258">
    <w:name w:val="xl258"/>
    <w:basedOn w:val="Normal"/>
    <w:qFormat/>
    <w:pPr>
      <w:pBdr>
        <w:top w:val="single" w:sz="12" w:space="0" w:color="000000"/>
        <w:left w:val="single" w:sz="4" w:space="0" w:color="000000"/>
        <w:bottom w:val="single" w:sz="4" w:space="0" w:color="000000"/>
        <w:right w:val="double" w:sz="6" w:space="0" w:color="000000"/>
      </w:pBdr>
      <w:spacing w:lineRule="auto" w:line="240" w:before="280" w:after="280"/>
      <w:ind w:left="0" w:right="0" w:hanging="0"/>
      <w:jc w:val="center"/>
      <w:textAlignment w:val="top"/>
    </w:pPr>
    <w:rPr>
      <w:rFonts w:eastAsia="Times New Roman" w:cs="Times New Roman"/>
      <w:lang w:eastAsia="ru-RU"/>
    </w:rPr>
  </w:style>
  <w:style w:type="paragraph" w:styleId="Xl259">
    <w:name w:val="xl259"/>
    <w:basedOn w:val="Normal"/>
    <w:qFormat/>
    <w:pPr>
      <w:pBdr>
        <w:top w:val="single" w:sz="12" w:space="0" w:color="000000"/>
        <w:left w:val="single" w:sz="4" w:space="0" w:color="000000"/>
        <w:bottom w:val="double" w:sz="6"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260">
    <w:name w:val="xl260"/>
    <w:basedOn w:val="Normal"/>
    <w:qFormat/>
    <w:pPr>
      <w:pBdr>
        <w:top w:val="double" w:sz="6" w:space="0" w:color="000000"/>
        <w:left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261">
    <w:name w:val="xl261"/>
    <w:basedOn w:val="Normal"/>
    <w:qFormat/>
    <w:pPr>
      <w:pBdr>
        <w:top w:val="single" w:sz="12" w:space="0" w:color="000000"/>
        <w:left w:val="single" w:sz="4" w:space="0" w:color="000000"/>
        <w:right w:val="double" w:sz="6" w:space="0" w:color="000000"/>
      </w:pBdr>
      <w:spacing w:lineRule="auto" w:line="240" w:before="280" w:after="280"/>
      <w:ind w:left="0" w:right="0" w:hanging="0"/>
      <w:jc w:val="center"/>
      <w:textAlignment w:val="top"/>
    </w:pPr>
    <w:rPr>
      <w:rFonts w:eastAsia="Times New Roman" w:cs="Times New Roman"/>
      <w:lang w:eastAsia="ru-RU"/>
    </w:rPr>
  </w:style>
  <w:style w:type="paragraph" w:styleId="Xl262">
    <w:name w:val="xl262"/>
    <w:basedOn w:val="Normal"/>
    <w:qFormat/>
    <w:pPr>
      <w:pBdr>
        <w:top w:val="single" w:sz="12" w:space="0" w:color="000000"/>
        <w:left w:val="single" w:sz="4" w:space="0" w:color="000000"/>
        <w:bottom w:val="double" w:sz="6" w:space="0" w:color="000000"/>
        <w:right w:val="double" w:sz="6" w:space="0" w:color="000000"/>
      </w:pBdr>
      <w:spacing w:lineRule="auto" w:line="240" w:before="280" w:after="280"/>
      <w:ind w:left="0" w:right="0" w:hanging="0"/>
      <w:jc w:val="center"/>
      <w:textAlignment w:val="top"/>
    </w:pPr>
    <w:rPr>
      <w:rFonts w:eastAsia="Times New Roman" w:cs="Times New Roman"/>
      <w:lang w:eastAsia="ru-RU"/>
    </w:rPr>
  </w:style>
  <w:style w:type="paragraph" w:styleId="Xl263">
    <w:name w:val="xl263"/>
    <w:basedOn w:val="Normal"/>
    <w:qFormat/>
    <w:pPr>
      <w:pBdr>
        <w:left w:val="single" w:sz="4" w:space="0" w:color="000000"/>
        <w:right w:val="single" w:sz="4" w:space="0" w:color="000000"/>
      </w:pBdr>
      <w:spacing w:lineRule="auto" w:line="240" w:before="280" w:after="280"/>
      <w:ind w:left="0" w:right="0" w:hanging="0"/>
      <w:jc w:val="center"/>
      <w:textAlignment w:val="top"/>
    </w:pPr>
    <w:rPr>
      <w:rFonts w:eastAsia="Times New Roman" w:cs="Times New Roman"/>
      <w:lang w:eastAsia="ru-RU"/>
    </w:rPr>
  </w:style>
  <w:style w:type="paragraph" w:styleId="Xl264">
    <w:name w:val="xl264"/>
    <w:basedOn w:val="Normal"/>
    <w:qFormat/>
    <w:pPr>
      <w:pBdr>
        <w:top w:val="single" w:sz="4" w:space="0" w:color="000000"/>
        <w:left w:val="single" w:sz="4" w:space="0" w:color="000000"/>
        <w:bottom w:val="double" w:sz="6" w:space="0" w:color="000000"/>
        <w:right w:val="double" w:sz="6" w:space="0" w:color="000000"/>
      </w:pBdr>
      <w:spacing w:lineRule="auto" w:line="240" w:before="280" w:after="280"/>
      <w:ind w:left="0" w:right="0" w:hanging="0"/>
      <w:jc w:val="center"/>
      <w:textAlignment w:val="top"/>
    </w:pPr>
    <w:rPr>
      <w:rFonts w:eastAsia="Times New Roman" w:cs="Times New Roman"/>
      <w:lang w:eastAsia="ru-RU"/>
    </w:rPr>
  </w:style>
  <w:style w:type="paragraph" w:styleId="Xl265">
    <w:name w:val="xl265"/>
    <w:basedOn w:val="Normal"/>
    <w:qFormat/>
    <w:pPr>
      <w:pBdr>
        <w:top w:val="double" w:sz="6" w:space="0" w:color="000000"/>
        <w:left w:val="single" w:sz="4" w:space="0" w:color="000000"/>
      </w:pBdr>
      <w:spacing w:lineRule="auto" w:line="240" w:before="280" w:after="280"/>
      <w:ind w:left="0" w:right="0" w:hanging="0"/>
      <w:jc w:val="center"/>
      <w:textAlignment w:val="top"/>
    </w:pPr>
    <w:rPr>
      <w:rFonts w:eastAsia="Times New Roman" w:cs="Times New Roman"/>
      <w:szCs w:val="24"/>
      <w:lang w:eastAsia="ru-RU"/>
    </w:rPr>
  </w:style>
  <w:style w:type="paragraph" w:styleId="Xl266">
    <w:name w:val="xl266"/>
    <w:basedOn w:val="Normal"/>
    <w:qFormat/>
    <w:pPr>
      <w:pBdr>
        <w:top w:val="double" w:sz="6" w:space="0" w:color="000000"/>
      </w:pBdr>
      <w:spacing w:lineRule="auto" w:line="240" w:before="280" w:after="280"/>
      <w:ind w:left="0" w:right="0" w:hanging="0"/>
      <w:jc w:val="center"/>
      <w:textAlignment w:val="top"/>
    </w:pPr>
    <w:rPr>
      <w:rFonts w:eastAsia="Times New Roman" w:cs="Times New Roman"/>
      <w:szCs w:val="24"/>
      <w:lang w:eastAsia="ru-RU"/>
    </w:rPr>
  </w:style>
  <w:style w:type="paragraph" w:styleId="Xl267">
    <w:name w:val="xl267"/>
    <w:basedOn w:val="Normal"/>
    <w:qFormat/>
    <w:pPr>
      <w:pBdr>
        <w:top w:val="double" w:sz="6" w:space="0" w:color="000000"/>
        <w:left w:val="single" w:sz="4" w:space="0" w:color="000000"/>
        <w:right w:val="single" w:sz="4" w:space="0" w:color="000000"/>
      </w:pBdr>
      <w:spacing w:lineRule="auto" w:line="240" w:before="280" w:after="280"/>
      <w:ind w:left="0" w:right="0" w:hanging="0"/>
      <w:jc w:val="center"/>
      <w:textAlignment w:val="top"/>
    </w:pPr>
    <w:rPr>
      <w:rFonts w:eastAsia="Times New Roman" w:cs="Times New Roman"/>
      <w:szCs w:val="24"/>
      <w:lang w:eastAsia="ru-RU"/>
    </w:rPr>
  </w:style>
  <w:style w:type="paragraph" w:styleId="Xl268">
    <w:name w:val="xl268"/>
    <w:basedOn w:val="Normal"/>
    <w:qFormat/>
    <w:pPr>
      <w:pBdr>
        <w:left w:val="single" w:sz="4" w:space="0" w:color="000000"/>
        <w:bottom w:val="single" w:sz="4" w:space="0" w:color="000000"/>
      </w:pBdr>
      <w:spacing w:lineRule="auto" w:line="240" w:before="280" w:after="280"/>
      <w:ind w:left="0" w:right="0" w:hanging="0"/>
      <w:jc w:val="center"/>
      <w:textAlignment w:val="top"/>
    </w:pPr>
    <w:rPr>
      <w:rFonts w:eastAsia="Times New Roman" w:cs="Times New Roman"/>
      <w:szCs w:val="24"/>
      <w:lang w:eastAsia="ru-RU"/>
    </w:rPr>
  </w:style>
  <w:style w:type="paragraph" w:styleId="Xl269">
    <w:name w:val="xl269"/>
    <w:basedOn w:val="Normal"/>
    <w:qFormat/>
    <w:pPr>
      <w:pBdr>
        <w:bottom w:val="single" w:sz="4" w:space="0" w:color="000000"/>
      </w:pBdr>
      <w:spacing w:lineRule="auto" w:line="240" w:before="280" w:after="280"/>
      <w:ind w:left="0" w:right="0" w:hanging="0"/>
      <w:jc w:val="center"/>
      <w:textAlignment w:val="top"/>
    </w:pPr>
    <w:rPr>
      <w:rFonts w:eastAsia="Times New Roman" w:cs="Times New Roman"/>
      <w:szCs w:val="24"/>
      <w:lang w:eastAsia="ru-RU"/>
    </w:rPr>
  </w:style>
  <w:style w:type="paragraph" w:styleId="Xl270">
    <w:name w:val="xl270"/>
    <w:basedOn w:val="Normal"/>
    <w:qFormat/>
    <w:pPr>
      <w:pBdr>
        <w:left w:val="single" w:sz="4" w:space="0" w:color="000000"/>
      </w:pBdr>
      <w:spacing w:lineRule="auto" w:line="240" w:before="280" w:after="280"/>
      <w:ind w:left="0" w:right="0" w:hanging="0"/>
      <w:jc w:val="center"/>
      <w:textAlignment w:val="top"/>
    </w:pPr>
    <w:rPr>
      <w:rFonts w:eastAsia="Times New Roman" w:cs="Times New Roman"/>
      <w:szCs w:val="24"/>
      <w:lang w:eastAsia="ru-RU"/>
    </w:rPr>
  </w:style>
  <w:style w:type="paragraph" w:styleId="Xl271">
    <w:name w:val="xl271"/>
    <w:basedOn w:val="Normal"/>
    <w:qFormat/>
    <w:pPr>
      <w:pBdr>
        <w:right w:val="single" w:sz="4" w:space="0" w:color="000000"/>
      </w:pBdr>
      <w:spacing w:lineRule="auto" w:line="240" w:before="280" w:after="280"/>
      <w:ind w:left="0" w:right="0" w:hanging="0"/>
      <w:jc w:val="center"/>
      <w:textAlignment w:val="top"/>
    </w:pPr>
    <w:rPr>
      <w:rFonts w:eastAsia="Times New Roman" w:cs="Times New Roman"/>
      <w:szCs w:val="24"/>
      <w:lang w:eastAsia="ru-RU"/>
    </w:rPr>
  </w:style>
  <w:style w:type="paragraph" w:styleId="Xl272">
    <w:name w:val="xl272"/>
    <w:basedOn w:val="Normal"/>
    <w:qFormat/>
    <w:pPr>
      <w:pBdr>
        <w:left w:val="single" w:sz="4" w:space="0" w:color="000000"/>
        <w:right w:val="single" w:sz="4" w:space="0" w:color="000000"/>
      </w:pBdr>
      <w:spacing w:lineRule="auto" w:line="240" w:before="280" w:after="280"/>
      <w:ind w:left="0" w:right="0" w:hanging="0"/>
      <w:jc w:val="center"/>
      <w:textAlignment w:val="top"/>
    </w:pPr>
    <w:rPr>
      <w:rFonts w:eastAsia="Times New Roman" w:cs="Times New Roman"/>
      <w:szCs w:val="24"/>
      <w:lang w:eastAsia="ru-RU"/>
    </w:rPr>
  </w:style>
  <w:style w:type="paragraph" w:styleId="Xl273">
    <w:name w:val="xl273"/>
    <w:basedOn w:val="Normal"/>
    <w:qFormat/>
    <w:pPr>
      <w:pBdr>
        <w:top w:val="single" w:sz="4" w:space="0" w:color="000000"/>
        <w:left w:val="single" w:sz="4" w:space="0" w:color="000000"/>
      </w:pBdr>
      <w:spacing w:lineRule="auto" w:line="240" w:before="280" w:after="280"/>
      <w:ind w:left="0" w:right="0" w:hanging="0"/>
      <w:jc w:val="center"/>
      <w:textAlignment w:val="top"/>
    </w:pPr>
    <w:rPr>
      <w:rFonts w:eastAsia="Times New Roman" w:cs="Times New Roman"/>
      <w:szCs w:val="24"/>
      <w:lang w:eastAsia="ru-RU"/>
    </w:rPr>
  </w:style>
  <w:style w:type="paragraph" w:styleId="Xl274">
    <w:name w:val="xl274"/>
    <w:basedOn w:val="Normal"/>
    <w:qFormat/>
    <w:pPr>
      <w:pBdr>
        <w:bottom w:val="single" w:sz="4" w:space="0" w:color="000000"/>
        <w:right w:val="single" w:sz="4" w:space="0" w:color="000000"/>
      </w:pBdr>
      <w:spacing w:lineRule="auto" w:line="240" w:before="280" w:after="280"/>
      <w:ind w:left="0" w:right="0" w:hanging="0"/>
      <w:jc w:val="center"/>
      <w:textAlignment w:val="top"/>
    </w:pPr>
    <w:rPr>
      <w:rFonts w:eastAsia="Times New Roman" w:cs="Times New Roman"/>
      <w:szCs w:val="24"/>
      <w:lang w:eastAsia="ru-RU"/>
    </w:rPr>
  </w:style>
  <w:style w:type="paragraph" w:styleId="Xl275">
    <w:name w:val="xl275"/>
    <w:basedOn w:val="Normal"/>
    <w:qFormat/>
    <w:pPr>
      <w:pBdr>
        <w:left w:val="single" w:sz="4" w:space="0" w:color="000000"/>
        <w:bottom w:val="double" w:sz="6" w:space="0" w:color="000000"/>
        <w:right w:val="single" w:sz="4" w:space="0" w:color="000000"/>
      </w:pBdr>
      <w:spacing w:lineRule="auto" w:line="240" w:before="280" w:after="280"/>
      <w:ind w:left="0" w:right="0" w:hanging="0"/>
      <w:jc w:val="center"/>
      <w:textAlignment w:val="top"/>
    </w:pPr>
    <w:rPr>
      <w:rFonts w:eastAsia="Times New Roman" w:cs="Times New Roman"/>
      <w:szCs w:val="24"/>
      <w:lang w:eastAsia="ru-RU"/>
    </w:rPr>
  </w:style>
  <w:style w:type="paragraph" w:styleId="Xl276">
    <w:name w:val="xl276"/>
    <w:basedOn w:val="Normal"/>
    <w:qFormat/>
    <w:pPr>
      <w:pBdr>
        <w:top w:val="double" w:sz="6" w:space="0" w:color="000000"/>
        <w:left w:val="double" w:sz="6" w:space="0" w:color="000000"/>
        <w:right w:val="single" w:sz="4" w:space="0" w:color="000000"/>
      </w:pBdr>
      <w:spacing w:lineRule="auto" w:line="240" w:before="280" w:after="280"/>
      <w:ind w:left="0" w:right="0" w:hanging="0"/>
      <w:jc w:val="center"/>
      <w:textAlignment w:val="top"/>
    </w:pPr>
    <w:rPr>
      <w:rFonts w:eastAsia="Times New Roman" w:cs="Times New Roman"/>
      <w:szCs w:val="24"/>
      <w:lang w:eastAsia="ru-RU"/>
    </w:rPr>
  </w:style>
  <w:style w:type="paragraph" w:styleId="Xl277">
    <w:name w:val="xl277"/>
    <w:basedOn w:val="Normal"/>
    <w:qFormat/>
    <w:pPr>
      <w:pBdr>
        <w:top w:val="double" w:sz="6" w:space="0" w:color="000000"/>
        <w:left w:val="single" w:sz="4" w:space="0" w:color="000000"/>
      </w:pBdr>
      <w:spacing w:lineRule="auto" w:line="240" w:before="280" w:after="280"/>
      <w:ind w:left="0" w:right="0" w:hanging="0"/>
      <w:jc w:val="left"/>
      <w:textAlignment w:val="top"/>
    </w:pPr>
    <w:rPr>
      <w:rFonts w:eastAsia="Times New Roman" w:cs="Times New Roman"/>
      <w:szCs w:val="24"/>
      <w:lang w:eastAsia="ru-RU"/>
    </w:rPr>
  </w:style>
  <w:style w:type="paragraph" w:styleId="Xl278">
    <w:name w:val="xl278"/>
    <w:basedOn w:val="Normal"/>
    <w:qFormat/>
    <w:pPr>
      <w:pBdr>
        <w:top w:val="double" w:sz="6" w:space="0" w:color="000000"/>
      </w:pBdr>
      <w:spacing w:lineRule="auto" w:line="240" w:before="280" w:after="280"/>
      <w:ind w:left="0" w:right="0" w:hanging="0"/>
      <w:jc w:val="left"/>
    </w:pPr>
    <w:rPr>
      <w:rFonts w:eastAsia="Times New Roman" w:cs="Times New Roman"/>
      <w:szCs w:val="24"/>
      <w:lang w:eastAsia="ru-RU"/>
    </w:rPr>
  </w:style>
  <w:style w:type="paragraph" w:styleId="Xl279">
    <w:name w:val="xl279"/>
    <w:basedOn w:val="Normal"/>
    <w:qFormat/>
    <w:pPr>
      <w:pBdr>
        <w:top w:val="double" w:sz="6" w:space="0" w:color="000000"/>
        <w:left w:val="single" w:sz="4" w:space="0" w:color="000000"/>
        <w:bottom w:val="single" w:sz="4" w:space="0" w:color="000000"/>
      </w:pBdr>
      <w:spacing w:lineRule="auto" w:line="240" w:before="280" w:after="280"/>
      <w:ind w:left="0" w:right="0" w:hanging="0"/>
      <w:jc w:val="left"/>
      <w:textAlignment w:val="top"/>
    </w:pPr>
    <w:rPr>
      <w:rFonts w:eastAsia="Times New Roman" w:cs="Times New Roman"/>
      <w:szCs w:val="24"/>
      <w:lang w:eastAsia="ru-RU"/>
    </w:rPr>
  </w:style>
  <w:style w:type="paragraph" w:styleId="Xl280">
    <w:name w:val="xl280"/>
    <w:basedOn w:val="Normal"/>
    <w:qFormat/>
    <w:pPr>
      <w:pBdr>
        <w:top w:val="double" w:sz="6" w:space="0" w:color="000000"/>
        <w:bottom w:val="single" w:sz="4" w:space="0" w:color="000000"/>
      </w:pBdr>
      <w:spacing w:lineRule="auto" w:line="240" w:before="280" w:after="280"/>
      <w:ind w:left="0" w:right="0" w:hanging="0"/>
      <w:jc w:val="left"/>
      <w:textAlignment w:val="top"/>
    </w:pPr>
    <w:rPr>
      <w:rFonts w:eastAsia="Times New Roman" w:cs="Times New Roman"/>
      <w:szCs w:val="24"/>
      <w:lang w:eastAsia="ru-RU"/>
    </w:rPr>
  </w:style>
  <w:style w:type="paragraph" w:styleId="Xl281">
    <w:name w:val="xl281"/>
    <w:basedOn w:val="Normal"/>
    <w:qFormat/>
    <w:pPr>
      <w:pBdr>
        <w:top w:val="double" w:sz="6" w:space="0" w:color="000000"/>
        <w:left w:val="single" w:sz="4" w:space="0" w:color="000000"/>
        <w:right w:val="double" w:sz="6" w:space="0" w:color="000000"/>
      </w:pBdr>
      <w:spacing w:lineRule="auto" w:line="240" w:before="280" w:after="280"/>
      <w:ind w:left="0" w:right="0" w:hanging="0"/>
      <w:jc w:val="center"/>
      <w:textAlignment w:val="top"/>
    </w:pPr>
    <w:rPr>
      <w:rFonts w:eastAsia="Times New Roman" w:cs="Times New Roman"/>
      <w:szCs w:val="24"/>
      <w:lang w:eastAsia="ru-RU"/>
    </w:rPr>
  </w:style>
  <w:style w:type="paragraph" w:styleId="Xl282">
    <w:name w:val="xl282"/>
    <w:basedOn w:val="Normal"/>
    <w:qFormat/>
    <w:pPr>
      <w:spacing w:lineRule="auto" w:line="240" w:before="280" w:after="280"/>
      <w:ind w:left="0" w:right="0" w:hanging="0"/>
      <w:jc w:val="left"/>
    </w:pPr>
    <w:rPr>
      <w:rFonts w:eastAsia="Times New Roman" w:cs="Times New Roman"/>
      <w:szCs w:val="24"/>
      <w:lang w:eastAsia="ru-RU"/>
    </w:rPr>
  </w:style>
  <w:style w:type="paragraph" w:styleId="Xl283">
    <w:name w:val="xl283"/>
    <w:basedOn w:val="Normal"/>
    <w:qFormat/>
    <w:pPr>
      <w:pBdr>
        <w:left w:val="double" w:sz="6" w:space="0" w:color="000000"/>
        <w:right w:val="single" w:sz="4" w:space="0" w:color="000000"/>
      </w:pBdr>
      <w:spacing w:lineRule="auto" w:line="240" w:before="280" w:after="280"/>
      <w:ind w:left="0" w:right="0" w:hanging="0"/>
      <w:jc w:val="center"/>
      <w:textAlignment w:val="top"/>
    </w:pPr>
    <w:rPr>
      <w:rFonts w:eastAsia="Times New Roman" w:cs="Times New Roman"/>
      <w:szCs w:val="24"/>
      <w:lang w:eastAsia="ru-RU"/>
    </w:rPr>
  </w:style>
  <w:style w:type="paragraph" w:styleId="Xl284">
    <w:name w:val="xl284"/>
    <w:basedOn w:val="Normal"/>
    <w:qFormat/>
    <w:pPr>
      <w:pBdr>
        <w:left w:val="single" w:sz="4" w:space="0" w:color="000000"/>
        <w:right w:val="single" w:sz="4" w:space="0" w:color="000000"/>
      </w:pBdr>
      <w:spacing w:lineRule="auto" w:line="240" w:before="280" w:after="280"/>
      <w:ind w:left="0" w:right="0" w:hanging="0"/>
      <w:jc w:val="left"/>
    </w:pPr>
    <w:rPr>
      <w:rFonts w:eastAsia="Times New Roman" w:cs="Times New Roman"/>
      <w:szCs w:val="24"/>
      <w:lang w:eastAsia="ru-RU"/>
    </w:rPr>
  </w:style>
  <w:style w:type="paragraph" w:styleId="Xl285">
    <w:name w:val="xl285"/>
    <w:basedOn w:val="Normal"/>
    <w:qFormat/>
    <w:pPr>
      <w:pBdr>
        <w:left w:val="single" w:sz="4" w:space="0" w:color="000000"/>
        <w:right w:val="double" w:sz="6" w:space="0" w:color="000000"/>
      </w:pBdr>
      <w:spacing w:lineRule="auto" w:line="240" w:before="280" w:after="280"/>
      <w:ind w:left="0" w:right="0" w:hanging="0"/>
      <w:jc w:val="center"/>
      <w:textAlignment w:val="top"/>
    </w:pPr>
    <w:rPr>
      <w:rFonts w:eastAsia="Times New Roman" w:cs="Times New Roman"/>
      <w:szCs w:val="24"/>
      <w:lang w:eastAsia="ru-RU"/>
    </w:rPr>
  </w:style>
  <w:style w:type="paragraph" w:styleId="Xl286">
    <w:name w:val="xl286"/>
    <w:basedOn w:val="Normal"/>
    <w:qFormat/>
    <w:pPr>
      <w:pBdr>
        <w:left w:val="double" w:sz="6" w:space="0" w:color="000000"/>
        <w:right w:val="single" w:sz="4" w:space="0" w:color="000000"/>
      </w:pBdr>
      <w:spacing w:lineRule="auto" w:line="240" w:before="280" w:after="280"/>
      <w:ind w:left="0" w:right="0" w:hanging="0"/>
      <w:jc w:val="left"/>
    </w:pPr>
    <w:rPr>
      <w:rFonts w:eastAsia="Times New Roman" w:cs="Times New Roman"/>
      <w:szCs w:val="24"/>
      <w:lang w:eastAsia="ru-RU"/>
    </w:rPr>
  </w:style>
  <w:style w:type="paragraph" w:styleId="Xl287">
    <w:name w:val="xl287"/>
    <w:basedOn w:val="Normal"/>
    <w:qFormat/>
    <w:pPr>
      <w:pBdr>
        <w:left w:val="single" w:sz="4" w:space="0" w:color="000000"/>
      </w:pBdr>
      <w:spacing w:lineRule="auto" w:line="240" w:before="280" w:after="280"/>
      <w:ind w:left="0" w:right="0" w:hanging="0"/>
      <w:jc w:val="left"/>
    </w:pPr>
    <w:rPr>
      <w:rFonts w:eastAsia="Times New Roman" w:cs="Times New Roman"/>
      <w:szCs w:val="24"/>
      <w:lang w:eastAsia="ru-RU"/>
    </w:rPr>
  </w:style>
  <w:style w:type="paragraph" w:styleId="Xl288">
    <w:name w:val="xl288"/>
    <w:basedOn w:val="Normal"/>
    <w:qFormat/>
    <w:pPr>
      <w:pBdr>
        <w:left w:val="single" w:sz="4" w:space="0" w:color="000000"/>
      </w:pBdr>
      <w:spacing w:lineRule="auto" w:line="240" w:before="280" w:after="280"/>
      <w:ind w:left="0" w:right="0" w:hanging="0"/>
      <w:jc w:val="center"/>
    </w:pPr>
    <w:rPr>
      <w:rFonts w:eastAsia="Times New Roman" w:cs="Times New Roman"/>
      <w:szCs w:val="24"/>
      <w:lang w:eastAsia="ru-RU"/>
    </w:rPr>
  </w:style>
  <w:style w:type="paragraph" w:styleId="Xl289">
    <w:name w:val="xl289"/>
    <w:basedOn w:val="Normal"/>
    <w:qFormat/>
    <w:pPr>
      <w:pBdr>
        <w:left w:val="single" w:sz="4" w:space="0" w:color="000000"/>
        <w:right w:val="double" w:sz="6" w:space="0" w:color="000000"/>
      </w:pBdr>
      <w:spacing w:lineRule="auto" w:line="240" w:before="280" w:after="280"/>
      <w:ind w:left="0" w:right="0" w:hanging="0"/>
      <w:jc w:val="center"/>
    </w:pPr>
    <w:rPr>
      <w:rFonts w:eastAsia="Times New Roman" w:cs="Times New Roman"/>
      <w:szCs w:val="24"/>
      <w:lang w:eastAsia="ru-RU"/>
    </w:rPr>
  </w:style>
  <w:style w:type="paragraph" w:styleId="NormalRus">
    <w:name w:val="Normal Rus"/>
    <w:qFormat/>
    <w:pPr>
      <w:widowControl/>
      <w:suppressAutoHyphens w:val="true"/>
      <w:overflowPunct w:val="true"/>
      <w:bidi w:val="0"/>
      <w:spacing w:lineRule="auto" w:line="240" w:before="120" w:after="120"/>
      <w:ind w:left="567" w:right="0" w:firstLine="567"/>
      <w:jc w:val="left"/>
    </w:pPr>
    <w:rPr>
      <w:rFonts w:ascii="Baltica" w:hAnsi="Baltica" w:eastAsia="Times New Roman" w:cs="Times New Roman"/>
      <w:color w:val="auto"/>
      <w:kern w:val="0"/>
      <w:sz w:val="24"/>
      <w:szCs w:val="20"/>
      <w:lang w:val="en-US" w:eastAsia="ru-RU" w:bidi="ar-SA"/>
    </w:rPr>
  </w:style>
  <w:style w:type="paragraph" w:styleId="219">
    <w:name w:val="Стиль2"/>
    <w:basedOn w:val="Heading2"/>
    <w:autoRedefine/>
    <w:qFormat/>
    <w:pPr>
      <w:keepLines w:val="false"/>
      <w:numPr>
        <w:ilvl w:val="0"/>
        <w:numId w:val="1"/>
      </w:numPr>
      <w:suppressAutoHyphens w:val="false"/>
      <w:spacing w:before="360" w:after="240"/>
      <w:jc w:val="center"/>
    </w:pPr>
    <w:rPr>
      <w:rFonts w:ascii="Arial" w:hAnsi="Arial" w:eastAsia="Times New Roman" w:cs="Arial"/>
      <w:i/>
      <w:color w:val="auto"/>
      <w:szCs w:val="24"/>
      <w:lang w:eastAsia="ru-RU"/>
    </w:rPr>
  </w:style>
  <w:style w:type="paragraph" w:styleId="011">
    <w:name w:val="01_Текст общих данных"/>
    <w:basedOn w:val="Normal"/>
    <w:qFormat/>
    <w:pPr>
      <w:widowControl w:val="false"/>
      <w:tabs>
        <w:tab w:val="clear" w:pos="708"/>
        <w:tab w:val="left" w:pos="1985" w:leader="none"/>
      </w:tabs>
      <w:ind w:left="284" w:right="284" w:firstLine="709"/>
    </w:pPr>
    <w:rPr>
      <w:rFonts w:ascii="Arial" w:hAnsi="Arial" w:eastAsia="Times New Roman" w:cs="Times New Roman"/>
      <w:szCs w:val="20"/>
    </w:rPr>
  </w:style>
  <w:style w:type="paragraph" w:styleId="Style104">
    <w:name w:val="Текст обычный"/>
    <w:basedOn w:val="Normal"/>
    <w:link w:val="Style24"/>
    <w:qFormat/>
    <w:pPr>
      <w:widowControl w:val="false"/>
      <w:spacing w:before="0" w:after="120"/>
      <w:ind w:left="170" w:right="0" w:firstLine="709"/>
    </w:pPr>
    <w:rPr>
      <w:rFonts w:eastAsia="Times New Roman" w:cs="Times New Roman"/>
      <w:szCs w:val="26"/>
      <w:lang w:eastAsia="ru-RU"/>
    </w:rPr>
  </w:style>
  <w:style w:type="paragraph" w:styleId="Style105">
    <w:name w:val="Стиль отчёта"/>
    <w:basedOn w:val="Normal"/>
    <w:link w:val="Style25"/>
    <w:qFormat/>
    <w:pPr>
      <w:ind w:left="0" w:right="0" w:firstLine="709"/>
    </w:pPr>
    <w:rPr>
      <w:rFonts w:eastAsia="Times New Roman" w:cs="Times New Roman"/>
    </w:rPr>
  </w:style>
  <w:style w:type="paragraph" w:styleId="121256">
    <w:name w:val="Стиль 12 пт По ширине Первая строка:  125 см После:  6 пт"/>
    <w:basedOn w:val="Normal"/>
    <w:qFormat/>
    <w:pPr>
      <w:ind w:left="142" w:right="0" w:firstLine="709"/>
    </w:pPr>
    <w:rPr>
      <w:rFonts w:eastAsia="Times New Roman" w:cs="Times New Roman"/>
      <w:szCs w:val="20"/>
      <w:lang w:eastAsia="ru-RU"/>
    </w:rPr>
  </w:style>
  <w:style w:type="paragraph" w:styleId="1206309">
    <w:name w:val="Стиль 12 пт По ширине Слева:  0.63 см Первая строка:  0.9 см Сп..."/>
    <w:basedOn w:val="Normal"/>
    <w:qFormat/>
    <w:pPr>
      <w:ind w:left="357" w:right="227" w:firstLine="510"/>
    </w:pPr>
    <w:rPr>
      <w:rFonts w:eastAsia="Times New Roman" w:cs="Times New Roman"/>
      <w:sz w:val="28"/>
      <w:szCs w:val="20"/>
      <w:lang w:eastAsia="ru-RU"/>
    </w:rPr>
  </w:style>
  <w:style w:type="paragraph" w:styleId="220">
    <w:name w:val="Абзац списка2"/>
    <w:basedOn w:val="Normal"/>
    <w:qFormat/>
    <w:pPr>
      <w:widowControl w:val="false"/>
      <w:spacing w:lineRule="auto" w:line="240"/>
      <w:ind w:left="720" w:right="0" w:hanging="0"/>
      <w:jc w:val="left"/>
    </w:pPr>
    <w:rPr>
      <w:rFonts w:ascii="Cambria" w:hAnsi="Cambria" w:eastAsia="Times New Roman" w:cs="Times New Roman"/>
      <w:szCs w:val="24"/>
      <w:lang w:eastAsia="ru-RU"/>
    </w:rPr>
  </w:style>
  <w:style w:type="paragraph" w:styleId="315">
    <w:name w:val="Без интервала3"/>
    <w:qFormat/>
    <w:pPr>
      <w:widowControl/>
      <w:suppressAutoHyphens w:val="true"/>
      <w:overflowPunct w:val="true"/>
      <w:bidi w:val="0"/>
      <w:spacing w:lineRule="auto" w:line="240" w:before="0" w:after="0"/>
      <w:jc w:val="left"/>
    </w:pPr>
    <w:rPr>
      <w:rFonts w:ascii="Calibri" w:hAnsi="Calibri" w:eastAsia="Times New Roman" w:cs="Calibri"/>
      <w:color w:val="auto"/>
      <w:kern w:val="0"/>
      <w:sz w:val="22"/>
      <w:szCs w:val="22"/>
      <w:lang w:val="ru-RU" w:eastAsia="en-US" w:bidi="ar-SA"/>
    </w:rPr>
  </w:style>
  <w:style w:type="paragraph" w:styleId="224">
    <w:name w:val="Заголовок оглавления2"/>
    <w:basedOn w:val="Heading1"/>
    <w:next w:val="Normal"/>
    <w:qFormat/>
    <w:pPr>
      <w:pageBreakBefore w:val="false"/>
      <w:spacing w:lineRule="auto" w:line="276" w:before="480" w:after="0"/>
      <w:outlineLvl w:val="9"/>
    </w:pPr>
    <w:rPr>
      <w:rFonts w:ascii="Cambria" w:hAnsi="Cambria" w:eastAsia="Times New Roman" w:cs="Cambria"/>
      <w:color w:val="365F91"/>
      <w:sz w:val="28"/>
      <w:lang w:eastAsia="ru-RU"/>
    </w:rPr>
  </w:style>
  <w:style w:type="paragraph" w:styleId="Style106">
    <w:name w:val="Колонтитул(бок.)"/>
    <w:basedOn w:val="Normal"/>
    <w:link w:val="Style26"/>
    <w:qFormat/>
    <w:pPr>
      <w:ind w:left="0" w:right="0" w:hanging="0"/>
      <w:jc w:val="center"/>
    </w:pPr>
    <w:rPr>
      <w:rFonts w:ascii="ISOCPEUR" w:hAnsi="ISOCPEUR" w:eastAsia="Times New Roman" w:cs="ISOCPEUR"/>
      <w:i/>
      <w:iCs/>
      <w:spacing w:val="-20"/>
      <w:sz w:val="28"/>
      <w:szCs w:val="28"/>
      <w:lang w:eastAsia="ru-RU"/>
    </w:rPr>
  </w:style>
  <w:style w:type="paragraph" w:styleId="Style107">
    <w:name w:val="Колонтитул(номер)"/>
    <w:basedOn w:val="Normal"/>
    <w:qFormat/>
    <w:pPr>
      <w:ind w:left="0" w:right="0" w:hanging="0"/>
      <w:jc w:val="center"/>
    </w:pPr>
    <w:rPr>
      <w:rFonts w:ascii="ISOCPEUR" w:hAnsi="ISOCPEUR" w:eastAsia="Times New Roman" w:cs="ISOCPEUR"/>
      <w:i/>
      <w:iCs/>
      <w:szCs w:val="24"/>
      <w:lang w:eastAsia="ru-RU"/>
    </w:rPr>
  </w:style>
  <w:style w:type="paragraph" w:styleId="Style108">
    <w:name w:val="Колонтитул(надпись)"/>
    <w:basedOn w:val="Normal"/>
    <w:qFormat/>
    <w:pPr>
      <w:ind w:left="0" w:right="0" w:hanging="0"/>
      <w:jc w:val="left"/>
    </w:pPr>
    <w:rPr>
      <w:rFonts w:ascii="ISOCPEUR" w:hAnsi="ISOCPEUR" w:eastAsia="Times New Roman" w:cs="ISOCPEUR"/>
      <w:i/>
      <w:iCs/>
      <w:sz w:val="18"/>
      <w:szCs w:val="18"/>
      <w:lang w:eastAsia="ru-RU"/>
    </w:rPr>
  </w:style>
  <w:style w:type="paragraph" w:styleId="Style109">
    <w:name w:val="Колонтитул(номер_низ)"/>
    <w:basedOn w:val="Normal"/>
    <w:qFormat/>
    <w:pPr>
      <w:spacing w:before="120" w:after="0"/>
      <w:ind w:left="0" w:right="0" w:hanging="0"/>
      <w:jc w:val="center"/>
    </w:pPr>
    <w:rPr>
      <w:rFonts w:ascii="ISOCPEUR" w:hAnsi="ISOCPEUR" w:eastAsia="Times New Roman" w:cs="ISOCPEUR"/>
      <w:i/>
      <w:iCs/>
      <w:szCs w:val="24"/>
      <w:lang w:eastAsia="ru-RU"/>
    </w:rPr>
  </w:style>
  <w:style w:type="paragraph" w:styleId="Style111">
    <w:name w:val="Основной"/>
    <w:basedOn w:val="Normal"/>
    <w:qFormat/>
    <w:pPr>
      <w:overflowPunct w:val="false"/>
      <w:spacing w:lineRule="auto" w:line="240"/>
      <w:ind w:left="0" w:right="0" w:firstLine="709"/>
    </w:pPr>
    <w:rPr>
      <w:rFonts w:eastAsia="Times New Roman" w:cs="Times New Roman"/>
      <w:szCs w:val="24"/>
      <w:lang w:eastAsia="ru-RU"/>
    </w:rPr>
  </w:style>
  <w:style w:type="paragraph" w:styleId="Index1">
    <w:name w:val="index 1"/>
    <w:basedOn w:val="Normal"/>
    <w:next w:val="Normal"/>
    <w:autoRedefine/>
    <w:qFormat/>
    <w:pPr>
      <w:spacing w:lineRule="auto" w:line="240"/>
      <w:ind w:left="200" w:right="0" w:hanging="200"/>
      <w:jc w:val="left"/>
    </w:pPr>
    <w:rPr>
      <w:rFonts w:eastAsia="Times New Roman" w:cs="Times New Roman"/>
      <w:sz w:val="20"/>
      <w:szCs w:val="20"/>
      <w:lang w:eastAsia="ru-RU"/>
    </w:rPr>
  </w:style>
  <w:style w:type="paragraph" w:styleId="Indexheading1">
    <w:name w:val="index heading1"/>
    <w:basedOn w:val="Normal"/>
    <w:next w:val="Index1"/>
    <w:qFormat/>
    <w:pPr>
      <w:spacing w:lineRule="auto" w:line="240"/>
      <w:ind w:left="0" w:right="0" w:hanging="0"/>
      <w:jc w:val="left"/>
    </w:pPr>
    <w:rPr>
      <w:rFonts w:eastAsia="Times New Roman" w:cs="Times New Roman"/>
      <w:szCs w:val="24"/>
      <w:lang w:eastAsia="ru-RU"/>
    </w:rPr>
  </w:style>
  <w:style w:type="paragraph" w:styleId="Font0">
    <w:name w:val="font0"/>
    <w:basedOn w:val="Normal"/>
    <w:qFormat/>
    <w:pPr>
      <w:spacing w:lineRule="auto" w:line="240" w:before="280" w:after="280"/>
      <w:ind w:left="0" w:right="0" w:hanging="0"/>
      <w:jc w:val="left"/>
    </w:pPr>
    <w:rPr>
      <w:rFonts w:ascii="Arial CYR" w:hAnsi="Arial CYR" w:eastAsia="Times New Roman" w:cs="Arial CYR"/>
      <w:sz w:val="20"/>
      <w:szCs w:val="20"/>
      <w:lang w:eastAsia="ru-RU"/>
    </w:rPr>
  </w:style>
  <w:style w:type="paragraph" w:styleId="Font7">
    <w:name w:val="font7"/>
    <w:basedOn w:val="Normal"/>
    <w:qFormat/>
    <w:pPr>
      <w:spacing w:lineRule="auto" w:line="240" w:before="280" w:after="280"/>
      <w:ind w:left="0" w:right="0" w:hanging="0"/>
      <w:jc w:val="left"/>
    </w:pPr>
    <w:rPr>
      <w:rFonts w:ascii="Arial CYR" w:hAnsi="Arial CYR" w:eastAsia="Times New Roman" w:cs="Arial CYR"/>
      <w:szCs w:val="24"/>
      <w:lang w:eastAsia="ru-RU"/>
    </w:rPr>
  </w:style>
  <w:style w:type="paragraph" w:styleId="Font8">
    <w:name w:val="font8"/>
    <w:basedOn w:val="Normal"/>
    <w:qFormat/>
    <w:pPr>
      <w:spacing w:lineRule="auto" w:line="240" w:before="280" w:after="280"/>
      <w:ind w:left="0" w:right="0" w:hanging="0"/>
      <w:jc w:val="left"/>
    </w:pPr>
    <w:rPr>
      <w:rFonts w:ascii="Arial" w:hAnsi="Arial" w:eastAsia="Times New Roman" w:cs="Arial"/>
      <w:szCs w:val="24"/>
      <w:lang w:eastAsia="ru-RU"/>
    </w:rPr>
  </w:style>
  <w:style w:type="paragraph" w:styleId="Font9">
    <w:name w:val="font9"/>
    <w:basedOn w:val="Normal"/>
    <w:qFormat/>
    <w:pPr>
      <w:spacing w:lineRule="auto" w:line="240" w:before="280" w:after="280"/>
      <w:ind w:left="0" w:right="0" w:hanging="0"/>
      <w:jc w:val="left"/>
    </w:pPr>
    <w:rPr>
      <w:rFonts w:ascii="Arial CYR" w:hAnsi="Arial CYR" w:eastAsia="Times New Roman" w:cs="Arial CYR"/>
      <w:sz w:val="20"/>
      <w:szCs w:val="20"/>
      <w:lang w:eastAsia="ru-RU"/>
    </w:rPr>
  </w:style>
  <w:style w:type="paragraph" w:styleId="Font10">
    <w:name w:val="font10"/>
    <w:basedOn w:val="Normal"/>
    <w:qFormat/>
    <w:pPr>
      <w:spacing w:lineRule="auto" w:line="240" w:before="280" w:after="280"/>
      <w:ind w:left="0" w:right="0" w:hanging="0"/>
      <w:jc w:val="left"/>
    </w:pPr>
    <w:rPr>
      <w:rFonts w:ascii="Arial CYR" w:hAnsi="Arial CYR" w:eastAsia="Times New Roman" w:cs="Arial CYR"/>
      <w:b/>
      <w:bCs/>
      <w:sz w:val="20"/>
      <w:szCs w:val="20"/>
      <w:lang w:eastAsia="ru-RU"/>
    </w:rPr>
  </w:style>
  <w:style w:type="paragraph" w:styleId="Font11">
    <w:name w:val="font11"/>
    <w:basedOn w:val="Normal"/>
    <w:qFormat/>
    <w:pPr>
      <w:spacing w:lineRule="auto" w:line="240" w:before="280" w:after="280"/>
      <w:ind w:left="0" w:right="0" w:hanging="0"/>
      <w:jc w:val="left"/>
    </w:pPr>
    <w:rPr>
      <w:rFonts w:ascii="Symbol" w:hAnsi="Symbol" w:eastAsia="Times New Roman" w:cs="Symbol"/>
      <w:b/>
      <w:bCs/>
      <w:sz w:val="20"/>
      <w:szCs w:val="20"/>
      <w:lang w:eastAsia="ru-RU"/>
    </w:rPr>
  </w:style>
  <w:style w:type="paragraph" w:styleId="Style112">
    <w:name w:val="Стиль Междустр.интервал:  полуторный"/>
    <w:basedOn w:val="Normal"/>
    <w:qFormat/>
    <w:pPr>
      <w:widowControl w:val="false"/>
      <w:overflowPunct w:val="false"/>
      <w:ind w:left="0" w:right="0" w:firstLine="720"/>
      <w:textAlignment w:val="baseline"/>
    </w:pPr>
    <w:rPr>
      <w:rFonts w:eastAsia="Times New Roman" w:cs="Times New Roman"/>
      <w:szCs w:val="24"/>
      <w:lang w:eastAsia="ru-RU"/>
    </w:rPr>
  </w:style>
  <w:style w:type="paragraph" w:styleId="Style113">
    <w:name w:val="Текстовое наполнение"/>
    <w:basedOn w:val="Normal"/>
    <w:link w:val="Style27"/>
    <w:qFormat/>
    <w:pPr>
      <w:ind w:left="0" w:right="0" w:firstLine="709"/>
    </w:pPr>
    <w:rPr>
      <w:rFonts w:eastAsia="Calibri" w:cs="Times New Roman"/>
      <w:szCs w:val="24"/>
      <w:lang w:val="x-none"/>
    </w:rPr>
  </w:style>
  <w:style w:type="paragraph" w:styleId="Style114">
    <w:name w:val="Первое"/>
    <w:basedOn w:val="Normal"/>
    <w:link w:val="Style28"/>
    <w:qFormat/>
    <w:pPr>
      <w:spacing w:before="120" w:after="120"/>
      <w:ind w:left="0" w:right="0" w:hanging="0"/>
      <w:jc w:val="center"/>
    </w:pPr>
    <w:rPr>
      <w:rFonts w:eastAsia="Calibri" w:cs="Times New Roman"/>
      <w:b/>
      <w:caps/>
      <w:sz w:val="28"/>
      <w:szCs w:val="28"/>
      <w:lang w:val="x-none"/>
    </w:rPr>
  </w:style>
  <w:style w:type="paragraph" w:styleId="Style115">
    <w:name w:val="Третье"/>
    <w:basedOn w:val="Normal"/>
    <w:link w:val="Style29"/>
    <w:qFormat/>
    <w:pPr>
      <w:ind w:left="0" w:right="0" w:hanging="0"/>
    </w:pPr>
    <w:rPr>
      <w:rFonts w:eastAsia="Calibri" w:cs="Times New Roman"/>
      <w:szCs w:val="24"/>
      <w:u w:val="single"/>
      <w:lang w:val="x-none"/>
    </w:rPr>
  </w:style>
  <w:style w:type="paragraph" w:styleId="Style116">
    <w:name w:val="Второе_Приложения"/>
    <w:basedOn w:val="Normal"/>
    <w:link w:val="Style31"/>
    <w:qFormat/>
    <w:pPr>
      <w:spacing w:lineRule="auto" w:line="276" w:before="0" w:after="200"/>
      <w:ind w:left="0" w:right="0" w:hanging="0"/>
      <w:jc w:val="right"/>
    </w:pPr>
    <w:rPr>
      <w:rFonts w:eastAsia="Calibri" w:cs="Times New Roman"/>
      <w:b/>
      <w:i/>
      <w:szCs w:val="24"/>
      <w:lang w:val="x-none"/>
    </w:rPr>
  </w:style>
  <w:style w:type="paragraph" w:styleId="136">
    <w:name w:val="Список1"/>
    <w:basedOn w:val="Normal"/>
    <w:qFormat/>
    <w:pPr>
      <w:spacing w:lineRule="auto" w:line="240" w:before="0" w:after="120"/>
      <w:ind w:left="2291" w:right="0" w:hanging="360"/>
    </w:pPr>
    <w:rPr>
      <w:rFonts w:eastAsia="Times New Roman" w:cs="Times New Roman"/>
      <w:spacing w:val="-2"/>
      <w:szCs w:val="20"/>
      <w:lang w:eastAsia="ru-RU"/>
    </w:rPr>
  </w:style>
  <w:style w:type="paragraph" w:styleId="Lista">
    <w:name w:val="list a"/>
    <w:basedOn w:val="Normal"/>
    <w:qFormat/>
    <w:pPr>
      <w:tabs>
        <w:tab w:val="clear" w:pos="708"/>
        <w:tab w:val="left" w:pos="1176" w:leader="none"/>
      </w:tabs>
      <w:ind w:left="1190" w:right="0" w:hanging="294"/>
    </w:pPr>
    <w:rPr>
      <w:rFonts w:eastAsia="Times New Roman" w:cs="Times New Roman"/>
      <w:szCs w:val="20"/>
      <w:lang w:val="en-US" w:eastAsia="ru-RU"/>
    </w:rPr>
  </w:style>
  <w:style w:type="paragraph" w:styleId="TableHeader">
    <w:name w:val="Table Header"/>
    <w:basedOn w:val="Normal"/>
    <w:qFormat/>
    <w:pPr>
      <w:spacing w:before="120" w:after="0"/>
      <w:ind w:left="0" w:right="0" w:hanging="0"/>
      <w:jc w:val="right"/>
    </w:pPr>
    <w:rPr>
      <w:rFonts w:eastAsia="Times New Roman" w:cs="Times New Roman"/>
      <w:i/>
      <w:iCs/>
      <w:szCs w:val="20"/>
      <w:lang w:val="en-US" w:eastAsia="ru-RU"/>
    </w:rPr>
  </w:style>
  <w:style w:type="paragraph" w:styleId="Tableintext">
    <w:name w:val="table in text"/>
    <w:basedOn w:val="Normal"/>
    <w:qFormat/>
    <w:pPr>
      <w:tabs>
        <w:tab w:val="clear" w:pos="708"/>
        <w:tab w:val="right" w:pos="7655" w:leader="none"/>
      </w:tabs>
      <w:ind w:left="851" w:right="1416" w:hanging="0"/>
    </w:pPr>
    <w:rPr>
      <w:rFonts w:eastAsia="Times New Roman" w:cs="Times New Roman"/>
      <w:szCs w:val="20"/>
      <w:lang w:eastAsia="ru-RU"/>
    </w:rPr>
  </w:style>
  <w:style w:type="paragraph" w:styleId="TableName">
    <w:name w:val="Table Name"/>
    <w:basedOn w:val="Normal"/>
    <w:qFormat/>
    <w:pPr>
      <w:spacing w:lineRule="auto" w:line="240" w:before="0" w:after="120"/>
      <w:ind w:left="0" w:right="0" w:hanging="0"/>
      <w:jc w:val="center"/>
    </w:pPr>
    <w:rPr>
      <w:rFonts w:eastAsia="Times New Roman" w:cs="Times New Roman"/>
      <w:b/>
      <w:bCs/>
      <w:szCs w:val="20"/>
      <w:lang w:eastAsia="ru-RU"/>
    </w:rPr>
  </w:style>
  <w:style w:type="paragraph" w:styleId="6pt">
    <w:name w:val="Обычный + 6pt"/>
    <w:basedOn w:val="Normal"/>
    <w:qFormat/>
    <w:pPr>
      <w:spacing w:before="240" w:after="0"/>
      <w:ind w:left="0" w:right="0" w:firstLine="567"/>
    </w:pPr>
    <w:rPr>
      <w:rFonts w:eastAsia="Times New Roman" w:cs="Times New Roman"/>
      <w:szCs w:val="20"/>
      <w:lang w:eastAsia="ru-RU"/>
    </w:rPr>
  </w:style>
  <w:style w:type="paragraph" w:styleId="Listintable">
    <w:name w:val="list in table"/>
    <w:basedOn w:val="136"/>
    <w:qFormat/>
    <w:pPr>
      <w:spacing w:before="60" w:after="40"/>
    </w:pPr>
    <w:rPr/>
  </w:style>
  <w:style w:type="paragraph" w:styleId="Formula">
    <w:name w:val="Formula"/>
    <w:basedOn w:val="Normal"/>
    <w:qFormat/>
    <w:pPr>
      <w:tabs>
        <w:tab w:val="clear" w:pos="708"/>
        <w:tab w:val="left" w:pos="5103" w:leader="none"/>
      </w:tabs>
      <w:ind w:left="0" w:right="0" w:hanging="0"/>
      <w:jc w:val="center"/>
    </w:pPr>
    <w:rPr>
      <w:rFonts w:eastAsia="Times New Roman" w:cs="Times New Roman"/>
      <w:i/>
      <w:iCs/>
      <w:szCs w:val="20"/>
      <w:lang w:eastAsia="ru-RU"/>
    </w:rPr>
  </w:style>
  <w:style w:type="paragraph" w:styleId="225">
    <w:name w:val="Название 2"/>
    <w:basedOn w:val="Title"/>
    <w:qFormat/>
    <w:pPr>
      <w:spacing w:before="240" w:after="360"/>
    </w:pPr>
    <w:rPr>
      <w:spacing w:val="24"/>
      <w:sz w:val="32"/>
      <w:lang w:val="en-US"/>
    </w:rPr>
  </w:style>
  <w:style w:type="paragraph" w:styleId="Style117">
    <w:name w:val="Стиль"/>
    <w:qFormat/>
    <w:pPr>
      <w:widowControl/>
      <w:suppressAutoHyphens w:val="true"/>
      <w:overflowPunct w:val="true"/>
      <w:bidi w:val="0"/>
      <w:spacing w:lineRule="auto" w:line="240" w:before="0" w:after="0"/>
      <w:ind w:left="0" w:right="0" w:firstLine="567"/>
      <w:jc w:val="both"/>
    </w:pPr>
    <w:rPr>
      <w:rFonts w:ascii="TimesET" w:hAnsi="TimesET" w:eastAsia="Times New Roman" w:cs="Times New Roman"/>
      <w:color w:val="auto"/>
      <w:kern w:val="0"/>
      <w:sz w:val="24"/>
      <w:szCs w:val="20"/>
      <w:lang w:val="ru-RU" w:eastAsia="ru-RU" w:bidi="ar-SA"/>
    </w:rPr>
  </w:style>
  <w:style w:type="paragraph" w:styleId="--">
    <w:name w:val="Влад-заг-таб"/>
    <w:basedOn w:val="Normal"/>
    <w:qFormat/>
    <w:pPr>
      <w:keepNext w:val="true"/>
      <w:spacing w:lineRule="auto" w:line="240"/>
      <w:ind w:left="0" w:right="0" w:hanging="0"/>
      <w:jc w:val="center"/>
    </w:pPr>
    <w:rPr>
      <w:rFonts w:eastAsia="Times New Roman" w:cs="Times New Roman"/>
      <w:b/>
      <w:bCs/>
      <w:sz w:val="26"/>
      <w:szCs w:val="24"/>
      <w:lang w:eastAsia="ru-RU"/>
    </w:rPr>
  </w:style>
  <w:style w:type="paragraph" w:styleId="226">
    <w:name w:val="Основной текст с отступом2"/>
    <w:basedOn w:val="Normal"/>
    <w:qFormat/>
    <w:pPr>
      <w:spacing w:lineRule="atLeast" w:line="240"/>
      <w:ind w:left="0" w:right="0" w:firstLine="397"/>
    </w:pPr>
    <w:rPr>
      <w:rFonts w:ascii="Baltica" w:hAnsi="Baltica" w:eastAsia="Times New Roman" w:cs="Times New Roman"/>
      <w:szCs w:val="24"/>
      <w:lang w:val="en-US" w:eastAsia="ru-RU"/>
    </w:rPr>
  </w:style>
  <w:style w:type="paragraph" w:styleId="331">
    <w:name w:val="Основной текст с отступом 33"/>
    <w:basedOn w:val="Normal"/>
    <w:qFormat/>
    <w:pPr>
      <w:overflowPunct w:val="false"/>
      <w:spacing w:lineRule="auto" w:line="240"/>
      <w:ind w:left="0" w:right="0" w:firstLine="397"/>
    </w:pPr>
    <w:rPr>
      <w:rFonts w:eastAsia="Times New Roman" w:cs="Times New Roman"/>
      <w:szCs w:val="20"/>
      <w:lang w:eastAsia="ru-RU"/>
    </w:rPr>
  </w:style>
  <w:style w:type="paragraph" w:styleId="Xl35">
    <w:name w:val="xl35"/>
    <w:basedOn w:val="Normal"/>
    <w:qFormat/>
    <w:pPr>
      <w:pBdr>
        <w:left w:val="single" w:sz="4" w:space="0" w:color="000000"/>
        <w:bottom w:val="single" w:sz="4" w:space="0" w:color="000000"/>
        <w:right w:val="single" w:sz="4" w:space="0" w:color="000000"/>
      </w:pBdr>
      <w:spacing w:lineRule="auto" w:line="240" w:before="280" w:after="280"/>
      <w:ind w:left="0" w:right="0" w:hanging="0"/>
      <w:jc w:val="center"/>
      <w:textAlignment w:val="center"/>
    </w:pPr>
    <w:rPr>
      <w:rFonts w:ascii="Arial" w:hAnsi="Arial" w:eastAsia="Arial Unicode MS" w:cs="Arial"/>
      <w:sz w:val="18"/>
      <w:szCs w:val="18"/>
      <w:lang w:eastAsia="ru-RU"/>
    </w:rPr>
  </w:style>
  <w:style w:type="paragraph" w:styleId="137">
    <w:name w:val="Текст1"/>
    <w:basedOn w:val="Normal"/>
    <w:qFormat/>
    <w:pPr>
      <w:spacing w:lineRule="auto" w:line="240"/>
      <w:ind w:left="0" w:right="0" w:hanging="0"/>
      <w:jc w:val="left"/>
    </w:pPr>
    <w:rPr>
      <w:rFonts w:ascii="Courier New" w:hAnsi="Courier New" w:eastAsia="Times New Roman" w:cs="Times New Roman"/>
      <w:sz w:val="20"/>
      <w:szCs w:val="20"/>
      <w:lang w:eastAsia="ru-RU"/>
    </w:rPr>
  </w:style>
  <w:style w:type="paragraph" w:styleId="TitulHeder">
    <w:name w:val="Верхний колонтитул.Titul.Heder"/>
    <w:basedOn w:val="Normal"/>
    <w:qFormat/>
    <w:pPr>
      <w:tabs>
        <w:tab w:val="clear" w:pos="708"/>
        <w:tab w:val="center" w:pos="4677" w:leader="none"/>
        <w:tab w:val="right" w:pos="9355" w:leader="none"/>
      </w:tabs>
      <w:spacing w:lineRule="auto" w:line="240"/>
      <w:ind w:left="0" w:right="0" w:hanging="0"/>
      <w:jc w:val="left"/>
    </w:pPr>
    <w:rPr>
      <w:rFonts w:eastAsia="Times New Roman" w:cs="Times New Roman"/>
      <w:sz w:val="20"/>
      <w:szCs w:val="20"/>
      <w:lang w:eastAsia="ru-RU"/>
    </w:rPr>
  </w:style>
  <w:style w:type="paragraph" w:styleId="Style118">
    <w:name w:val="Второе"/>
    <w:basedOn w:val="Normal"/>
    <w:link w:val="Style32"/>
    <w:qFormat/>
    <w:pPr>
      <w:spacing w:lineRule="auto" w:line="276" w:before="120" w:after="120"/>
      <w:ind w:left="0" w:right="0" w:hanging="0"/>
      <w:jc w:val="center"/>
    </w:pPr>
    <w:rPr>
      <w:rFonts w:eastAsia="Calibri" w:cs="Times New Roman"/>
      <w:b/>
      <w:szCs w:val="24"/>
      <w:lang w:val="x-none"/>
    </w:rPr>
  </w:style>
  <w:style w:type="paragraph" w:styleId="D345FF3D873148C5AE3FBF3267827368">
    <w:name w:val="D345FF3D873148C5AE3FBF3267827368"/>
    <w:qFormat/>
    <w:pPr>
      <w:widowControl/>
      <w:suppressAutoHyphens w:val="true"/>
      <w:overflowPunct w:val="true"/>
      <w:bidi w:val="0"/>
      <w:spacing w:lineRule="auto" w:line="276" w:before="0" w:after="200"/>
      <w:jc w:val="left"/>
    </w:pPr>
    <w:rPr>
      <w:rFonts w:ascii="Calibri" w:hAnsi="Calibri" w:eastAsia="Times New Roman" w:cs="Times New Roman"/>
      <w:color w:val="auto"/>
      <w:kern w:val="0"/>
      <w:sz w:val="22"/>
      <w:szCs w:val="22"/>
      <w:lang w:val="ru-RU" w:eastAsia="ru-RU" w:bidi="ar-SA"/>
    </w:rPr>
  </w:style>
  <w:style w:type="paragraph" w:styleId="DefaultParagraphFontParaCharChar">
    <w:name w:val="Default Paragraph Font Para Char Char Знак"/>
    <w:basedOn w:val="Normal"/>
    <w:qFormat/>
    <w:pPr>
      <w:spacing w:lineRule="exact" w:line="240" w:before="0" w:after="160"/>
      <w:ind w:left="0" w:right="0" w:hanging="0"/>
    </w:pPr>
    <w:rPr>
      <w:rFonts w:ascii="Verdana" w:hAnsi="Verdana" w:eastAsia="Times New Roman" w:cs="Times New Roman"/>
      <w:sz w:val="20"/>
      <w:szCs w:val="20"/>
      <w:lang w:val="en-US"/>
    </w:rPr>
  </w:style>
  <w:style w:type="paragraph" w:styleId="138">
    <w:name w:val="Знак Знак Знак1 Знак Знак Знак Знак Знак Знак Знак"/>
    <w:basedOn w:val="Normal"/>
    <w:qFormat/>
    <w:pPr>
      <w:spacing w:lineRule="exact" w:line="240" w:before="0" w:after="160"/>
      <w:ind w:left="0" w:right="0" w:firstLine="709"/>
    </w:pPr>
    <w:rPr>
      <w:rFonts w:eastAsia="Times New Roman" w:cs="Verdana"/>
      <w:szCs w:val="20"/>
      <w:lang w:val="en-US"/>
    </w:rPr>
  </w:style>
  <w:style w:type="paragraph" w:styleId="142">
    <w:name w:val="Стиль14"/>
    <w:basedOn w:val="Normal"/>
    <w:qFormat/>
    <w:pPr>
      <w:spacing w:lineRule="auto" w:line="264"/>
      <w:ind w:left="0" w:right="0" w:firstLine="720"/>
    </w:pPr>
    <w:rPr>
      <w:rFonts w:eastAsia="Times New Roman" w:cs="Times New Roman"/>
      <w:sz w:val="28"/>
      <w:szCs w:val="20"/>
      <w:lang w:eastAsia="ru-RU"/>
    </w:rPr>
  </w:style>
  <w:style w:type="paragraph" w:styleId="45">
    <w:name w:val="Знак4"/>
    <w:basedOn w:val="Normal"/>
    <w:qFormat/>
    <w:pPr>
      <w:spacing w:lineRule="exact" w:line="240" w:before="0" w:after="160"/>
      <w:ind w:left="0" w:right="0" w:firstLine="709"/>
    </w:pPr>
    <w:rPr>
      <w:rFonts w:ascii="Verdana" w:hAnsi="Verdana" w:eastAsia="Times New Roman" w:cs="Verdana"/>
      <w:szCs w:val="20"/>
      <w:lang w:val="en-US"/>
    </w:rPr>
  </w:style>
  <w:style w:type="paragraph" w:styleId="IndexHeading">
    <w:name w:val="Index Heading"/>
    <w:basedOn w:val="Style59"/>
    <w:pPr/>
    <w:rPr/>
  </w:style>
  <w:style w:type="paragraph" w:styleId="TOCHeading">
    <w:name w:val="TOC Heading"/>
    <w:basedOn w:val="Heading1"/>
    <w:next w:val="Normal"/>
    <w:qFormat/>
    <w:pPr>
      <w:pageBreakBefore w:val="false"/>
      <w:spacing w:lineRule="auto" w:line="276" w:before="480" w:after="240"/>
      <w:ind w:left="0" w:right="0" w:firstLine="709"/>
      <w:jc w:val="center"/>
      <w:outlineLvl w:val="9"/>
    </w:pPr>
    <w:rPr>
      <w:rFonts w:ascii="Cambria" w:hAnsi="Cambria" w:eastAsia="Times New Roman" w:cs="Times New Roman"/>
      <w:color w:val="365F91"/>
      <w:sz w:val="28"/>
      <w:lang w:eastAsia="ru-RU"/>
    </w:rPr>
  </w:style>
  <w:style w:type="paragraph" w:styleId="Style119">
    <w:name w:val="Знак Знак Знак Знак Знак Знак Знак"/>
    <w:basedOn w:val="Normal"/>
    <w:qFormat/>
    <w:pPr>
      <w:spacing w:lineRule="exact" w:line="240" w:before="0" w:after="160"/>
      <w:ind w:left="0" w:right="0" w:firstLine="709"/>
    </w:pPr>
    <w:rPr>
      <w:rFonts w:ascii="Verdana" w:hAnsi="Verdana" w:eastAsia="Times New Roman" w:cs="Times New Roman"/>
      <w:szCs w:val="20"/>
      <w:lang w:val="en-US"/>
    </w:rPr>
  </w:style>
  <w:style w:type="paragraph" w:styleId="Style120">
    <w:name w:val="Знак Знак Знак Знак Знак Знак Знак Знак Знак Знак Знак Знак Знак Знак Знак Знак Знак Знак Знак"/>
    <w:basedOn w:val="Normal"/>
    <w:qFormat/>
    <w:pPr>
      <w:spacing w:lineRule="exact" w:line="240" w:before="0" w:after="160"/>
      <w:ind w:left="0" w:right="0" w:firstLine="709"/>
    </w:pPr>
    <w:rPr>
      <w:rFonts w:ascii="Verdana" w:hAnsi="Verdana" w:eastAsia="Times New Roman" w:cs="Times New Roman"/>
      <w:szCs w:val="20"/>
      <w:lang w:val="en-US"/>
    </w:rPr>
  </w:style>
  <w:style w:type="paragraph" w:styleId="Style121">
    <w:name w:val="ТекстОбычный"/>
    <w:qFormat/>
    <w:pPr>
      <w:widowControl/>
      <w:suppressAutoHyphens w:val="true"/>
      <w:overflowPunct w:val="true"/>
      <w:bidi w:val="0"/>
      <w:spacing w:lineRule="auto" w:line="360" w:before="0" w:after="0"/>
      <w:ind w:left="0" w:right="0" w:firstLine="851"/>
      <w:jc w:val="both"/>
    </w:pPr>
    <w:rPr>
      <w:rFonts w:ascii="Times New Roman" w:hAnsi="Times New Roman" w:eastAsia="Times New Roman" w:cs="Times New Roman"/>
      <w:color w:val="auto"/>
      <w:kern w:val="0"/>
      <w:sz w:val="24"/>
      <w:szCs w:val="20"/>
      <w:lang w:val="ru-RU" w:eastAsia="ru-RU" w:bidi="ar-SA"/>
    </w:rPr>
  </w:style>
  <w:style w:type="paragraph" w:styleId="Pa0">
    <w:name w:val="Pa0"/>
    <w:basedOn w:val="Default"/>
    <w:next w:val="Default"/>
    <w:qFormat/>
    <w:pPr>
      <w:widowControl/>
      <w:spacing w:lineRule="atLeast" w:line="240"/>
    </w:pPr>
    <w:rPr>
      <w:rFonts w:ascii="Arial" w:hAnsi="Arial"/>
      <w:color w:val="auto"/>
    </w:rPr>
  </w:style>
  <w:style w:type="paragraph" w:styleId="Pa3">
    <w:name w:val="Pa3"/>
    <w:basedOn w:val="Default"/>
    <w:next w:val="Default"/>
    <w:qFormat/>
    <w:pPr>
      <w:widowControl/>
      <w:spacing w:lineRule="atLeast" w:line="240" w:before="40" w:after="0"/>
    </w:pPr>
    <w:rPr>
      <w:rFonts w:ascii="Arial" w:hAnsi="Arial"/>
      <w:color w:val="auto"/>
    </w:rPr>
  </w:style>
  <w:style w:type="paragraph" w:styleId="Pa5">
    <w:name w:val="Pa5"/>
    <w:basedOn w:val="Default"/>
    <w:next w:val="Default"/>
    <w:qFormat/>
    <w:pPr>
      <w:widowControl/>
      <w:spacing w:lineRule="atLeast" w:line="240"/>
    </w:pPr>
    <w:rPr>
      <w:rFonts w:ascii="Arial" w:hAnsi="Arial"/>
      <w:color w:val="auto"/>
    </w:rPr>
  </w:style>
  <w:style w:type="paragraph" w:styleId="Pa6">
    <w:name w:val="Pa6"/>
    <w:basedOn w:val="Default"/>
    <w:next w:val="Default"/>
    <w:qFormat/>
    <w:pPr>
      <w:widowControl/>
      <w:spacing w:lineRule="atLeast" w:line="240"/>
    </w:pPr>
    <w:rPr>
      <w:rFonts w:ascii="Arial" w:hAnsi="Arial"/>
      <w:color w:val="auto"/>
    </w:rPr>
  </w:style>
  <w:style w:type="paragraph" w:styleId="Pa7">
    <w:name w:val="Pa7"/>
    <w:basedOn w:val="Default"/>
    <w:next w:val="Default"/>
    <w:qFormat/>
    <w:pPr>
      <w:widowControl/>
      <w:spacing w:lineRule="atLeast" w:line="240" w:before="100" w:after="0"/>
    </w:pPr>
    <w:rPr>
      <w:rFonts w:ascii="Arial" w:hAnsi="Arial"/>
      <w:color w:val="auto"/>
    </w:rPr>
  </w:style>
  <w:style w:type="paragraph" w:styleId="Pa8">
    <w:name w:val="Pa8"/>
    <w:basedOn w:val="Default"/>
    <w:next w:val="Default"/>
    <w:qFormat/>
    <w:pPr>
      <w:widowControl/>
      <w:spacing w:lineRule="atLeast" w:line="240"/>
    </w:pPr>
    <w:rPr>
      <w:rFonts w:ascii="Arial" w:hAnsi="Arial"/>
      <w:color w:val="auto"/>
    </w:rPr>
  </w:style>
  <w:style w:type="paragraph" w:styleId="Pa11">
    <w:name w:val="Pa11"/>
    <w:basedOn w:val="Default"/>
    <w:next w:val="Default"/>
    <w:qFormat/>
    <w:pPr>
      <w:widowControl/>
      <w:spacing w:lineRule="atLeast" w:line="240"/>
    </w:pPr>
    <w:rPr>
      <w:rFonts w:ascii="Arial" w:hAnsi="Arial"/>
      <w:color w:val="auto"/>
    </w:rPr>
  </w:style>
  <w:style w:type="paragraph" w:styleId="Style122">
    <w:name w:val="Знак Знак Знак Знак Знак Знак Знак Знак Знак Знак Знак Знак Знак Знак Знак Знак"/>
    <w:basedOn w:val="Normal"/>
    <w:qFormat/>
    <w:pPr>
      <w:spacing w:lineRule="exact" w:line="240" w:before="0" w:after="160"/>
      <w:ind w:left="0" w:right="0" w:firstLine="709"/>
    </w:pPr>
    <w:rPr>
      <w:rFonts w:ascii="Verdana" w:hAnsi="Verdana" w:eastAsia="Times New Roman" w:cs="Times New Roman"/>
      <w:szCs w:val="20"/>
      <w:lang w:val="en-US"/>
    </w:rPr>
  </w:style>
  <w:style w:type="paragraph" w:styleId="Style123">
    <w:name w:val="Знак Знак Знак Знак Знак Знак Знак Знак Знак Знак"/>
    <w:basedOn w:val="Normal"/>
    <w:qFormat/>
    <w:pPr>
      <w:spacing w:lineRule="exact" w:line="240" w:before="0" w:after="160"/>
      <w:ind w:left="0" w:right="0" w:firstLine="709"/>
    </w:pPr>
    <w:rPr>
      <w:rFonts w:ascii="Verdana" w:hAnsi="Verdana" w:eastAsia="Times New Roman" w:cs="Times New Roman"/>
      <w:szCs w:val="20"/>
      <w:lang w:val="en-US"/>
    </w:rPr>
  </w:style>
  <w:style w:type="paragraph" w:styleId="Style124">
    <w:name w:val="Таблица текст"/>
    <w:basedOn w:val="Normal"/>
    <w:qFormat/>
    <w:pPr>
      <w:spacing w:before="40" w:after="40"/>
      <w:ind w:left="57" w:right="57" w:firstLine="709"/>
    </w:pPr>
    <w:rPr>
      <w:rFonts w:eastAsia="Times New Roman" w:cs="Times New Roman"/>
      <w:szCs w:val="20"/>
      <w:lang w:eastAsia="ru-RU"/>
    </w:rPr>
  </w:style>
  <w:style w:type="paragraph" w:styleId="46">
    <w:name w:val="Знак Знак Знак4"/>
    <w:basedOn w:val="Normal"/>
    <w:qFormat/>
    <w:pPr>
      <w:spacing w:lineRule="exact" w:line="240" w:before="0" w:after="160"/>
      <w:ind w:left="0" w:right="0" w:firstLine="709"/>
    </w:pPr>
    <w:rPr>
      <w:rFonts w:ascii="Verdana" w:hAnsi="Verdana" w:eastAsia="Times New Roman" w:cs="Verdana"/>
      <w:szCs w:val="20"/>
      <w:lang w:val="en-US"/>
    </w:rPr>
  </w:style>
  <w:style w:type="paragraph" w:styleId="Style125">
    <w:name w:val="Основной СМС"/>
    <w:basedOn w:val="BodyTextIndent3"/>
    <w:link w:val="Style36"/>
    <w:qFormat/>
    <w:pPr>
      <w:spacing w:lineRule="auto" w:line="360" w:before="120" w:after="0"/>
      <w:ind w:left="0" w:right="0" w:firstLine="851"/>
      <w:contextualSpacing/>
    </w:pPr>
    <w:rPr>
      <w:sz w:val="24"/>
      <w:szCs w:val="24"/>
    </w:rPr>
  </w:style>
  <w:style w:type="paragraph" w:styleId="Style710">
    <w:name w:val="Style7"/>
    <w:basedOn w:val="Normal"/>
    <w:qFormat/>
    <w:pPr>
      <w:widowControl w:val="false"/>
      <w:spacing w:lineRule="exact" w:line="430"/>
      <w:ind w:left="0" w:right="0" w:firstLine="672"/>
    </w:pPr>
    <w:rPr>
      <w:rFonts w:ascii="Calibri" w:hAnsi="Calibri" w:eastAsia="Times New Roman" w:cs="Calibri"/>
      <w:szCs w:val="24"/>
      <w:lang w:eastAsia="ru-RU"/>
    </w:rPr>
  </w:style>
  <w:style w:type="paragraph" w:styleId="Style126">
    <w:name w:val="стиль записки"/>
    <w:basedOn w:val="BodyTextIndent"/>
    <w:link w:val="Style37"/>
    <w:qFormat/>
    <w:pPr>
      <w:spacing w:lineRule="auto" w:line="240" w:before="120" w:after="120"/>
      <w:ind w:left="0" w:right="0" w:firstLine="720"/>
    </w:pPr>
    <w:rPr>
      <w:rFonts w:eastAsia="Times New Roman" w:cs="Times New Roman"/>
      <w:szCs w:val="20"/>
      <w:lang w:eastAsia="ru-RU"/>
    </w:rPr>
  </w:style>
  <w:style w:type="paragraph" w:styleId="227">
    <w:name w:val="Основной текст2"/>
    <w:basedOn w:val="Normal"/>
    <w:link w:val="Style38"/>
    <w:qFormat/>
    <w:pPr>
      <w:widowControl w:val="false"/>
      <w:shd w:val="clear" w:fill="FFFFFF"/>
      <w:spacing w:lineRule="atLeast" w:line="0"/>
      <w:ind w:left="0" w:right="0" w:hanging="0"/>
    </w:pPr>
    <w:rPr>
      <w:sz w:val="27"/>
      <w:szCs w:val="27"/>
    </w:rPr>
  </w:style>
  <w:style w:type="paragraph" w:styleId="47">
    <w:name w:val="Основной текст (4)"/>
    <w:basedOn w:val="Normal"/>
    <w:link w:val="41"/>
    <w:qFormat/>
    <w:pPr>
      <w:widowControl w:val="false"/>
      <w:shd w:val="clear" w:fill="FFFFFF"/>
      <w:spacing w:lineRule="atLeast" w:line="0"/>
      <w:ind w:left="0" w:right="0" w:hanging="300"/>
      <w:jc w:val="center"/>
    </w:pPr>
    <w:rPr>
      <w:b/>
      <w:bCs/>
      <w:sz w:val="27"/>
      <w:szCs w:val="27"/>
    </w:rPr>
  </w:style>
  <w:style w:type="paragraph" w:styleId="139">
    <w:name w:val="ЗАС1"/>
    <w:basedOn w:val="Normal"/>
    <w:qFormat/>
    <w:pPr>
      <w:keepNext w:val="true"/>
      <w:spacing w:before="360" w:after="360"/>
      <w:ind w:left="0" w:right="0" w:firstLine="709"/>
      <w:jc w:val="left"/>
    </w:pPr>
    <w:rPr>
      <w:rFonts w:eastAsia="Times New Roman" w:cs="Times New Roman"/>
      <w:b/>
      <w:color w:val="000000"/>
      <w:sz w:val="32"/>
      <w:szCs w:val="32"/>
      <w:lang w:eastAsia="ru-RU"/>
    </w:rPr>
  </w:style>
  <w:style w:type="paragraph" w:styleId="Style151">
    <w:name w:val="Style15"/>
    <w:basedOn w:val="Normal"/>
    <w:qFormat/>
    <w:pPr>
      <w:widowControl w:val="false"/>
      <w:spacing w:lineRule="exact" w:line="317"/>
      <w:ind w:left="0" w:right="0" w:firstLine="317"/>
    </w:pPr>
    <w:rPr>
      <w:rFonts w:eastAsia="Times New Roman" w:cs="Times New Roman"/>
      <w:szCs w:val="24"/>
      <w:lang w:eastAsia="ru-RU"/>
    </w:rPr>
  </w:style>
  <w:style w:type="paragraph" w:styleId="BodyTextIndent1">
    <w:name w:val="Body Text Indent1"/>
    <w:basedOn w:val="BodyText"/>
    <w:link w:val="Style40"/>
    <w:qFormat/>
    <w:pPr>
      <w:ind w:left="0" w:right="0" w:firstLine="210"/>
      <w:jc w:val="left"/>
    </w:pPr>
    <w:rPr>
      <w:sz w:val="24"/>
      <w:szCs w:val="24"/>
    </w:rPr>
  </w:style>
  <w:style w:type="paragraph" w:styleId="BodyTextFirstIndent2">
    <w:name w:val="Body Text First Indent 2"/>
    <w:basedOn w:val="BodyTextIndent"/>
    <w:link w:val="25"/>
    <w:qFormat/>
    <w:pPr>
      <w:spacing w:lineRule="auto" w:line="240" w:before="0" w:after="120"/>
      <w:ind w:left="283" w:right="0" w:firstLine="210"/>
      <w:jc w:val="left"/>
    </w:pPr>
    <w:rPr>
      <w:rFonts w:eastAsia="Times New Roman" w:cs="Times New Roman"/>
      <w:lang w:eastAsia="ru-RU"/>
    </w:rPr>
  </w:style>
  <w:style w:type="paragraph" w:styleId="New1">
    <w:name w:val="New_Обычный"/>
    <w:basedOn w:val="Normal"/>
    <w:link w:val="New"/>
    <w:qFormat/>
    <w:pPr>
      <w:ind w:left="567" w:right="227" w:firstLine="510"/>
    </w:pPr>
    <w:rPr>
      <w:rFonts w:eastAsia="Times New Roman" w:cs="Times New Roman"/>
      <w:sz w:val="28"/>
      <w:szCs w:val="28"/>
      <w:lang w:eastAsia="ru-RU"/>
    </w:rPr>
  </w:style>
  <w:style w:type="paragraph" w:styleId="MTDisplayEquation">
    <w:name w:val="MTDisplayEquation"/>
    <w:basedOn w:val="Normal"/>
    <w:qFormat/>
    <w:pPr>
      <w:tabs>
        <w:tab w:val="clear" w:pos="708"/>
        <w:tab w:val="center" w:pos="4680" w:leader="none"/>
        <w:tab w:val="right" w:pos="9360" w:leader="none"/>
      </w:tabs>
      <w:ind w:left="0" w:right="0" w:hanging="0"/>
    </w:pPr>
    <w:rPr>
      <w:rFonts w:eastAsia="Times New Roman" w:cs="Times New Roman"/>
      <w:sz w:val="28"/>
      <w:szCs w:val="24"/>
      <w:lang w:eastAsia="ru-RU"/>
    </w:rPr>
  </w:style>
  <w:style w:type="paragraph" w:styleId="Style127">
    <w:name w:val="Имя_том"/>
    <w:basedOn w:val="Normal"/>
    <w:next w:val="Normal"/>
    <w:qFormat/>
    <w:pPr>
      <w:tabs>
        <w:tab w:val="clear" w:pos="708"/>
        <w:tab w:val="left" w:pos="8789" w:leader="none"/>
      </w:tabs>
      <w:spacing w:lineRule="auto" w:line="240" w:before="400" w:after="360"/>
      <w:ind w:left="1560" w:right="1841" w:hanging="0"/>
      <w:jc w:val="center"/>
    </w:pPr>
    <w:rPr>
      <w:rFonts w:eastAsia="Times New Roman" w:cs="Times New Roman"/>
      <w:sz w:val="26"/>
      <w:szCs w:val="20"/>
      <w:lang w:eastAsia="ru-RU"/>
    </w:rPr>
  </w:style>
  <w:style w:type="paragraph" w:styleId="Style128">
    <w:name w:val="Шифр_том"/>
    <w:basedOn w:val="Normal"/>
    <w:next w:val="Normal"/>
    <w:qFormat/>
    <w:pPr>
      <w:spacing w:lineRule="auto" w:line="240" w:before="480" w:after="360"/>
      <w:ind w:left="567" w:right="510" w:hanging="0"/>
      <w:jc w:val="center"/>
    </w:pPr>
    <w:rPr>
      <w:rFonts w:eastAsia="Times New Roman" w:cs="Times New Roman"/>
      <w:bCs/>
      <w:szCs w:val="20"/>
      <w:lang w:eastAsia="ru-RU"/>
    </w:rPr>
  </w:style>
  <w:style w:type="paragraph" w:styleId="Style129">
    <w:name w:val="Должность(титульник)"/>
    <w:basedOn w:val="Normal"/>
    <w:next w:val="Normal"/>
    <w:qFormat/>
    <w:pPr>
      <w:spacing w:lineRule="auto" w:line="240" w:before="120" w:after="120"/>
      <w:ind w:left="0" w:right="0" w:hanging="0"/>
      <w:jc w:val="left"/>
    </w:pPr>
    <w:rPr>
      <w:rFonts w:eastAsia="Times New Roman" w:cs="Times New Roman"/>
      <w:szCs w:val="20"/>
      <w:lang w:eastAsia="ru-RU"/>
    </w:rPr>
  </w:style>
  <w:style w:type="paragraph" w:styleId="Style130">
    <w:name w:val="Имя тома"/>
    <w:basedOn w:val="Style127"/>
    <w:qFormat/>
    <w:pPr>
      <w:spacing w:before="4800" w:after="360"/>
      <w:ind w:left="0" w:right="-20" w:hanging="0"/>
    </w:pPr>
    <w:rPr>
      <w:b/>
      <w:bCs/>
      <w:smallCaps/>
      <w:sz w:val="28"/>
    </w:rPr>
  </w:style>
  <w:style w:type="paragraph" w:styleId="Style131">
    <w:name w:val="Название в колонтитуле"/>
    <w:qFormat/>
    <w:pPr>
      <w:widowControl/>
      <w:suppressAutoHyphens w:val="true"/>
      <w:overflowPunct w:val="true"/>
      <w:bidi w:val="0"/>
      <w:spacing w:lineRule="auto" w:line="240" w:before="240" w:after="240"/>
      <w:ind w:left="2693" w:right="0" w:hanging="0"/>
      <w:jc w:val="left"/>
    </w:pPr>
    <w:rPr>
      <w:rFonts w:ascii="Arial" w:hAnsi="Arial" w:eastAsia="Times New Roman" w:cs="Times New Roman"/>
      <w:b/>
      <w:i/>
      <w:color w:val="auto"/>
      <w:kern w:val="0"/>
      <w:sz w:val="36"/>
      <w:szCs w:val="20"/>
      <w:lang w:val="ru-RU" w:eastAsia="ru-RU" w:bidi="ar-SA"/>
    </w:rPr>
  </w:style>
  <w:style w:type="paragraph" w:styleId="140">
    <w:name w:val="Колонтитул 1"/>
    <w:qFormat/>
    <w:pPr>
      <w:widowControl/>
      <w:suppressAutoHyphens w:val="true"/>
      <w:overflowPunct w:val="true"/>
      <w:bidi w:val="0"/>
      <w:spacing w:lineRule="exact" w:line="280" w:before="0" w:after="0"/>
      <w:ind w:left="2268" w:right="0" w:hanging="0"/>
      <w:jc w:val="left"/>
    </w:pPr>
    <w:rPr>
      <w:rFonts w:ascii="Arial" w:hAnsi="Arial" w:eastAsia="Times New Roman" w:cs="Times New Roman"/>
      <w:b/>
      <w:i/>
      <w:color w:val="auto"/>
      <w:kern w:val="0"/>
      <w:sz w:val="24"/>
      <w:szCs w:val="20"/>
      <w:lang w:val="ru-RU" w:eastAsia="ru-RU" w:bidi="ar-SA"/>
    </w:rPr>
  </w:style>
  <w:style w:type="paragraph" w:styleId="Style132">
    <w:name w:val="Шифр тома"/>
    <w:basedOn w:val="Style128"/>
    <w:qFormat/>
    <w:pPr>
      <w:ind w:left="0" w:right="-20" w:hanging="0"/>
    </w:pPr>
    <w:rPr>
      <w:bCs w:val="false"/>
    </w:rPr>
  </w:style>
  <w:style w:type="paragraph" w:styleId="Style133">
    <w:name w:val="НОмер тома"/>
    <w:basedOn w:val="Normal"/>
    <w:qFormat/>
    <w:pPr>
      <w:ind w:left="0" w:right="-20" w:hanging="0"/>
      <w:jc w:val="center"/>
    </w:pPr>
    <w:rPr>
      <w:rFonts w:eastAsia="Times New Roman" w:cs="Times New Roman"/>
      <w:sz w:val="28"/>
      <w:szCs w:val="20"/>
      <w:lang w:eastAsia="ru-RU"/>
    </w:rPr>
  </w:style>
  <w:style w:type="paragraph" w:styleId="Style134">
    <w:name w:val="П.З."/>
    <w:basedOn w:val="Normal"/>
    <w:link w:val="Style52"/>
    <w:qFormat/>
    <w:pPr/>
    <w:rPr>
      <w:rFonts w:eastAsia="Times New Roman" w:cs="Times New Roman"/>
      <w:sz w:val="28"/>
      <w:szCs w:val="28"/>
      <w:lang w:eastAsia="ru-RU"/>
    </w:rPr>
  </w:style>
  <w:style w:type="paragraph" w:styleId="-2">
    <w:name w:val="Колонтитул(наз.орган-и)"/>
    <w:basedOn w:val="Normal"/>
    <w:qFormat/>
    <w:pPr>
      <w:spacing w:before="120" w:after="0"/>
      <w:ind w:left="0" w:right="0" w:hanging="0"/>
      <w:jc w:val="center"/>
    </w:pPr>
    <w:rPr>
      <w:rFonts w:ascii="ISOCPEUR" w:hAnsi="ISOCPEUR" w:eastAsia="Times New Roman" w:cs="Times New Roman"/>
      <w:i/>
      <w:sz w:val="20"/>
      <w:szCs w:val="24"/>
      <w:lang w:eastAsia="ru-RU"/>
    </w:rPr>
  </w:style>
  <w:style w:type="paragraph" w:styleId="Style135">
    <w:name w:val="Колонтитул(надпись_бок)"/>
    <w:basedOn w:val="Style108"/>
    <w:qFormat/>
    <w:pPr>
      <w:spacing w:before="240" w:after="240"/>
      <w:ind w:left="2693" w:right="0" w:hanging="0"/>
    </w:pPr>
    <w:rPr>
      <w:rFonts w:cs="Times New Roman"/>
      <w:b/>
      <w:iCs w:val="false"/>
      <w:szCs w:val="20"/>
    </w:rPr>
  </w:style>
  <w:style w:type="paragraph" w:styleId="Style136">
    <w:name w:val="Колонтитул(объект.номер)"/>
    <w:basedOn w:val="-2"/>
    <w:qFormat/>
    <w:pPr/>
    <w:rPr>
      <w:sz w:val="28"/>
    </w:rPr>
  </w:style>
  <w:style w:type="paragraph" w:styleId="Style137">
    <w:name w:val="Таблица(номерация)"/>
    <w:basedOn w:val="Normal"/>
    <w:qFormat/>
    <w:pPr>
      <w:spacing w:before="60" w:after="0"/>
      <w:ind w:left="0" w:right="0" w:hanging="0"/>
      <w:jc w:val="center"/>
    </w:pPr>
    <w:rPr>
      <w:rFonts w:eastAsia="Times New Roman" w:cs="Times New Roman"/>
      <w:sz w:val="28"/>
      <w:szCs w:val="20"/>
      <w:lang w:eastAsia="ru-RU"/>
    </w:rPr>
  </w:style>
  <w:style w:type="paragraph" w:styleId="Style138">
    <w:name w:val="Таблица(шапка)"/>
    <w:basedOn w:val="Normal"/>
    <w:qFormat/>
    <w:pPr>
      <w:ind w:left="0" w:right="0" w:hanging="0"/>
      <w:jc w:val="center"/>
    </w:pPr>
    <w:rPr>
      <w:rFonts w:eastAsia="Times New Roman" w:cs="Times New Roman"/>
      <w:sz w:val="16"/>
      <w:szCs w:val="20"/>
      <w:lang w:eastAsia="ru-RU"/>
    </w:rPr>
  </w:style>
  <w:style w:type="paragraph" w:styleId="1211">
    <w:name w:val="Таблица 12"/>
    <w:basedOn w:val="Style134"/>
    <w:qFormat/>
    <w:pPr>
      <w:spacing w:lineRule="auto" w:line="240"/>
      <w:ind w:left="0" w:right="0" w:hanging="0"/>
      <w:jc w:val="left"/>
    </w:pPr>
    <w:rPr>
      <w:sz w:val="24"/>
    </w:rPr>
  </w:style>
  <w:style w:type="paragraph" w:styleId="HTMLAddress">
    <w:name w:val="HTML Address"/>
    <w:basedOn w:val="Normal"/>
    <w:link w:val="HTML1"/>
    <w:qFormat/>
    <w:pPr>
      <w:ind w:left="0" w:right="0" w:hanging="0"/>
      <w:jc w:val="left"/>
    </w:pPr>
    <w:rPr>
      <w:rFonts w:eastAsia="Times New Roman" w:cs="Times New Roman"/>
      <w:i/>
      <w:iCs/>
      <w:sz w:val="28"/>
      <w:szCs w:val="24"/>
      <w:lang w:eastAsia="ru-RU"/>
    </w:rPr>
  </w:style>
  <w:style w:type="paragraph" w:styleId="Envelopeaddress">
    <w:name w:val="envelope address"/>
    <w:basedOn w:val="Normal"/>
    <w:qFormat/>
    <w:pPr>
      <w:ind w:left="2880" w:right="0" w:hanging="0"/>
      <w:jc w:val="left"/>
    </w:pPr>
    <w:rPr>
      <w:rFonts w:ascii="Arial" w:hAnsi="Arial" w:eastAsia="Times New Roman" w:cs="Arial"/>
      <w:szCs w:val="24"/>
      <w:lang w:eastAsia="ru-RU"/>
    </w:rPr>
  </w:style>
  <w:style w:type="paragraph" w:styleId="NoteHeading">
    <w:name w:val="Note Heading"/>
    <w:basedOn w:val="Normal"/>
    <w:next w:val="Normal"/>
    <w:link w:val="Style41"/>
    <w:qFormat/>
    <w:pPr>
      <w:ind w:left="0" w:right="0" w:hanging="0"/>
      <w:jc w:val="left"/>
    </w:pPr>
    <w:rPr>
      <w:rFonts w:eastAsia="Times New Roman" w:cs="Times New Roman"/>
      <w:sz w:val="28"/>
      <w:szCs w:val="24"/>
      <w:lang w:eastAsia="ru-RU"/>
    </w:rPr>
  </w:style>
  <w:style w:type="paragraph" w:styleId="Envelopereturn">
    <w:name w:val="envelope return"/>
    <w:basedOn w:val="Normal"/>
    <w:qFormat/>
    <w:pPr>
      <w:ind w:left="0" w:right="0" w:hanging="0"/>
      <w:jc w:val="left"/>
    </w:pPr>
    <w:rPr>
      <w:rFonts w:ascii="Arial" w:hAnsi="Arial" w:eastAsia="Times New Roman" w:cs="Arial"/>
      <w:sz w:val="20"/>
      <w:szCs w:val="20"/>
      <w:lang w:eastAsia="ru-RU"/>
    </w:rPr>
  </w:style>
  <w:style w:type="paragraph" w:styleId="Signature">
    <w:name w:val="Signature"/>
    <w:basedOn w:val="Normal"/>
    <w:link w:val="Style42"/>
    <w:pPr>
      <w:ind w:left="4252" w:right="0" w:hanging="0"/>
      <w:jc w:val="left"/>
    </w:pPr>
    <w:rPr>
      <w:rFonts w:eastAsia="Times New Roman" w:cs="Times New Roman"/>
      <w:sz w:val="28"/>
      <w:szCs w:val="24"/>
      <w:lang w:eastAsia="ru-RU"/>
    </w:rPr>
  </w:style>
  <w:style w:type="paragraph" w:styleId="Salutation">
    <w:name w:val="Salutation"/>
    <w:basedOn w:val="Normal"/>
    <w:next w:val="Normal"/>
    <w:link w:val="Style43"/>
    <w:pPr>
      <w:ind w:left="0" w:right="0" w:hanging="0"/>
      <w:jc w:val="left"/>
    </w:pPr>
    <w:rPr>
      <w:rFonts w:eastAsia="Times New Roman" w:cs="Times New Roman"/>
      <w:sz w:val="28"/>
      <w:szCs w:val="24"/>
      <w:lang w:eastAsia="ru-RU"/>
    </w:rPr>
  </w:style>
  <w:style w:type="paragraph" w:styleId="ListContinue2">
    <w:name w:val="List Continue 2"/>
    <w:basedOn w:val="Normal"/>
    <w:qFormat/>
    <w:pPr>
      <w:spacing w:before="0" w:after="120"/>
      <w:ind w:left="566" w:right="0" w:hanging="0"/>
      <w:jc w:val="left"/>
    </w:pPr>
    <w:rPr>
      <w:rFonts w:eastAsia="Times New Roman" w:cs="Times New Roman"/>
      <w:sz w:val="28"/>
      <w:szCs w:val="24"/>
      <w:lang w:eastAsia="ru-RU"/>
    </w:rPr>
  </w:style>
  <w:style w:type="paragraph" w:styleId="ListContinue3">
    <w:name w:val="List Continue 3"/>
    <w:basedOn w:val="Normal"/>
    <w:qFormat/>
    <w:pPr>
      <w:spacing w:before="0" w:after="120"/>
      <w:ind w:left="849" w:right="0" w:hanging="0"/>
      <w:jc w:val="left"/>
    </w:pPr>
    <w:rPr>
      <w:rFonts w:eastAsia="Times New Roman" w:cs="Times New Roman"/>
      <w:sz w:val="28"/>
      <w:szCs w:val="24"/>
      <w:lang w:eastAsia="ru-RU"/>
    </w:rPr>
  </w:style>
  <w:style w:type="paragraph" w:styleId="ListContinue4">
    <w:name w:val="List Continue 4"/>
    <w:basedOn w:val="Normal"/>
    <w:qFormat/>
    <w:pPr>
      <w:spacing w:before="0" w:after="120"/>
      <w:ind w:left="1132" w:right="0" w:hanging="0"/>
      <w:jc w:val="left"/>
    </w:pPr>
    <w:rPr>
      <w:rFonts w:eastAsia="Times New Roman" w:cs="Times New Roman"/>
      <w:sz w:val="28"/>
      <w:szCs w:val="24"/>
      <w:lang w:eastAsia="ru-RU"/>
    </w:rPr>
  </w:style>
  <w:style w:type="paragraph" w:styleId="ListContinue5">
    <w:name w:val="List Continue 5"/>
    <w:basedOn w:val="Normal"/>
    <w:qFormat/>
    <w:pPr>
      <w:spacing w:before="0" w:after="120"/>
      <w:ind w:left="1415" w:right="0" w:hanging="0"/>
      <w:jc w:val="left"/>
    </w:pPr>
    <w:rPr>
      <w:rFonts w:eastAsia="Times New Roman" w:cs="Times New Roman"/>
      <w:sz w:val="28"/>
      <w:szCs w:val="24"/>
      <w:lang w:eastAsia="ru-RU"/>
    </w:rPr>
  </w:style>
  <w:style w:type="paragraph" w:styleId="Closing1">
    <w:name w:val="Closing1"/>
    <w:basedOn w:val="Normal"/>
    <w:link w:val="Style44"/>
    <w:qFormat/>
    <w:pPr>
      <w:ind w:left="4252" w:right="0" w:hanging="0"/>
      <w:jc w:val="left"/>
    </w:pPr>
    <w:rPr>
      <w:rFonts w:eastAsia="Times New Roman" w:cs="Times New Roman"/>
      <w:sz w:val="28"/>
      <w:szCs w:val="24"/>
      <w:lang w:eastAsia="ru-RU"/>
    </w:rPr>
  </w:style>
  <w:style w:type="paragraph" w:styleId="ListBullet3">
    <w:name w:val="List Bullet 3"/>
    <w:basedOn w:val="Normal"/>
    <w:qFormat/>
    <w:pPr>
      <w:ind w:left="566" w:right="0" w:hanging="283"/>
      <w:jc w:val="left"/>
    </w:pPr>
    <w:rPr>
      <w:rFonts w:eastAsia="Times New Roman" w:cs="Times New Roman"/>
      <w:sz w:val="28"/>
      <w:szCs w:val="24"/>
      <w:lang w:eastAsia="ru-RU"/>
    </w:rPr>
  </w:style>
  <w:style w:type="paragraph" w:styleId="ListBullet4">
    <w:name w:val="List Bullet 4"/>
    <w:basedOn w:val="Normal"/>
    <w:qFormat/>
    <w:pPr>
      <w:ind w:left="849" w:right="0" w:hanging="283"/>
      <w:jc w:val="left"/>
    </w:pPr>
    <w:rPr>
      <w:rFonts w:eastAsia="Times New Roman" w:cs="Times New Roman"/>
      <w:sz w:val="28"/>
      <w:szCs w:val="24"/>
      <w:lang w:eastAsia="ru-RU"/>
    </w:rPr>
  </w:style>
  <w:style w:type="paragraph" w:styleId="ListBullet5">
    <w:name w:val="List Bullet 5"/>
    <w:basedOn w:val="Normal"/>
    <w:qFormat/>
    <w:pPr>
      <w:ind w:left="1132" w:right="0" w:hanging="283"/>
      <w:jc w:val="left"/>
    </w:pPr>
    <w:rPr>
      <w:rFonts w:eastAsia="Times New Roman" w:cs="Times New Roman"/>
      <w:sz w:val="28"/>
      <w:szCs w:val="24"/>
      <w:lang w:eastAsia="ru-RU"/>
    </w:rPr>
  </w:style>
  <w:style w:type="paragraph" w:styleId="ListNumber">
    <w:name w:val="List Number"/>
    <w:basedOn w:val="Normal"/>
    <w:qFormat/>
    <w:pPr>
      <w:ind w:left="1415" w:right="0" w:hanging="283"/>
      <w:jc w:val="left"/>
    </w:pPr>
    <w:rPr>
      <w:rFonts w:eastAsia="Times New Roman" w:cs="Times New Roman"/>
      <w:sz w:val="28"/>
      <w:szCs w:val="24"/>
      <w:lang w:eastAsia="ru-RU"/>
    </w:rPr>
  </w:style>
  <w:style w:type="paragraph" w:styleId="MessageHeader">
    <w:name w:val="Message Header"/>
    <w:basedOn w:val="Normal"/>
    <w:link w:val="Style45"/>
    <w:qFormat/>
    <w:pPr>
      <w:pBdr>
        <w:top w:val="single" w:sz="6" w:space="1" w:color="000000"/>
        <w:left w:val="single" w:sz="6" w:space="1" w:color="000000"/>
        <w:bottom w:val="single" w:sz="6" w:space="1" w:color="000000"/>
        <w:right w:val="single" w:sz="6" w:space="1" w:color="000000"/>
      </w:pBdr>
      <w:shd w:val="clear" w:fill="CCCCCC"/>
      <w:ind w:left="1134" w:right="0" w:hanging="1134"/>
      <w:jc w:val="left"/>
    </w:pPr>
    <w:rPr>
      <w:rFonts w:ascii="Arial" w:hAnsi="Arial" w:eastAsia="Times New Roman" w:cs="Arial"/>
      <w:szCs w:val="24"/>
      <w:lang w:eastAsia="ru-RU"/>
    </w:rPr>
  </w:style>
  <w:style w:type="paragraph" w:styleId="E-mailSignature">
    <w:name w:val="E-mail Signature"/>
    <w:basedOn w:val="Normal"/>
    <w:link w:val="Style46"/>
    <w:qFormat/>
    <w:pPr>
      <w:ind w:left="0" w:right="0" w:hanging="0"/>
      <w:jc w:val="left"/>
    </w:pPr>
    <w:rPr>
      <w:rFonts w:eastAsia="Times New Roman" w:cs="Times New Roman"/>
      <w:sz w:val="28"/>
      <w:szCs w:val="24"/>
      <w:lang w:eastAsia="ru-RU"/>
    </w:rPr>
  </w:style>
  <w:style w:type="paragraph" w:styleId="143">
    <w:name w:val="Таблица 14"/>
    <w:basedOn w:val="Style134"/>
    <w:qFormat/>
    <w:pPr>
      <w:spacing w:lineRule="auto" w:line="240"/>
      <w:ind w:left="0" w:right="0" w:hanging="0"/>
    </w:pPr>
    <w:rPr/>
  </w:style>
  <w:style w:type="paragraph" w:styleId="103">
    <w:name w:val="Таблица 10"/>
    <w:basedOn w:val="Style134"/>
    <w:qFormat/>
    <w:pPr>
      <w:spacing w:lineRule="auto" w:line="240"/>
      <w:ind w:left="0" w:right="0" w:hanging="0"/>
    </w:pPr>
    <w:rPr>
      <w:sz w:val="20"/>
      <w:szCs w:val="20"/>
    </w:rPr>
  </w:style>
  <w:style w:type="paragraph" w:styleId="Style139">
    <w:name w:val="список"/>
    <w:basedOn w:val="Style134"/>
    <w:qFormat/>
    <w:pPr>
      <w:numPr>
        <w:ilvl w:val="0"/>
        <w:numId w:val="6"/>
      </w:numPr>
      <w:tabs>
        <w:tab w:val="clear" w:pos="708"/>
        <w:tab w:val="left" w:pos="-248" w:leader="none"/>
        <w:tab w:val="left" w:pos="720" w:leader="none"/>
      </w:tabs>
      <w:ind w:left="-248" w:right="0" w:hanging="432"/>
    </w:pPr>
    <w:rPr/>
  </w:style>
  <w:style w:type="paragraph" w:styleId="Style140">
    <w:name w:val="список нумерован."/>
    <w:basedOn w:val="Style134"/>
    <w:qFormat/>
    <w:pPr>
      <w:numPr>
        <w:ilvl w:val="0"/>
        <w:numId w:val="7"/>
      </w:numPr>
      <w:tabs>
        <w:tab w:val="clear" w:pos="708"/>
        <w:tab w:val="left" w:pos="360" w:leader="none"/>
        <w:tab w:val="left" w:pos="720" w:leader="none"/>
      </w:tabs>
      <w:ind w:left="360" w:right="0" w:hanging="360"/>
    </w:pPr>
    <w:rPr/>
  </w:style>
  <w:style w:type="paragraph" w:styleId="144">
    <w:name w:val="Таб_ном_1"/>
    <w:basedOn w:val="Heading2"/>
    <w:qFormat/>
    <w:pPr>
      <w:keepNext w:val="false"/>
      <w:keepLines w:val="false"/>
      <w:tabs>
        <w:tab w:val="clear" w:pos="708"/>
        <w:tab w:val="left" w:pos="-248" w:leader="none"/>
      </w:tabs>
      <w:suppressAutoHyphens w:val="false"/>
      <w:spacing w:lineRule="auto" w:line="240" w:before="0" w:after="0"/>
      <w:ind w:left="-248" w:right="0" w:hanging="432"/>
    </w:pPr>
    <w:rPr>
      <w:rFonts w:eastAsia="Times New Roman" w:cs="Times New Roman"/>
      <w:bCs w:val="false"/>
      <w:caps/>
      <w:color w:val="auto"/>
      <w:sz w:val="22"/>
      <w:szCs w:val="24"/>
      <w:lang w:eastAsia="ru-RU"/>
    </w:rPr>
  </w:style>
  <w:style w:type="paragraph" w:styleId="1114">
    <w:name w:val="Таб_ном_1.1"/>
    <w:basedOn w:val="Heading3"/>
    <w:qFormat/>
    <w:pPr>
      <w:keepNext w:val="false"/>
      <w:keepLines w:val="false"/>
      <w:tabs>
        <w:tab w:val="clear" w:pos="708"/>
        <w:tab w:val="left" w:pos="-248" w:leader="none"/>
      </w:tabs>
      <w:spacing w:lineRule="auto" w:line="240" w:before="0" w:after="0"/>
      <w:ind w:left="-248" w:right="0" w:hanging="432"/>
      <w:jc w:val="left"/>
    </w:pPr>
    <w:rPr>
      <w:rFonts w:ascii="Times New Roman" w:hAnsi="Times New Roman" w:eastAsia="Times New Roman" w:cs="Times New Roman"/>
      <w:b/>
      <w:color w:val="auto"/>
      <w:lang w:eastAsia="ru-RU"/>
    </w:rPr>
  </w:style>
  <w:style w:type="paragraph" w:styleId="1115">
    <w:name w:val="Таб_ном_1.1.1"/>
    <w:basedOn w:val="TOC4"/>
    <w:qFormat/>
    <w:pPr>
      <w:numPr>
        <w:ilvl w:val="3"/>
        <w:numId w:val="4"/>
      </w:numPr>
      <w:tabs>
        <w:tab w:val="clear" w:pos="10260"/>
      </w:tabs>
      <w:ind w:left="600" w:right="284" w:hanging="0"/>
    </w:pPr>
    <w:rPr>
      <w:szCs w:val="18"/>
    </w:rPr>
  </w:style>
  <w:style w:type="paragraph" w:styleId="Style141">
    <w:name w:val="Адресат"/>
    <w:basedOn w:val="Normal"/>
    <w:qFormat/>
    <w:pPr>
      <w:spacing w:lineRule="auto" w:line="240"/>
      <w:ind w:left="0" w:right="0" w:hanging="0"/>
      <w:jc w:val="left"/>
    </w:pPr>
    <w:rPr>
      <w:rFonts w:eastAsia="Times New Roman" w:cs="Times New Roman"/>
      <w:szCs w:val="24"/>
      <w:lang w:eastAsia="ru-RU"/>
    </w:rPr>
  </w:style>
  <w:style w:type="paragraph" w:styleId="Iauiue">
    <w:name w:val="Iau?iue"/>
    <w:qFormat/>
    <w:pPr>
      <w:widowControl/>
      <w:suppressAutoHyphens w:val="true"/>
      <w:overflowPunct w:val="false"/>
      <w:bidi w:val="0"/>
      <w:spacing w:lineRule="auto" w:line="240" w:before="0" w:after="0"/>
      <w:jc w:val="left"/>
    </w:pPr>
    <w:rPr>
      <w:rFonts w:ascii="Times New Roman" w:hAnsi="Times New Roman" w:eastAsia="Times New Roman" w:cs="Times New Roman"/>
      <w:color w:val="000000"/>
      <w:kern w:val="0"/>
      <w:sz w:val="22"/>
      <w:szCs w:val="20"/>
      <w:lang w:val="ru-RU" w:eastAsia="ru-RU" w:bidi="ar-SA"/>
    </w:rPr>
  </w:style>
  <w:style w:type="paragraph" w:styleId="Toaheading">
    <w:name w:val="toa heading"/>
    <w:basedOn w:val="Normal"/>
    <w:next w:val="Normal"/>
    <w:qFormat/>
    <w:pPr>
      <w:spacing w:lineRule="auto" w:line="240" w:before="120" w:after="0"/>
      <w:ind w:left="0" w:right="0" w:hanging="0"/>
      <w:jc w:val="left"/>
    </w:pPr>
    <w:rPr>
      <w:rFonts w:ascii="Arial" w:hAnsi="Arial" w:eastAsia="Times New Roman" w:cs="Times New Roman"/>
      <w:b/>
      <w:bCs/>
      <w:szCs w:val="24"/>
      <w:lang w:eastAsia="ru-RU"/>
    </w:rPr>
  </w:style>
  <w:style w:type="paragraph" w:styleId="Xl31">
    <w:name w:val="xl31"/>
    <w:basedOn w:val="Normal"/>
    <w:qFormat/>
    <w:pPr>
      <w:pBdr>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Arial Unicode MS" w:cs="Times New Roman"/>
      <w:b/>
      <w:bCs/>
      <w:szCs w:val="24"/>
      <w:lang w:eastAsia="ru-RU"/>
    </w:rPr>
  </w:style>
  <w:style w:type="paragraph" w:styleId="Xl32">
    <w:name w:val="xl32"/>
    <w:basedOn w:val="Normal"/>
    <w:qFormat/>
    <w:pPr>
      <w:pBdr>
        <w:left w:val="single" w:sz="4" w:space="0" w:color="000000"/>
        <w:bottom w:val="single" w:sz="4" w:space="0" w:color="000000"/>
        <w:right w:val="single" w:sz="4" w:space="0" w:color="000000"/>
      </w:pBdr>
      <w:spacing w:lineRule="auto" w:line="240" w:before="280" w:after="280"/>
      <w:ind w:left="0" w:right="0" w:hanging="0"/>
      <w:jc w:val="center"/>
      <w:textAlignment w:val="top"/>
    </w:pPr>
    <w:rPr>
      <w:rFonts w:eastAsia="Arial Unicode MS" w:cs="Times New Roman"/>
      <w:szCs w:val="24"/>
      <w:lang w:eastAsia="ru-RU"/>
    </w:rPr>
  </w:style>
  <w:style w:type="paragraph" w:styleId="Xl25">
    <w:name w:val="xl25"/>
    <w:basedOn w:val="Normal"/>
    <w:qFormat/>
    <w:pPr>
      <w:pBdr>
        <w:bottom w:val="single" w:sz="4" w:space="0" w:color="000000"/>
      </w:pBdr>
      <w:spacing w:lineRule="auto" w:line="240" w:before="280" w:after="280"/>
      <w:ind w:left="0" w:right="0" w:hanging="0"/>
      <w:jc w:val="center"/>
    </w:pPr>
    <w:rPr>
      <w:rFonts w:eastAsia="Arial Unicode MS" w:cs="Times New Roman"/>
      <w:b/>
      <w:bCs/>
      <w:szCs w:val="24"/>
      <w:lang w:eastAsia="ru-RU"/>
    </w:rPr>
  </w:style>
  <w:style w:type="paragraph" w:styleId="Style142">
    <w:name w:val="Стадия_кр"/>
    <w:basedOn w:val="Normal"/>
    <w:next w:val="Normal"/>
    <w:qFormat/>
    <w:pPr>
      <w:spacing w:lineRule="auto" w:line="240"/>
      <w:ind w:left="0" w:right="0" w:hanging="0"/>
      <w:jc w:val="center"/>
    </w:pPr>
    <w:rPr>
      <w:rFonts w:eastAsia="Times New Roman" w:cs="Times New Roman"/>
      <w:szCs w:val="24"/>
      <w:lang w:eastAsia="ru-RU"/>
    </w:rPr>
  </w:style>
  <w:style w:type="paragraph" w:styleId="145">
    <w:name w:val="Долж1"/>
    <w:basedOn w:val="Normal"/>
    <w:next w:val="Normal"/>
    <w:qFormat/>
    <w:pPr>
      <w:spacing w:lineRule="auto" w:line="240"/>
      <w:ind w:left="0" w:right="0" w:hanging="0"/>
      <w:jc w:val="left"/>
    </w:pPr>
    <w:rPr>
      <w:rFonts w:eastAsia="Times New Roman" w:cs="Times New Roman"/>
      <w:szCs w:val="24"/>
      <w:lang w:eastAsia="ru-RU"/>
    </w:rPr>
  </w:style>
  <w:style w:type="paragraph" w:styleId="Otchet">
    <w:name w:val="Otchet"/>
    <w:basedOn w:val="Normal"/>
    <w:qFormat/>
    <w:pPr>
      <w:ind w:left="0" w:right="0" w:firstLine="720"/>
    </w:pPr>
    <w:rPr>
      <w:rFonts w:eastAsia="Times New Roman" w:cs="Times New Roman"/>
      <w:szCs w:val="20"/>
      <w:lang w:eastAsia="ru-RU"/>
    </w:rPr>
  </w:style>
  <w:style w:type="paragraph" w:styleId="1055">
    <w:name w:val="Стиль Обчн Знак1 + Первая строка:  055 см"/>
    <w:basedOn w:val="Normal"/>
    <w:autoRedefine/>
    <w:qFormat/>
    <w:pPr>
      <w:spacing w:lineRule="auto" w:line="240"/>
      <w:ind w:left="0" w:right="0" w:firstLine="720"/>
    </w:pPr>
    <w:rPr>
      <w:rFonts w:eastAsia="Times New Roman" w:cs="Times New Roman"/>
      <w:sz w:val="28"/>
      <w:szCs w:val="24"/>
      <w:lang w:eastAsia="ru-RU"/>
    </w:rPr>
  </w:style>
  <w:style w:type="paragraph" w:styleId="Xl28">
    <w:name w:val="xl28"/>
    <w:basedOn w:val="Normal"/>
    <w:qFormat/>
    <w:pPr>
      <w:pBdr>
        <w:bottom w:val="single" w:sz="4" w:space="0" w:color="000000"/>
      </w:pBdr>
      <w:spacing w:lineRule="auto" w:line="240" w:before="280" w:after="280"/>
      <w:ind w:left="0" w:right="0" w:hanging="0"/>
      <w:jc w:val="center"/>
      <w:textAlignment w:val="center"/>
    </w:pPr>
    <w:rPr>
      <w:rFonts w:ascii="Arial Unicode MS" w:hAnsi="Arial Unicode MS" w:eastAsia="Arial Unicode MS" w:cs="Arial Unicode MS"/>
      <w:szCs w:val="24"/>
      <w:lang w:eastAsia="ru-RU"/>
    </w:rPr>
  </w:style>
  <w:style w:type="paragraph" w:styleId="Xl22">
    <w:name w:val="xl22"/>
    <w:basedOn w:val="Normal"/>
    <w:qFormat/>
    <w:pPr>
      <w:pBdr>
        <w:left w:val="single" w:sz="8" w:space="0" w:color="000000"/>
        <w:bottom w:val="single" w:sz="8" w:space="0" w:color="000000"/>
        <w:right w:val="single" w:sz="8" w:space="0" w:color="000000"/>
      </w:pBdr>
      <w:shd w:val="clear" w:fill="FFFFFF"/>
      <w:spacing w:lineRule="auto" w:line="240" w:before="280" w:after="280"/>
      <w:ind w:left="0" w:right="0" w:hanging="0"/>
      <w:jc w:val="center"/>
    </w:pPr>
    <w:rPr>
      <w:rFonts w:eastAsia="Times New Roman" w:cs="Times New Roman"/>
      <w:sz w:val="18"/>
      <w:szCs w:val="18"/>
      <w:lang w:eastAsia="ru-RU"/>
    </w:rPr>
  </w:style>
  <w:style w:type="paragraph" w:styleId="Xl23">
    <w:name w:val="xl23"/>
    <w:basedOn w:val="Normal"/>
    <w:qFormat/>
    <w:pPr>
      <w:pBdr>
        <w:bottom w:val="single" w:sz="8" w:space="0" w:color="000000"/>
      </w:pBdr>
      <w:shd w:val="clear" w:fill="FFFFFF"/>
      <w:spacing w:lineRule="auto" w:line="240" w:before="280" w:after="280"/>
      <w:ind w:left="0" w:right="0" w:hanging="0"/>
      <w:jc w:val="center"/>
    </w:pPr>
    <w:rPr>
      <w:rFonts w:eastAsia="Times New Roman" w:cs="Times New Roman"/>
      <w:sz w:val="18"/>
      <w:szCs w:val="18"/>
      <w:lang w:eastAsia="ru-RU"/>
    </w:rPr>
  </w:style>
  <w:style w:type="paragraph" w:styleId="Xl26">
    <w:name w:val="xl26"/>
    <w:basedOn w:val="Normal"/>
    <w:qFormat/>
    <w:pPr>
      <w:shd w:val="clear" w:fill="FFFFFF"/>
      <w:spacing w:lineRule="auto" w:line="240" w:before="280" w:after="280"/>
      <w:ind w:left="0" w:right="0" w:hanging="0"/>
      <w:jc w:val="center"/>
    </w:pPr>
    <w:rPr>
      <w:rFonts w:eastAsia="Times New Roman" w:cs="Times New Roman"/>
      <w:sz w:val="18"/>
      <w:szCs w:val="18"/>
      <w:lang w:eastAsia="ru-RU"/>
    </w:rPr>
  </w:style>
  <w:style w:type="paragraph" w:styleId="Xl27">
    <w:name w:val="xl27"/>
    <w:basedOn w:val="Normal"/>
    <w:qFormat/>
    <w:pPr>
      <w:pBdr>
        <w:left w:val="single" w:sz="8" w:space="0" w:color="000000"/>
        <w:right w:val="single" w:sz="8" w:space="0" w:color="000000"/>
      </w:pBdr>
      <w:shd w:val="clear" w:fill="FFFFFF"/>
      <w:spacing w:lineRule="auto" w:line="240" w:before="280" w:after="280"/>
      <w:ind w:left="0" w:right="0" w:hanging="0"/>
      <w:jc w:val="center"/>
    </w:pPr>
    <w:rPr>
      <w:rFonts w:eastAsia="Times New Roman" w:cs="Times New Roman"/>
      <w:sz w:val="18"/>
      <w:szCs w:val="18"/>
      <w:lang w:eastAsia="ru-RU"/>
    </w:rPr>
  </w:style>
  <w:style w:type="paragraph" w:styleId="Xl29">
    <w:name w:val="xl29"/>
    <w:basedOn w:val="Normal"/>
    <w:qFormat/>
    <w:pPr>
      <w:pBdr>
        <w:right w:val="single" w:sz="8" w:space="0" w:color="000000"/>
      </w:pBdr>
      <w:shd w:val="clear" w:fill="FFFFFF"/>
      <w:spacing w:lineRule="auto" w:line="240" w:before="280" w:after="280"/>
      <w:ind w:left="0" w:right="0" w:hanging="0"/>
      <w:jc w:val="center"/>
    </w:pPr>
    <w:rPr>
      <w:rFonts w:eastAsia="Times New Roman" w:cs="Times New Roman"/>
      <w:sz w:val="18"/>
      <w:szCs w:val="18"/>
      <w:lang w:eastAsia="ru-RU"/>
    </w:rPr>
  </w:style>
  <w:style w:type="paragraph" w:styleId="Xl30">
    <w:name w:val="xl30"/>
    <w:basedOn w:val="Normal"/>
    <w:qFormat/>
    <w:pPr>
      <w:pBdr>
        <w:bottom w:val="single" w:sz="8" w:space="0" w:color="000000"/>
        <w:right w:val="single" w:sz="8" w:space="0" w:color="000000"/>
      </w:pBdr>
      <w:shd w:val="clear" w:fill="FFFFFF"/>
      <w:spacing w:lineRule="auto" w:line="240" w:before="280" w:after="280"/>
      <w:ind w:left="0" w:right="0" w:hanging="0"/>
      <w:jc w:val="center"/>
    </w:pPr>
    <w:rPr>
      <w:rFonts w:eastAsia="Times New Roman" w:cs="Times New Roman"/>
      <w:sz w:val="18"/>
      <w:szCs w:val="18"/>
      <w:lang w:eastAsia="ru-RU"/>
    </w:rPr>
  </w:style>
  <w:style w:type="paragraph" w:styleId="Xl33">
    <w:name w:val="xl33"/>
    <w:basedOn w:val="Normal"/>
    <w:qFormat/>
    <w:pPr>
      <w:pBdr>
        <w:left w:val="single" w:sz="8" w:space="0" w:color="000000"/>
        <w:bottom w:val="single" w:sz="8" w:space="0" w:color="000000"/>
        <w:right w:val="single" w:sz="8" w:space="0" w:color="000000"/>
      </w:pBdr>
      <w:shd w:val="clear" w:fill="FFFFFF"/>
      <w:spacing w:lineRule="auto" w:line="240" w:before="280" w:after="280"/>
      <w:ind w:left="0" w:right="0" w:hanging="0"/>
      <w:jc w:val="center"/>
    </w:pPr>
    <w:rPr>
      <w:rFonts w:eastAsia="Times New Roman" w:cs="Times New Roman"/>
      <w:sz w:val="18"/>
      <w:szCs w:val="18"/>
      <w:lang w:eastAsia="ru-RU"/>
    </w:rPr>
  </w:style>
  <w:style w:type="paragraph" w:styleId="Xl34">
    <w:name w:val="xl34"/>
    <w:basedOn w:val="Normal"/>
    <w:qFormat/>
    <w:pPr>
      <w:pBdr>
        <w:bottom w:val="single" w:sz="8" w:space="0" w:color="000000"/>
      </w:pBdr>
      <w:shd w:val="clear" w:fill="FFFFFF"/>
      <w:spacing w:lineRule="auto" w:line="240" w:before="280" w:after="280"/>
      <w:ind w:left="0" w:right="0" w:hanging="0"/>
      <w:jc w:val="center"/>
    </w:pPr>
    <w:rPr>
      <w:rFonts w:eastAsia="Times New Roman" w:cs="Times New Roman"/>
      <w:color w:val="FF0000"/>
      <w:sz w:val="18"/>
      <w:szCs w:val="18"/>
      <w:lang w:eastAsia="ru-RU"/>
    </w:rPr>
  </w:style>
  <w:style w:type="paragraph" w:styleId="Xl36">
    <w:name w:val="xl36"/>
    <w:basedOn w:val="Normal"/>
    <w:qFormat/>
    <w:pPr>
      <w:pBdr>
        <w:left w:val="single" w:sz="8" w:space="0" w:color="000000"/>
        <w:bottom w:val="single" w:sz="8" w:space="0" w:color="000000"/>
      </w:pBdr>
      <w:shd w:val="clear" w:fill="FFFFFF"/>
      <w:spacing w:lineRule="auto" w:line="240" w:before="280" w:after="280"/>
      <w:ind w:left="0" w:right="0" w:hanging="0"/>
      <w:jc w:val="center"/>
    </w:pPr>
    <w:rPr>
      <w:rFonts w:eastAsia="Times New Roman" w:cs="Times New Roman"/>
      <w:sz w:val="18"/>
      <w:szCs w:val="18"/>
      <w:lang w:eastAsia="ru-RU"/>
    </w:rPr>
  </w:style>
  <w:style w:type="paragraph" w:styleId="Xl37">
    <w:name w:val="xl37"/>
    <w:basedOn w:val="Normal"/>
    <w:qFormat/>
    <w:pPr>
      <w:pBdr>
        <w:top w:val="single" w:sz="8" w:space="0" w:color="000000"/>
      </w:pBdr>
      <w:shd w:val="clear" w:fill="FFFFFF"/>
      <w:spacing w:lineRule="auto" w:line="240" w:before="280" w:after="280"/>
      <w:ind w:left="0" w:right="0" w:hanging="0"/>
      <w:jc w:val="center"/>
    </w:pPr>
    <w:rPr>
      <w:rFonts w:eastAsia="Times New Roman" w:cs="Times New Roman"/>
      <w:sz w:val="18"/>
      <w:szCs w:val="18"/>
      <w:lang w:eastAsia="ru-RU"/>
    </w:rPr>
  </w:style>
  <w:style w:type="paragraph" w:styleId="Xl38">
    <w:name w:val="xl38"/>
    <w:basedOn w:val="Normal"/>
    <w:qFormat/>
    <w:pPr>
      <w:pBdr>
        <w:top w:val="single" w:sz="8" w:space="0" w:color="000000"/>
        <w:right w:val="single" w:sz="8" w:space="0" w:color="000000"/>
      </w:pBdr>
      <w:shd w:val="clear" w:fill="FFFFFF"/>
      <w:spacing w:lineRule="auto" w:line="240" w:before="280" w:after="280"/>
      <w:ind w:left="0" w:right="0" w:hanging="0"/>
      <w:jc w:val="center"/>
    </w:pPr>
    <w:rPr>
      <w:rFonts w:eastAsia="Times New Roman" w:cs="Times New Roman"/>
      <w:sz w:val="18"/>
      <w:szCs w:val="18"/>
      <w:lang w:eastAsia="ru-RU"/>
    </w:rPr>
  </w:style>
  <w:style w:type="paragraph" w:styleId="Xl39">
    <w:name w:val="xl39"/>
    <w:basedOn w:val="Normal"/>
    <w:qFormat/>
    <w:pPr>
      <w:pBdr>
        <w:top w:val="single" w:sz="8" w:space="0" w:color="000000"/>
        <w:left w:val="single" w:sz="8" w:space="0" w:color="000000"/>
      </w:pBdr>
      <w:shd w:val="clear" w:fill="FFFFFF"/>
      <w:spacing w:lineRule="auto" w:line="240" w:before="280" w:after="280"/>
      <w:ind w:left="0" w:right="0" w:hanging="0"/>
      <w:jc w:val="center"/>
    </w:pPr>
    <w:rPr>
      <w:rFonts w:eastAsia="Times New Roman" w:cs="Times New Roman"/>
      <w:sz w:val="18"/>
      <w:szCs w:val="18"/>
      <w:lang w:eastAsia="ru-RU"/>
    </w:rPr>
  </w:style>
  <w:style w:type="paragraph" w:styleId="Xl40">
    <w:name w:val="xl40"/>
    <w:basedOn w:val="Normal"/>
    <w:qFormat/>
    <w:pPr>
      <w:pBdr>
        <w:left w:val="single" w:sz="8" w:space="0" w:color="000000"/>
        <w:bottom w:val="single" w:sz="8" w:space="0" w:color="000000"/>
      </w:pBdr>
      <w:shd w:val="clear" w:fill="FFFFFF"/>
      <w:spacing w:lineRule="auto" w:line="240" w:before="280" w:after="280"/>
      <w:ind w:left="0" w:right="0" w:hanging="0"/>
      <w:jc w:val="center"/>
    </w:pPr>
    <w:rPr>
      <w:rFonts w:eastAsia="Times New Roman" w:cs="Times New Roman"/>
      <w:sz w:val="18"/>
      <w:szCs w:val="18"/>
      <w:lang w:eastAsia="ru-RU"/>
    </w:rPr>
  </w:style>
  <w:style w:type="paragraph" w:styleId="Xl41">
    <w:name w:val="xl41"/>
    <w:basedOn w:val="Normal"/>
    <w:qFormat/>
    <w:pPr>
      <w:pBdr>
        <w:top w:val="single" w:sz="8" w:space="0" w:color="000000"/>
      </w:pBdr>
      <w:shd w:val="clear" w:fill="FFFFFF"/>
      <w:spacing w:lineRule="auto" w:line="240" w:before="280" w:after="280"/>
      <w:ind w:left="0" w:right="0" w:hanging="0"/>
      <w:jc w:val="center"/>
    </w:pPr>
    <w:rPr>
      <w:rFonts w:eastAsia="Times New Roman" w:cs="Times New Roman"/>
      <w:sz w:val="18"/>
      <w:szCs w:val="18"/>
      <w:lang w:eastAsia="ru-RU"/>
    </w:rPr>
  </w:style>
  <w:style w:type="paragraph" w:styleId="Xl42">
    <w:name w:val="xl42"/>
    <w:basedOn w:val="Normal"/>
    <w:qFormat/>
    <w:pPr>
      <w:pBdr>
        <w:top w:val="single" w:sz="8" w:space="0" w:color="000000"/>
        <w:right w:val="single" w:sz="8" w:space="0" w:color="000000"/>
      </w:pBdr>
      <w:shd w:val="clear" w:fill="FFFFFF"/>
      <w:spacing w:lineRule="auto" w:line="240" w:before="280" w:after="280"/>
      <w:ind w:left="0" w:right="0" w:hanging="0"/>
      <w:jc w:val="center"/>
    </w:pPr>
    <w:rPr>
      <w:rFonts w:eastAsia="Times New Roman" w:cs="Times New Roman"/>
      <w:sz w:val="18"/>
      <w:szCs w:val="18"/>
      <w:lang w:eastAsia="ru-RU"/>
    </w:rPr>
  </w:style>
  <w:style w:type="paragraph" w:styleId="Xl43">
    <w:name w:val="xl43"/>
    <w:basedOn w:val="Normal"/>
    <w:qFormat/>
    <w:pPr>
      <w:pBdr>
        <w:top w:val="single" w:sz="8" w:space="0" w:color="000000"/>
        <w:left w:val="single" w:sz="8" w:space="0" w:color="000000"/>
        <w:bottom w:val="single" w:sz="8" w:space="0" w:color="000000"/>
      </w:pBdr>
      <w:shd w:val="clear" w:fill="FFFFFF"/>
      <w:spacing w:lineRule="auto" w:line="240" w:before="280" w:after="280"/>
      <w:ind w:left="0" w:right="0" w:hanging="0"/>
      <w:jc w:val="center"/>
    </w:pPr>
    <w:rPr>
      <w:rFonts w:eastAsia="Times New Roman" w:cs="Times New Roman"/>
      <w:b/>
      <w:bCs/>
      <w:sz w:val="18"/>
      <w:szCs w:val="18"/>
      <w:lang w:eastAsia="ru-RU"/>
    </w:rPr>
  </w:style>
  <w:style w:type="paragraph" w:styleId="Xl44">
    <w:name w:val="xl44"/>
    <w:basedOn w:val="Normal"/>
    <w:qFormat/>
    <w:pPr>
      <w:pBdr>
        <w:left w:val="single" w:sz="8" w:space="0" w:color="000000"/>
      </w:pBdr>
      <w:shd w:val="clear" w:fill="FFFFFF"/>
      <w:spacing w:lineRule="auto" w:line="240" w:before="280" w:after="280"/>
      <w:ind w:left="0" w:right="0" w:hanging="0"/>
      <w:jc w:val="center"/>
    </w:pPr>
    <w:rPr>
      <w:rFonts w:eastAsia="Times New Roman" w:cs="Times New Roman"/>
      <w:sz w:val="18"/>
      <w:szCs w:val="18"/>
      <w:lang w:eastAsia="ru-RU"/>
    </w:rPr>
  </w:style>
  <w:style w:type="paragraph" w:styleId="Xl45">
    <w:name w:val="xl45"/>
    <w:basedOn w:val="Normal"/>
    <w:qFormat/>
    <w:pPr>
      <w:pBdr>
        <w:top w:val="single" w:sz="8" w:space="0" w:color="000000"/>
        <w:left w:val="single" w:sz="8" w:space="0" w:color="000000"/>
        <w:right w:val="single" w:sz="8" w:space="0" w:color="000000"/>
      </w:pBdr>
      <w:shd w:val="clear" w:fill="FFFFFF"/>
      <w:spacing w:lineRule="auto" w:line="240" w:before="280" w:after="280"/>
      <w:ind w:left="0" w:right="0" w:hanging="0"/>
      <w:jc w:val="center"/>
    </w:pPr>
    <w:rPr>
      <w:rFonts w:eastAsia="Times New Roman" w:cs="Times New Roman"/>
      <w:sz w:val="18"/>
      <w:szCs w:val="18"/>
      <w:lang w:eastAsia="ru-RU"/>
    </w:rPr>
  </w:style>
  <w:style w:type="paragraph" w:styleId="Xl46">
    <w:name w:val="xl46"/>
    <w:basedOn w:val="Normal"/>
    <w:qFormat/>
    <w:pPr>
      <w:pBdr>
        <w:left w:val="single" w:sz="8" w:space="0" w:color="000000"/>
      </w:pBdr>
      <w:shd w:val="clear" w:fill="FFFFFF"/>
      <w:spacing w:lineRule="auto" w:line="240" w:before="280" w:after="280"/>
      <w:ind w:left="0" w:right="0" w:hanging="0"/>
      <w:jc w:val="center"/>
    </w:pPr>
    <w:rPr>
      <w:rFonts w:eastAsia="Times New Roman" w:cs="Times New Roman"/>
      <w:sz w:val="18"/>
      <w:szCs w:val="18"/>
      <w:lang w:eastAsia="ru-RU"/>
    </w:rPr>
  </w:style>
  <w:style w:type="paragraph" w:styleId="Xl47">
    <w:name w:val="xl47"/>
    <w:basedOn w:val="Normal"/>
    <w:qFormat/>
    <w:pPr>
      <w:pBdr>
        <w:top w:val="single" w:sz="8" w:space="0" w:color="000000"/>
        <w:left w:val="single" w:sz="8" w:space="0" w:color="000000"/>
        <w:bottom w:val="single" w:sz="8" w:space="0" w:color="000000"/>
      </w:pBdr>
      <w:shd w:val="clear" w:fill="FFFFFF"/>
      <w:spacing w:lineRule="auto" w:line="240" w:before="280" w:after="280"/>
      <w:ind w:left="0" w:right="0" w:hanging="0"/>
      <w:jc w:val="center"/>
      <w:textAlignment w:val="center"/>
    </w:pPr>
    <w:rPr>
      <w:rFonts w:eastAsia="Times New Roman" w:cs="Times New Roman"/>
      <w:b/>
      <w:bCs/>
      <w:sz w:val="18"/>
      <w:szCs w:val="18"/>
      <w:lang w:eastAsia="ru-RU"/>
    </w:rPr>
  </w:style>
  <w:style w:type="paragraph" w:styleId="Xl48">
    <w:name w:val="xl48"/>
    <w:basedOn w:val="Normal"/>
    <w:qFormat/>
    <w:pPr>
      <w:pBdr>
        <w:top w:val="single" w:sz="8" w:space="0" w:color="000000"/>
        <w:bottom w:val="single" w:sz="8" w:space="0" w:color="000000"/>
        <w:right w:val="single" w:sz="8" w:space="0" w:color="000000"/>
      </w:pBdr>
      <w:spacing w:lineRule="auto" w:line="240" w:before="280" w:after="280"/>
      <w:ind w:left="0" w:right="0" w:hanging="0"/>
      <w:jc w:val="center"/>
      <w:textAlignment w:val="center"/>
    </w:pPr>
    <w:rPr>
      <w:rFonts w:eastAsia="Times New Roman" w:cs="Times New Roman"/>
      <w:szCs w:val="24"/>
      <w:lang w:eastAsia="ru-RU"/>
    </w:rPr>
  </w:style>
  <w:style w:type="paragraph" w:styleId="Xl49">
    <w:name w:val="xl49"/>
    <w:basedOn w:val="Normal"/>
    <w:qFormat/>
    <w:pPr>
      <w:pBdr>
        <w:top w:val="single" w:sz="8" w:space="0" w:color="000000"/>
        <w:left w:val="single" w:sz="8" w:space="0" w:color="000000"/>
        <w:right w:val="single" w:sz="8" w:space="0" w:color="000000"/>
      </w:pBdr>
      <w:shd w:val="clear" w:fill="FFFFFF"/>
      <w:spacing w:lineRule="auto" w:line="240" w:before="280" w:after="280"/>
      <w:ind w:left="0" w:right="0" w:hanging="0"/>
      <w:jc w:val="center"/>
      <w:textAlignment w:val="center"/>
    </w:pPr>
    <w:rPr>
      <w:rFonts w:eastAsia="Times New Roman" w:cs="Times New Roman"/>
      <w:b/>
      <w:bCs/>
      <w:sz w:val="18"/>
      <w:szCs w:val="18"/>
      <w:lang w:eastAsia="ru-RU"/>
    </w:rPr>
  </w:style>
  <w:style w:type="paragraph" w:styleId="Xl50">
    <w:name w:val="xl50"/>
    <w:basedOn w:val="Normal"/>
    <w:qFormat/>
    <w:pPr>
      <w:pBdr>
        <w:left w:val="single" w:sz="8" w:space="0" w:color="000000"/>
        <w:bottom w:val="single" w:sz="8" w:space="0" w:color="000000"/>
        <w:right w:val="single" w:sz="8" w:space="0" w:color="000000"/>
      </w:pBdr>
      <w:spacing w:lineRule="auto" w:line="240" w:before="280" w:after="280"/>
      <w:ind w:left="0" w:right="0" w:hanging="0"/>
      <w:jc w:val="center"/>
      <w:textAlignment w:val="center"/>
    </w:pPr>
    <w:rPr>
      <w:rFonts w:eastAsia="Times New Roman" w:cs="Times New Roman"/>
      <w:szCs w:val="24"/>
      <w:lang w:eastAsia="ru-RU"/>
    </w:rPr>
  </w:style>
  <w:style w:type="paragraph" w:styleId="Xl51">
    <w:name w:val="xl51"/>
    <w:basedOn w:val="Normal"/>
    <w:qFormat/>
    <w:pPr>
      <w:pBdr>
        <w:top w:val="single" w:sz="8" w:space="0" w:color="000000"/>
        <w:left w:val="single" w:sz="8" w:space="0" w:color="000000"/>
        <w:bottom w:val="single" w:sz="8" w:space="0" w:color="000000"/>
        <w:right w:val="single" w:sz="8" w:space="0" w:color="000000"/>
      </w:pBdr>
      <w:shd w:val="clear" w:fill="FFFFFF"/>
      <w:spacing w:lineRule="auto" w:line="240" w:before="280" w:after="280"/>
      <w:ind w:left="0" w:right="0" w:hanging="0"/>
      <w:jc w:val="center"/>
      <w:textAlignment w:val="center"/>
    </w:pPr>
    <w:rPr>
      <w:rFonts w:eastAsia="Times New Roman" w:cs="Times New Roman"/>
      <w:b/>
      <w:bCs/>
      <w:sz w:val="18"/>
      <w:szCs w:val="18"/>
      <w:lang w:eastAsia="ru-RU"/>
    </w:rPr>
  </w:style>
  <w:style w:type="paragraph" w:styleId="Xl52">
    <w:name w:val="xl52"/>
    <w:basedOn w:val="Normal"/>
    <w:qFormat/>
    <w:pPr>
      <w:pBdr>
        <w:top w:val="single" w:sz="8" w:space="0" w:color="000000"/>
        <w:bottom w:val="single" w:sz="8" w:space="0" w:color="000000"/>
      </w:pBdr>
      <w:spacing w:lineRule="auto" w:line="240" w:before="280" w:after="280"/>
      <w:ind w:left="0" w:right="0" w:hanging="0"/>
      <w:jc w:val="center"/>
    </w:pPr>
    <w:rPr>
      <w:rFonts w:eastAsia="Times New Roman" w:cs="Times New Roman"/>
      <w:szCs w:val="24"/>
      <w:lang w:eastAsia="ru-RU"/>
    </w:rPr>
  </w:style>
  <w:style w:type="paragraph" w:styleId="Xl53">
    <w:name w:val="xl53"/>
    <w:basedOn w:val="Normal"/>
    <w:qFormat/>
    <w:pPr>
      <w:pBdr>
        <w:top w:val="single" w:sz="8" w:space="0" w:color="000000"/>
        <w:bottom w:val="single" w:sz="8" w:space="0" w:color="000000"/>
        <w:right w:val="single" w:sz="8" w:space="0" w:color="000000"/>
      </w:pBdr>
      <w:spacing w:lineRule="auto" w:line="240" w:before="280" w:after="280"/>
      <w:ind w:left="0" w:right="0" w:hanging="0"/>
      <w:jc w:val="center"/>
    </w:pPr>
    <w:rPr>
      <w:rFonts w:eastAsia="Times New Roman" w:cs="Times New Roman"/>
      <w:szCs w:val="24"/>
      <w:lang w:eastAsia="ru-RU"/>
    </w:rPr>
  </w:style>
  <w:style w:type="paragraph" w:styleId="Xl55">
    <w:name w:val="xl55"/>
    <w:basedOn w:val="Normal"/>
    <w:qFormat/>
    <w:pPr>
      <w:pBdr>
        <w:top w:val="single" w:sz="8" w:space="0" w:color="000000"/>
        <w:bottom w:val="single" w:sz="8" w:space="0" w:color="000000"/>
        <w:right w:val="single" w:sz="8" w:space="0" w:color="000000"/>
      </w:pBdr>
      <w:spacing w:lineRule="auto" w:line="240" w:before="280" w:after="280"/>
      <w:ind w:left="0" w:right="0" w:hanging="0"/>
      <w:jc w:val="center"/>
    </w:pPr>
    <w:rPr>
      <w:rFonts w:eastAsia="Times New Roman" w:cs="Times New Roman"/>
      <w:b/>
      <w:bCs/>
      <w:szCs w:val="24"/>
      <w:lang w:eastAsia="ru-RU"/>
    </w:rPr>
  </w:style>
  <w:style w:type="paragraph" w:styleId="Xl56">
    <w:name w:val="xl56"/>
    <w:basedOn w:val="Normal"/>
    <w:qFormat/>
    <w:pPr>
      <w:pBdr>
        <w:top w:val="single" w:sz="8" w:space="0" w:color="000000"/>
        <w:left w:val="single" w:sz="8" w:space="0" w:color="000000"/>
        <w:bottom w:val="single" w:sz="8" w:space="0" w:color="000000"/>
      </w:pBdr>
      <w:shd w:val="clear" w:fill="FFFFFF"/>
      <w:spacing w:lineRule="auto" w:line="240" w:before="280" w:after="280"/>
      <w:ind w:left="0" w:right="0" w:hanging="0"/>
      <w:jc w:val="center"/>
    </w:pPr>
    <w:rPr>
      <w:rFonts w:eastAsia="Times New Roman" w:cs="Times New Roman"/>
      <w:sz w:val="18"/>
      <w:szCs w:val="18"/>
      <w:lang w:eastAsia="ru-RU"/>
    </w:rPr>
  </w:style>
  <w:style w:type="paragraph" w:styleId="Xl57">
    <w:name w:val="xl57"/>
    <w:basedOn w:val="Normal"/>
    <w:qFormat/>
    <w:pPr>
      <w:pBdr>
        <w:top w:val="single" w:sz="8" w:space="0" w:color="000000"/>
        <w:bottom w:val="single" w:sz="8" w:space="0" w:color="000000"/>
      </w:pBdr>
      <w:shd w:val="clear" w:fill="FFFFFF"/>
      <w:spacing w:lineRule="auto" w:line="240" w:before="280" w:after="280"/>
      <w:ind w:left="0" w:right="0" w:hanging="0"/>
      <w:jc w:val="center"/>
    </w:pPr>
    <w:rPr>
      <w:rFonts w:eastAsia="Times New Roman" w:cs="Times New Roman"/>
      <w:sz w:val="18"/>
      <w:szCs w:val="18"/>
      <w:lang w:eastAsia="ru-RU"/>
    </w:rPr>
  </w:style>
  <w:style w:type="paragraph" w:styleId="Xl58">
    <w:name w:val="xl58"/>
    <w:basedOn w:val="Normal"/>
    <w:qFormat/>
    <w:pPr>
      <w:pBdr>
        <w:top w:val="single" w:sz="8" w:space="0" w:color="000000"/>
        <w:bottom w:val="single" w:sz="8" w:space="0" w:color="000000"/>
        <w:right w:val="single" w:sz="8" w:space="0" w:color="000000"/>
      </w:pBdr>
      <w:shd w:val="clear" w:fill="FFFFFF"/>
      <w:spacing w:lineRule="auto" w:line="240" w:before="280" w:after="280"/>
      <w:ind w:left="0" w:right="0" w:hanging="0"/>
      <w:jc w:val="center"/>
    </w:pPr>
    <w:rPr>
      <w:rFonts w:eastAsia="Times New Roman" w:cs="Times New Roman"/>
      <w:sz w:val="18"/>
      <w:szCs w:val="18"/>
      <w:lang w:eastAsia="ru-RU"/>
    </w:rPr>
  </w:style>
  <w:style w:type="paragraph" w:styleId="Xl59">
    <w:name w:val="xl59"/>
    <w:basedOn w:val="Normal"/>
    <w:qFormat/>
    <w:pPr>
      <w:pBdr>
        <w:top w:val="single" w:sz="8" w:space="0" w:color="000000"/>
        <w:left w:val="single" w:sz="8" w:space="0" w:color="000000"/>
        <w:bottom w:val="single" w:sz="8" w:space="0" w:color="000000"/>
      </w:pBdr>
      <w:shd w:val="clear" w:fill="FFFFFF"/>
      <w:spacing w:lineRule="auto" w:line="240" w:before="280" w:after="280"/>
      <w:ind w:left="0" w:right="0" w:hanging="0"/>
      <w:jc w:val="center"/>
    </w:pPr>
    <w:rPr>
      <w:rFonts w:eastAsia="Times New Roman" w:cs="Times New Roman"/>
      <w:sz w:val="18"/>
      <w:szCs w:val="18"/>
      <w:lang w:eastAsia="ru-RU"/>
    </w:rPr>
  </w:style>
  <w:style w:type="paragraph" w:styleId="Xl60">
    <w:name w:val="xl60"/>
    <w:basedOn w:val="Normal"/>
    <w:qFormat/>
    <w:pPr>
      <w:pBdr>
        <w:top w:val="single" w:sz="8" w:space="0" w:color="000000"/>
        <w:bottom w:val="single" w:sz="8" w:space="0" w:color="000000"/>
      </w:pBdr>
      <w:shd w:val="clear" w:fill="FFFFFF"/>
      <w:spacing w:lineRule="auto" w:line="240" w:before="280" w:after="280"/>
      <w:ind w:left="0" w:right="0" w:hanging="0"/>
      <w:jc w:val="center"/>
    </w:pPr>
    <w:rPr>
      <w:rFonts w:eastAsia="Times New Roman" w:cs="Times New Roman"/>
      <w:sz w:val="18"/>
      <w:szCs w:val="18"/>
      <w:lang w:eastAsia="ru-RU"/>
    </w:rPr>
  </w:style>
  <w:style w:type="paragraph" w:styleId="Xl61">
    <w:name w:val="xl61"/>
    <w:basedOn w:val="Normal"/>
    <w:qFormat/>
    <w:pPr>
      <w:pBdr>
        <w:top w:val="single" w:sz="8" w:space="0" w:color="000000"/>
        <w:bottom w:val="single" w:sz="8" w:space="0" w:color="000000"/>
        <w:right w:val="single" w:sz="8" w:space="0" w:color="000000"/>
      </w:pBdr>
      <w:shd w:val="clear" w:fill="FFFFFF"/>
      <w:spacing w:lineRule="auto" w:line="240" w:before="280" w:after="280"/>
      <w:ind w:left="0" w:right="0" w:hanging="0"/>
      <w:jc w:val="center"/>
    </w:pPr>
    <w:rPr>
      <w:rFonts w:eastAsia="Times New Roman" w:cs="Times New Roman"/>
      <w:sz w:val="18"/>
      <w:szCs w:val="18"/>
      <w:lang w:eastAsia="ru-RU"/>
    </w:rPr>
  </w:style>
  <w:style w:type="paragraph" w:styleId="Style143">
    <w:name w:val="Текст записки"/>
    <w:link w:val="Style50"/>
    <w:qFormat/>
    <w:pPr>
      <w:widowControl/>
      <w:suppressAutoHyphens w:val="true"/>
      <w:overflowPunct w:val="true"/>
      <w:bidi w:val="0"/>
      <w:spacing w:lineRule="auto" w:line="360" w:before="0" w:after="0"/>
      <w:ind w:left="360" w:right="0" w:firstLine="709"/>
      <w:jc w:val="both"/>
    </w:pPr>
    <w:rPr>
      <w:rFonts w:ascii="Times New Roman" w:hAnsi="Times New Roman" w:eastAsia="MS Mincho" w:cs="Times New Roman"/>
      <w:color w:val="auto"/>
      <w:kern w:val="0"/>
      <w:sz w:val="24"/>
      <w:szCs w:val="20"/>
      <w:lang w:val="ru-RU" w:eastAsia="ru-RU" w:bidi="ar-SA"/>
    </w:rPr>
  </w:style>
  <w:style w:type="paragraph" w:styleId="Style144">
    <w:name w:val="Заголовки столбцов"/>
    <w:basedOn w:val="Style143"/>
    <w:qFormat/>
    <w:pPr>
      <w:spacing w:lineRule="auto" w:line="240"/>
      <w:ind w:left="0" w:right="0" w:hanging="0"/>
      <w:jc w:val="center"/>
    </w:pPr>
    <w:rPr>
      <w:b/>
      <w:bCs/>
    </w:rPr>
  </w:style>
  <w:style w:type="paragraph" w:styleId="228">
    <w:name w:val="Долж2"/>
    <w:basedOn w:val="Normal"/>
    <w:next w:val="Normal"/>
    <w:qFormat/>
    <w:pPr>
      <w:spacing w:lineRule="auto" w:line="240"/>
      <w:ind w:left="0" w:right="0" w:hanging="0"/>
      <w:jc w:val="left"/>
    </w:pPr>
    <w:rPr>
      <w:rFonts w:eastAsia="Times New Roman" w:cs="Times New Roman"/>
      <w:szCs w:val="20"/>
      <w:lang w:eastAsia="ru-RU"/>
    </w:rPr>
  </w:style>
  <w:style w:type="paragraph" w:styleId="Style145">
    <w:name w:val="Мой Список"/>
    <w:basedOn w:val="Normal"/>
    <w:next w:val="Normal"/>
    <w:qFormat/>
    <w:pPr>
      <w:tabs>
        <w:tab w:val="clear" w:pos="708"/>
        <w:tab w:val="left" w:pos="1140" w:leader="none"/>
      </w:tabs>
      <w:ind w:left="1140" w:right="0" w:hanging="360"/>
    </w:pPr>
    <w:rPr>
      <w:rFonts w:eastAsia="Times New Roman" w:cs="Times New Roman"/>
      <w:szCs w:val="24"/>
      <w:lang w:eastAsia="ru-RU"/>
    </w:rPr>
  </w:style>
  <w:style w:type="paragraph" w:styleId="TableofFigures">
    <w:name w:val="Table of Figures"/>
    <w:basedOn w:val="Normal"/>
    <w:qFormat/>
    <w:pPr>
      <w:keepNext w:val="true"/>
      <w:spacing w:lineRule="auto" w:line="240" w:before="240" w:after="120"/>
      <w:ind w:left="0" w:right="0" w:hanging="0"/>
      <w:jc w:val="center"/>
    </w:pPr>
    <w:rPr>
      <w:rFonts w:eastAsia="Times New Roman" w:cs="Times New Roman"/>
      <w:b/>
      <w:bCs/>
      <w:szCs w:val="20"/>
      <w:lang w:eastAsia="ru-RU"/>
    </w:rPr>
  </w:style>
  <w:style w:type="paragraph" w:styleId="Style146">
    <w:name w:val="Подрисуночная подпись"/>
    <w:basedOn w:val="Normal"/>
    <w:qFormat/>
    <w:pPr>
      <w:spacing w:lineRule="auto" w:line="240" w:before="0" w:after="240"/>
      <w:ind w:left="0" w:right="0" w:hanging="0"/>
    </w:pPr>
    <w:rPr>
      <w:rFonts w:eastAsia="MS Mincho" w:cs="Times New Roman"/>
      <w:b/>
      <w:szCs w:val="20"/>
      <w:lang w:eastAsia="ru-RU"/>
    </w:rPr>
  </w:style>
  <w:style w:type="paragraph" w:styleId="Style147">
    <w:name w:val="Название таблицы"/>
    <w:basedOn w:val="Normal"/>
    <w:qFormat/>
    <w:pPr>
      <w:keepNext w:val="true"/>
      <w:keepLines/>
      <w:spacing w:lineRule="auto" w:line="240" w:before="240" w:after="0"/>
      <w:ind w:left="0" w:right="0" w:hanging="0"/>
    </w:pPr>
    <w:rPr>
      <w:rFonts w:eastAsia="MS Mincho" w:cs="Times New Roman"/>
      <w:b/>
      <w:szCs w:val="20"/>
      <w:lang w:eastAsia="ru-RU"/>
    </w:rPr>
  </w:style>
  <w:style w:type="paragraph" w:styleId="Style148">
    <w:name w:val="Примечание"/>
    <w:qFormat/>
    <w:pPr>
      <w:widowControl/>
      <w:suppressAutoHyphens w:val="true"/>
      <w:overflowPunct w:val="true"/>
      <w:bidi w:val="0"/>
      <w:spacing w:lineRule="auto" w:line="240" w:before="0" w:after="240"/>
      <w:jc w:val="left"/>
    </w:pPr>
    <w:rPr>
      <w:rFonts w:ascii="Times New Roman" w:hAnsi="Times New Roman" w:eastAsia="Times New Roman" w:cs="Times New Roman"/>
      <w:color w:val="auto"/>
      <w:kern w:val="0"/>
      <w:sz w:val="20"/>
      <w:szCs w:val="20"/>
      <w:lang w:val="ru-RU" w:eastAsia="ru-RU" w:bidi="ar-SA"/>
    </w:rPr>
  </w:style>
  <w:style w:type="paragraph" w:styleId="Style149">
    <w:name w:val="Марк список"/>
    <w:basedOn w:val="Normal"/>
    <w:qFormat/>
    <w:pPr>
      <w:tabs>
        <w:tab w:val="clear" w:pos="708"/>
        <w:tab w:val="left" w:pos="1140" w:leader="none"/>
      </w:tabs>
      <w:spacing w:lineRule="auto" w:line="240" w:before="0" w:after="140"/>
      <w:ind w:left="1140" w:right="0" w:hanging="360"/>
    </w:pPr>
    <w:rPr>
      <w:rFonts w:eastAsia="Times New Roman" w:cs="Times New Roman"/>
      <w:szCs w:val="20"/>
      <w:lang w:eastAsia="ru-RU"/>
    </w:rPr>
  </w:style>
  <w:style w:type="paragraph" w:styleId="Style150">
    <w:name w:val="Раздел записки"/>
    <w:basedOn w:val="Normal"/>
    <w:next w:val="Normal"/>
    <w:qFormat/>
    <w:pPr>
      <w:tabs>
        <w:tab w:val="clear" w:pos="708"/>
        <w:tab w:val="left" w:pos="900" w:leader="none"/>
      </w:tabs>
      <w:spacing w:lineRule="auto" w:line="240"/>
      <w:ind w:left="900" w:right="0" w:hanging="555"/>
      <w:jc w:val="left"/>
    </w:pPr>
    <w:rPr>
      <w:rFonts w:eastAsia="MS Mincho" w:cs="Times New Roman"/>
      <w:b/>
      <w:sz w:val="28"/>
      <w:szCs w:val="20"/>
      <w:lang w:eastAsia="ru-RU"/>
    </w:rPr>
  </w:style>
  <w:style w:type="paragraph" w:styleId="Style152">
    <w:name w:val="Подраздел записки"/>
    <w:basedOn w:val="Normal"/>
    <w:next w:val="Normal"/>
    <w:qFormat/>
    <w:pPr>
      <w:numPr>
        <w:ilvl w:val="0"/>
        <w:numId w:val="0"/>
      </w:numPr>
      <w:tabs>
        <w:tab w:val="clear" w:pos="708"/>
        <w:tab w:val="left" w:pos="1425" w:leader="none"/>
      </w:tabs>
      <w:spacing w:lineRule="auto" w:line="240"/>
      <w:ind w:left="1425" w:right="0" w:hanging="720"/>
      <w:jc w:val="left"/>
    </w:pPr>
    <w:rPr>
      <w:rFonts w:eastAsia="MS Mincho" w:cs="Times New Roman"/>
      <w:b/>
      <w:sz w:val="20"/>
      <w:szCs w:val="20"/>
      <w:lang w:eastAsia="ru-RU"/>
    </w:rPr>
  </w:style>
  <w:style w:type="paragraph" w:styleId="229">
    <w:name w:val="Список с маркерами 2"/>
    <w:basedOn w:val="Normal"/>
    <w:qFormat/>
    <w:pPr>
      <w:tabs>
        <w:tab w:val="clear" w:pos="708"/>
        <w:tab w:val="left" w:pos="3229" w:leader="none"/>
      </w:tabs>
      <w:spacing w:lineRule="auto" w:line="240"/>
      <w:ind w:left="3229" w:right="0" w:hanging="360"/>
      <w:jc w:val="left"/>
    </w:pPr>
    <w:rPr>
      <w:rFonts w:eastAsia="Times New Roman" w:cs="Times New Roman"/>
      <w:szCs w:val="24"/>
      <w:lang w:eastAsia="ru-RU"/>
    </w:rPr>
  </w:style>
  <w:style w:type="paragraph" w:styleId="Style153">
    <w:name w:val="Письмо"/>
    <w:basedOn w:val="Normal"/>
    <w:qFormat/>
    <w:pPr>
      <w:spacing w:lineRule="auto" w:line="240"/>
      <w:ind w:left="0" w:right="0" w:firstLine="709"/>
    </w:pPr>
    <w:rPr>
      <w:rFonts w:eastAsia="Times New Roman" w:cs="Times New Roman"/>
      <w:sz w:val="28"/>
      <w:szCs w:val="24"/>
      <w:lang w:eastAsia="ru-RU"/>
    </w:rPr>
  </w:style>
  <w:style w:type="paragraph" w:styleId="1116">
    <w:name w:val="Обычный11"/>
    <w:qFormat/>
    <w:pPr>
      <w:widowControl/>
      <w:suppressAutoHyphens w:val="true"/>
      <w:overflowPunct w:val="true"/>
      <w:bidi w:val="0"/>
      <w:spacing w:lineRule="auto" w:line="240" w:before="0" w:after="0"/>
      <w:jc w:val="left"/>
    </w:pPr>
    <w:rPr>
      <w:rFonts w:ascii="Times New Roman" w:hAnsi="Times New Roman" w:eastAsia="Calibri" w:cs="Times New Roman"/>
      <w:color w:val="auto"/>
      <w:kern w:val="0"/>
      <w:sz w:val="20"/>
      <w:szCs w:val="20"/>
      <w:lang w:val="ru-RU" w:eastAsia="ru-RU" w:bidi="ar-SA"/>
    </w:rPr>
  </w:style>
  <w:style w:type="paragraph" w:styleId="Normal1">
    <w:name w:val="Normal1"/>
    <w:qFormat/>
    <w:pPr>
      <w:widowControl/>
      <w:suppressAutoHyphens w:val="true"/>
      <w:overflowPunct w:val="true"/>
      <w:bidi w:val="0"/>
      <w:spacing w:lineRule="auto" w:line="240" w:before="0" w:after="0"/>
      <w:jc w:val="left"/>
    </w:pPr>
    <w:rPr>
      <w:rFonts w:ascii="Times New Roman" w:hAnsi="Times New Roman" w:eastAsia="Calibri" w:cs="Times New Roman"/>
      <w:color w:val="auto"/>
      <w:kern w:val="0"/>
      <w:sz w:val="20"/>
      <w:szCs w:val="20"/>
      <w:lang w:val="ru-RU" w:eastAsia="ru-RU" w:bidi="ar-SA"/>
    </w:rPr>
  </w:style>
  <w:style w:type="paragraph" w:styleId="Style410">
    <w:name w:val="Style4"/>
    <w:basedOn w:val="Normal"/>
    <w:qFormat/>
    <w:pPr>
      <w:widowControl w:val="false"/>
      <w:spacing w:lineRule="exact" w:line="326"/>
      <w:ind w:left="0" w:right="0" w:firstLine="725"/>
    </w:pPr>
    <w:rPr>
      <w:rFonts w:ascii="Arial" w:hAnsi="Arial" w:eastAsia="Times New Roman" w:cs="Arial"/>
      <w:szCs w:val="24"/>
      <w:lang w:eastAsia="ru-RU"/>
    </w:rPr>
  </w:style>
  <w:style w:type="paragraph" w:styleId="Style154">
    <w:name w:val="осн"/>
    <w:basedOn w:val="Normal"/>
    <w:link w:val="Style51"/>
    <w:qFormat/>
    <w:pPr>
      <w:widowControl w:val="false"/>
      <w:ind w:left="0" w:right="0" w:firstLine="709"/>
    </w:pPr>
    <w:rPr>
      <w:rFonts w:eastAsia="Times New Roman" w:cs="Times New Roman"/>
      <w:sz w:val="28"/>
      <w:szCs w:val="28"/>
    </w:rPr>
  </w:style>
  <w:style w:type="paragraph" w:styleId="2110">
    <w:name w:val="Абзац списка21"/>
    <w:basedOn w:val="Normal"/>
    <w:qFormat/>
    <w:pPr>
      <w:spacing w:lineRule="auto" w:line="288" w:before="0" w:after="0"/>
      <w:ind w:left="720" w:right="0" w:firstLine="720"/>
      <w:contextualSpacing/>
    </w:pPr>
    <w:rPr>
      <w:rFonts w:eastAsia="Times New Roman" w:cs="Times New Roman"/>
      <w:sz w:val="28"/>
      <w:szCs w:val="20"/>
      <w:lang w:val="en-AU"/>
    </w:rPr>
  </w:style>
  <w:style w:type="paragraph" w:styleId="Style155">
    <w:name w:val="Перечень с номером"/>
    <w:basedOn w:val="BodyText"/>
    <w:qFormat/>
    <w:pPr>
      <w:tabs>
        <w:tab w:val="clear" w:pos="708"/>
        <w:tab w:val="left" w:pos="1440" w:leader="none"/>
      </w:tabs>
      <w:spacing w:before="120" w:after="0"/>
      <w:ind w:left="1440" w:right="0" w:hanging="360"/>
    </w:pPr>
    <w:rPr>
      <w:sz w:val="28"/>
    </w:rPr>
  </w:style>
  <w:style w:type="paragraph" w:styleId="Style156">
    <w:name w:val="Тема"/>
    <w:basedOn w:val="Normal"/>
    <w:next w:val="Normal"/>
    <w:qFormat/>
    <w:pPr>
      <w:spacing w:before="0" w:after="600"/>
      <w:ind w:left="1134" w:right="1076" w:hanging="0"/>
      <w:jc w:val="center"/>
    </w:pPr>
    <w:rPr>
      <w:rFonts w:eastAsia="Times New Roman" w:cs="Times New Roman"/>
      <w:smallCaps/>
      <w:sz w:val="28"/>
      <w:szCs w:val="20"/>
      <w:lang w:eastAsia="ru-RU"/>
    </w:rPr>
  </w:style>
  <w:style w:type="paragraph" w:styleId="Style157">
    <w:name w:val="Стадия"/>
    <w:basedOn w:val="Normal"/>
    <w:next w:val="Normal"/>
    <w:qFormat/>
    <w:pPr>
      <w:spacing w:lineRule="auto" w:line="240" w:before="0" w:after="360"/>
      <w:ind w:left="567" w:right="509" w:hanging="0"/>
      <w:jc w:val="center"/>
    </w:pPr>
    <w:rPr>
      <w:rFonts w:eastAsia="Times New Roman" w:cs="Times New Roman"/>
      <w:sz w:val="28"/>
      <w:szCs w:val="20"/>
      <w:lang w:eastAsia="ru-RU"/>
    </w:rPr>
  </w:style>
  <w:style w:type="paragraph" w:styleId="Style158">
    <w:name w:val="Ном_том"/>
    <w:basedOn w:val="Normal"/>
    <w:next w:val="Normal"/>
    <w:autoRedefine/>
    <w:qFormat/>
    <w:pPr>
      <w:spacing w:lineRule="auto" w:line="240" w:before="0" w:after="120"/>
      <w:ind w:left="0" w:right="0" w:hanging="0"/>
      <w:jc w:val="center"/>
    </w:pPr>
    <w:rPr>
      <w:rFonts w:eastAsia="Times New Roman" w:cs="Times New Roman"/>
      <w:b/>
      <w:bCs/>
      <w:szCs w:val="20"/>
      <w:lang w:eastAsia="ru-RU"/>
    </w:rPr>
  </w:style>
  <w:style w:type="paragraph" w:styleId="Style159">
    <w:name w:val="Тип_том"/>
    <w:basedOn w:val="Normal"/>
    <w:next w:val="Normal"/>
    <w:qFormat/>
    <w:pPr>
      <w:spacing w:lineRule="auto" w:line="240" w:before="0" w:after="600"/>
      <w:ind w:left="567" w:right="509" w:hanging="0"/>
      <w:jc w:val="center"/>
    </w:pPr>
    <w:rPr>
      <w:rFonts w:eastAsia="Times New Roman" w:cs="Times New Roman"/>
      <w:szCs w:val="20"/>
      <w:lang w:eastAsia="ru-RU"/>
    </w:rPr>
  </w:style>
  <w:style w:type="paragraph" w:styleId="Style160">
    <w:name w:val="Сп_лиц"/>
    <w:basedOn w:val="Normal"/>
    <w:next w:val="Normal"/>
    <w:qFormat/>
    <w:pPr>
      <w:spacing w:before="240" w:after="360"/>
      <w:ind w:left="0" w:right="0" w:hanging="0"/>
      <w:jc w:val="center"/>
    </w:pPr>
    <w:rPr>
      <w:rFonts w:eastAsia="Times New Roman" w:cs="Times New Roman"/>
      <w:b/>
      <w:szCs w:val="20"/>
      <w:lang w:eastAsia="ru-RU"/>
    </w:rPr>
  </w:style>
  <w:style w:type="paragraph" w:styleId="Style161">
    <w:name w:val="Справка"/>
    <w:basedOn w:val="Normal"/>
    <w:next w:val="Normal"/>
    <w:qFormat/>
    <w:pPr>
      <w:spacing w:lineRule="auto" w:line="240" w:before="2400" w:after="240"/>
      <w:ind w:left="0" w:right="0" w:hanging="0"/>
      <w:jc w:val="center"/>
    </w:pPr>
    <w:rPr>
      <w:rFonts w:eastAsia="Times New Roman" w:cs="Times New Roman"/>
      <w:b/>
      <w:sz w:val="28"/>
      <w:szCs w:val="20"/>
      <w:lang w:eastAsia="ru-RU"/>
    </w:rPr>
  </w:style>
  <w:style w:type="paragraph" w:styleId="Style162">
    <w:name w:val="Состав"/>
    <w:basedOn w:val="Normal"/>
    <w:next w:val="Normal"/>
    <w:qFormat/>
    <w:pPr>
      <w:spacing w:lineRule="auto" w:line="240" w:before="600" w:after="240"/>
      <w:ind w:left="0" w:right="0" w:hanging="0"/>
      <w:jc w:val="center"/>
    </w:pPr>
    <w:rPr>
      <w:rFonts w:eastAsia="Times New Roman" w:cs="Times New Roman"/>
      <w:b/>
      <w:sz w:val="28"/>
      <w:szCs w:val="20"/>
      <w:lang w:eastAsia="ru-RU"/>
    </w:rPr>
  </w:style>
  <w:style w:type="paragraph" w:styleId="146">
    <w:name w:val="П_заголовок1"/>
    <w:basedOn w:val="Normal"/>
    <w:next w:val="Normal"/>
    <w:qFormat/>
    <w:pPr>
      <w:pageBreakBefore/>
      <w:spacing w:lineRule="auto" w:line="240" w:before="240" w:after="120"/>
      <w:ind w:left="0" w:right="0" w:hanging="0"/>
      <w:jc w:val="center"/>
    </w:pPr>
    <w:rPr>
      <w:rFonts w:eastAsia="Times New Roman" w:cs="Times New Roman"/>
      <w:b/>
      <w:smallCaps/>
      <w:spacing w:val="40"/>
      <w:szCs w:val="20"/>
      <w:lang w:eastAsia="ru-RU"/>
    </w:rPr>
  </w:style>
  <w:style w:type="paragraph" w:styleId="230">
    <w:name w:val="П_заголовок 2"/>
    <w:basedOn w:val="Normal"/>
    <w:next w:val="Normal"/>
    <w:qFormat/>
    <w:pPr>
      <w:spacing w:lineRule="auto" w:line="240"/>
      <w:ind w:left="0" w:right="-2" w:hanging="0"/>
      <w:jc w:val="center"/>
    </w:pPr>
    <w:rPr>
      <w:rFonts w:eastAsia="Times New Roman" w:cs="Times New Roman"/>
      <w:b/>
      <w:szCs w:val="20"/>
      <w:lang w:eastAsia="ru-RU"/>
    </w:rPr>
  </w:style>
  <w:style w:type="paragraph" w:styleId="Style163">
    <w:name w:val="ФИО"/>
    <w:basedOn w:val="Normal"/>
    <w:next w:val="Normal"/>
    <w:qFormat/>
    <w:pPr>
      <w:spacing w:lineRule="auto" w:line="240" w:before="480" w:after="0"/>
      <w:ind w:left="0" w:right="0" w:hanging="0"/>
      <w:jc w:val="left"/>
    </w:pPr>
    <w:rPr>
      <w:rFonts w:eastAsia="Times New Roman" w:cs="Times New Roman"/>
      <w:b/>
      <w:szCs w:val="20"/>
      <w:lang w:eastAsia="ru-RU"/>
    </w:rPr>
  </w:style>
  <w:style w:type="paragraph" w:styleId="Style164">
    <w:name w:val="М_титул"/>
    <w:basedOn w:val="Normal"/>
    <w:qFormat/>
    <w:pPr>
      <w:spacing w:lineRule="auto" w:line="240" w:before="60" w:after="0"/>
      <w:ind w:left="0" w:right="0" w:hanging="0"/>
      <w:jc w:val="center"/>
    </w:pPr>
    <w:rPr>
      <w:rFonts w:eastAsia="Times New Roman" w:cs="Times New Roman"/>
      <w:b/>
      <w:szCs w:val="20"/>
      <w:lang w:eastAsia="ru-RU"/>
    </w:rPr>
  </w:style>
  <w:style w:type="paragraph" w:styleId="316">
    <w:name w:val="Долж3"/>
    <w:basedOn w:val="Normal"/>
    <w:next w:val="Normal"/>
    <w:qFormat/>
    <w:pPr>
      <w:spacing w:lineRule="auto" w:line="240"/>
      <w:ind w:left="0" w:right="0" w:hanging="0"/>
      <w:jc w:val="left"/>
    </w:pPr>
    <w:rPr>
      <w:rFonts w:eastAsia="Times New Roman" w:cs="Times New Roman"/>
      <w:szCs w:val="20"/>
      <w:lang w:eastAsia="ru-RU"/>
    </w:rPr>
  </w:style>
  <w:style w:type="paragraph" w:styleId="48">
    <w:name w:val="Долж4"/>
    <w:basedOn w:val="Normal"/>
    <w:next w:val="Normal"/>
    <w:qFormat/>
    <w:pPr>
      <w:spacing w:lineRule="auto" w:line="240"/>
      <w:ind w:left="0" w:right="0" w:hanging="0"/>
      <w:jc w:val="left"/>
    </w:pPr>
    <w:rPr>
      <w:rFonts w:eastAsia="Times New Roman" w:cs="Times New Roman"/>
      <w:szCs w:val="20"/>
      <w:lang w:eastAsia="ru-RU"/>
    </w:rPr>
  </w:style>
  <w:style w:type="paragraph" w:styleId="53">
    <w:name w:val="Долж5"/>
    <w:basedOn w:val="Normal"/>
    <w:next w:val="Normal"/>
    <w:qFormat/>
    <w:pPr>
      <w:spacing w:lineRule="auto" w:line="240"/>
      <w:ind w:left="0" w:right="0" w:hanging="0"/>
      <w:jc w:val="left"/>
    </w:pPr>
    <w:rPr>
      <w:rFonts w:eastAsia="Times New Roman" w:cs="Times New Roman"/>
      <w:szCs w:val="20"/>
      <w:lang w:eastAsia="ru-RU"/>
    </w:rPr>
  </w:style>
  <w:style w:type="paragraph" w:styleId="147">
    <w:name w:val="Фам1"/>
    <w:basedOn w:val="Normal"/>
    <w:next w:val="Normal"/>
    <w:qFormat/>
    <w:pPr>
      <w:spacing w:lineRule="auto" w:line="240"/>
      <w:ind w:left="0" w:right="0" w:hanging="0"/>
      <w:jc w:val="left"/>
    </w:pPr>
    <w:rPr>
      <w:rFonts w:eastAsia="Times New Roman" w:cs="Times New Roman"/>
      <w:szCs w:val="20"/>
      <w:lang w:eastAsia="ru-RU"/>
    </w:rPr>
  </w:style>
  <w:style w:type="paragraph" w:styleId="231">
    <w:name w:val="Фам2"/>
    <w:basedOn w:val="Normal"/>
    <w:next w:val="Normal"/>
    <w:qFormat/>
    <w:pPr>
      <w:spacing w:lineRule="auto" w:line="240"/>
      <w:ind w:left="0" w:right="0" w:hanging="0"/>
      <w:jc w:val="left"/>
    </w:pPr>
    <w:rPr>
      <w:rFonts w:eastAsia="Times New Roman" w:cs="Times New Roman"/>
      <w:szCs w:val="20"/>
      <w:lang w:eastAsia="ru-RU"/>
    </w:rPr>
  </w:style>
  <w:style w:type="paragraph" w:styleId="317">
    <w:name w:val="Фам3"/>
    <w:basedOn w:val="Normal"/>
    <w:next w:val="Normal"/>
    <w:qFormat/>
    <w:pPr>
      <w:spacing w:lineRule="auto" w:line="240"/>
      <w:ind w:left="0" w:right="0" w:hanging="0"/>
      <w:jc w:val="left"/>
    </w:pPr>
    <w:rPr>
      <w:rFonts w:eastAsia="Times New Roman" w:cs="Times New Roman"/>
      <w:szCs w:val="20"/>
      <w:lang w:eastAsia="ru-RU"/>
    </w:rPr>
  </w:style>
  <w:style w:type="paragraph" w:styleId="49">
    <w:name w:val="Фам4"/>
    <w:basedOn w:val="Normal"/>
    <w:next w:val="Normal"/>
    <w:qFormat/>
    <w:pPr>
      <w:spacing w:lineRule="auto" w:line="240"/>
      <w:ind w:left="0" w:right="0" w:hanging="0"/>
      <w:jc w:val="left"/>
    </w:pPr>
    <w:rPr>
      <w:rFonts w:eastAsia="Times New Roman" w:cs="Times New Roman"/>
      <w:szCs w:val="20"/>
      <w:lang w:eastAsia="ru-RU"/>
    </w:rPr>
  </w:style>
  <w:style w:type="paragraph" w:styleId="54">
    <w:name w:val="Фам5"/>
    <w:basedOn w:val="Normal"/>
    <w:next w:val="Normal"/>
    <w:qFormat/>
    <w:pPr>
      <w:spacing w:lineRule="auto" w:line="240"/>
      <w:ind w:left="0" w:right="0" w:hanging="0"/>
      <w:jc w:val="left"/>
    </w:pPr>
    <w:rPr>
      <w:rFonts w:eastAsia="Times New Roman" w:cs="Times New Roman"/>
      <w:szCs w:val="20"/>
      <w:lang w:eastAsia="ru-RU"/>
    </w:rPr>
  </w:style>
  <w:style w:type="paragraph" w:styleId="61">
    <w:name w:val="Долж6"/>
    <w:basedOn w:val="145"/>
    <w:qFormat/>
    <w:pPr/>
    <w:rPr>
      <w:szCs w:val="20"/>
    </w:rPr>
  </w:style>
  <w:style w:type="paragraph" w:styleId="Style165">
    <w:name w:val="Содрж_том"/>
    <w:basedOn w:val="Normal"/>
    <w:next w:val="Normal"/>
    <w:qFormat/>
    <w:pPr>
      <w:spacing w:lineRule="auto" w:line="240" w:before="240" w:after="120"/>
      <w:ind w:left="0" w:right="0" w:hanging="0"/>
      <w:jc w:val="center"/>
    </w:pPr>
    <w:rPr>
      <w:rFonts w:eastAsia="Times New Roman" w:cs="Times New Roman"/>
      <w:b/>
      <w:smallCaps/>
      <w:spacing w:val="40"/>
      <w:szCs w:val="20"/>
      <w:lang w:eastAsia="ru-RU"/>
    </w:rPr>
  </w:style>
  <w:style w:type="paragraph" w:styleId="Style166">
    <w:name w:val="Сост_пр"/>
    <w:basedOn w:val="Style165"/>
    <w:next w:val="Normal"/>
    <w:qFormat/>
    <w:pPr/>
    <w:rPr>
      <w:bCs/>
    </w:rPr>
  </w:style>
  <w:style w:type="paragraph" w:styleId="Style1010">
    <w:name w:val="style10"/>
    <w:basedOn w:val="Normal"/>
    <w:qFormat/>
    <w:pPr>
      <w:spacing w:lineRule="auto" w:line="240" w:before="280" w:after="280"/>
      <w:ind w:left="0" w:right="0" w:hanging="0"/>
      <w:jc w:val="left"/>
    </w:pPr>
    <w:rPr>
      <w:rFonts w:ascii="Arial" w:hAnsi="Arial" w:eastAsia="Times New Roman" w:cs="Arial"/>
      <w:sz w:val="18"/>
      <w:szCs w:val="18"/>
      <w:lang w:eastAsia="ru-RU"/>
    </w:rPr>
  </w:style>
  <w:style w:type="paragraph" w:styleId="Style167">
    <w:name w:val="Список с маркерами"/>
    <w:basedOn w:val="Style143"/>
    <w:qFormat/>
    <w:pPr>
      <w:tabs>
        <w:tab w:val="clear" w:pos="708"/>
        <w:tab w:val="left" w:pos="360" w:leader="none"/>
      </w:tabs>
      <w:ind w:left="0" w:right="0" w:firstLine="709"/>
    </w:pPr>
    <w:rPr>
      <w:sz w:val="28"/>
    </w:rPr>
  </w:style>
  <w:style w:type="paragraph" w:styleId="Style168">
    <w:name w:val="Нормальный"/>
    <w:qFormat/>
    <w:pPr>
      <w:widowControl/>
      <w:suppressAutoHyphens w:val="true"/>
      <w:overflowPunct w:val="true"/>
      <w:bidi w:val="0"/>
      <w:spacing w:lineRule="auto" w:line="240" w:before="0" w:after="0"/>
      <w:jc w:val="left"/>
    </w:pPr>
    <w:rPr>
      <w:rFonts w:ascii="Antiqua" w:hAnsi="Antiqua" w:eastAsia="Times New Roman" w:cs="Times New Roman"/>
      <w:color w:val="auto"/>
      <w:kern w:val="0"/>
      <w:sz w:val="28"/>
      <w:szCs w:val="28"/>
      <w:lang w:val="ru-RU" w:eastAsia="ru-RU" w:bidi="ar-SA"/>
    </w:rPr>
  </w:style>
  <w:style w:type="paragraph" w:styleId="1117">
    <w:name w:val="Список11"/>
    <w:basedOn w:val="Normal"/>
    <w:qFormat/>
    <w:pPr>
      <w:numPr>
        <w:ilvl w:val="0"/>
        <w:numId w:val="8"/>
      </w:numPr>
      <w:spacing w:lineRule="auto" w:line="240" w:before="0" w:after="120"/>
    </w:pPr>
    <w:rPr>
      <w:rFonts w:eastAsia="Times New Roman" w:cs="Times New Roman"/>
      <w:spacing w:val="-2"/>
      <w:szCs w:val="20"/>
      <w:lang w:eastAsia="ru-RU"/>
    </w:rPr>
  </w:style>
  <w:style w:type="paragraph" w:styleId="1118">
    <w:name w:val="Текст11"/>
    <w:basedOn w:val="Normal"/>
    <w:qFormat/>
    <w:pPr>
      <w:spacing w:lineRule="auto" w:line="240"/>
      <w:ind w:left="0" w:right="0" w:hanging="0"/>
      <w:jc w:val="left"/>
    </w:pPr>
    <w:rPr>
      <w:rFonts w:ascii="Courier New" w:hAnsi="Courier New" w:eastAsia="Times New Roman" w:cs="Times New Roman"/>
      <w:sz w:val="20"/>
      <w:szCs w:val="20"/>
      <w:lang w:eastAsia="ru-RU"/>
    </w:rPr>
  </w:style>
  <w:style w:type="paragraph" w:styleId="Style169">
    <w:name w:val="табличка"/>
    <w:basedOn w:val="Normal"/>
    <w:qFormat/>
    <w:pPr>
      <w:spacing w:lineRule="auto" w:line="240"/>
      <w:ind w:left="0" w:right="0" w:hanging="0"/>
      <w:jc w:val="center"/>
    </w:pPr>
    <w:rPr>
      <w:rFonts w:eastAsia="Times New Roman" w:cs="Times New Roman"/>
      <w:szCs w:val="24"/>
      <w:lang w:eastAsia="ru-RU"/>
    </w:rPr>
  </w:style>
  <w:style w:type="paragraph" w:styleId="Font12">
    <w:name w:val="font12"/>
    <w:basedOn w:val="Normal"/>
    <w:qFormat/>
    <w:pPr>
      <w:spacing w:lineRule="auto" w:line="240" w:before="280" w:after="280"/>
      <w:ind w:left="0" w:right="0" w:hanging="0"/>
      <w:jc w:val="left"/>
    </w:pPr>
    <w:rPr>
      <w:rFonts w:eastAsia="Times New Roman" w:cs="Times New Roman"/>
      <w:sz w:val="20"/>
      <w:szCs w:val="20"/>
      <w:lang w:eastAsia="ru-RU"/>
    </w:rPr>
  </w:style>
  <w:style w:type="paragraph" w:styleId="Font13">
    <w:name w:val="font13"/>
    <w:basedOn w:val="Normal"/>
    <w:qFormat/>
    <w:pPr>
      <w:spacing w:lineRule="auto" w:line="240" w:before="280" w:after="280"/>
      <w:ind w:left="0" w:right="0" w:hanging="0"/>
      <w:jc w:val="left"/>
    </w:pPr>
    <w:rPr>
      <w:rFonts w:eastAsia="Times New Roman" w:cs="Times New Roman"/>
      <w:sz w:val="20"/>
      <w:szCs w:val="20"/>
      <w:lang w:eastAsia="ru-RU"/>
    </w:rPr>
  </w:style>
  <w:style w:type="paragraph" w:styleId="Xl290">
    <w:name w:val="xl290"/>
    <w:basedOn w:val="Normal"/>
    <w:qFormat/>
    <w:pPr>
      <w:pBdr>
        <w:top w:val="single" w:sz="4" w:space="0" w:color="000000"/>
        <w:left w:val="single" w:sz="4" w:space="0" w:color="000000"/>
        <w:bottom w:val="single" w:sz="8" w:space="0" w:color="000000"/>
        <w:right w:val="single" w:sz="4" w:space="0" w:color="000000"/>
      </w:pBdr>
      <w:spacing w:lineRule="auto" w:line="240" w:before="280" w:after="280"/>
      <w:ind w:left="0" w:right="0" w:hanging="0"/>
      <w:jc w:val="center"/>
      <w:textAlignment w:val="center"/>
    </w:pPr>
    <w:rPr>
      <w:rFonts w:eastAsia="Times New Roman" w:cs="Times New Roman"/>
      <w:szCs w:val="24"/>
      <w:lang w:eastAsia="ru-RU"/>
    </w:rPr>
  </w:style>
  <w:style w:type="paragraph" w:styleId="Xl291">
    <w:name w:val="xl291"/>
    <w:basedOn w:val="Normal"/>
    <w:qFormat/>
    <w:pPr>
      <w:pBdr>
        <w:top w:val="single" w:sz="8" w:space="0" w:color="000000"/>
        <w:left w:val="single" w:sz="4" w:space="0" w:color="000000"/>
        <w:right w:val="single" w:sz="4" w:space="0" w:color="000000"/>
      </w:pBdr>
      <w:spacing w:lineRule="auto" w:line="240" w:before="280" w:after="280"/>
      <w:ind w:left="0" w:right="0" w:hanging="0"/>
      <w:jc w:val="center"/>
      <w:textAlignment w:val="center"/>
    </w:pPr>
    <w:rPr>
      <w:rFonts w:eastAsia="Times New Roman" w:cs="Times New Roman"/>
      <w:szCs w:val="24"/>
      <w:lang w:eastAsia="ru-RU"/>
    </w:rPr>
  </w:style>
  <w:style w:type="paragraph" w:styleId="Xl292">
    <w:name w:val="xl292"/>
    <w:basedOn w:val="Normal"/>
    <w:qFormat/>
    <w:pPr>
      <w:pBdr>
        <w:top w:val="single" w:sz="8" w:space="0" w:color="000000"/>
        <w:right w:val="single" w:sz="4" w:space="0" w:color="000000"/>
      </w:pBdr>
      <w:spacing w:lineRule="auto" w:line="240" w:before="280" w:after="280"/>
      <w:ind w:left="0" w:right="0" w:hanging="0"/>
      <w:jc w:val="center"/>
      <w:textAlignment w:val="center"/>
    </w:pPr>
    <w:rPr>
      <w:rFonts w:eastAsia="Times New Roman" w:cs="Times New Roman"/>
      <w:szCs w:val="24"/>
      <w:lang w:eastAsia="ru-RU"/>
    </w:rPr>
  </w:style>
  <w:style w:type="paragraph" w:styleId="Xl293">
    <w:name w:val="xl293"/>
    <w:basedOn w:val="Normal"/>
    <w:qFormat/>
    <w:pPr>
      <w:pBdr>
        <w:top w:val="single" w:sz="8" w:space="0" w:color="000000"/>
        <w:left w:val="single" w:sz="4" w:space="0" w:color="000000"/>
        <w:right w:val="single" w:sz="4" w:space="0" w:color="000000"/>
      </w:pBdr>
      <w:spacing w:lineRule="auto" w:line="240" w:before="280" w:after="280"/>
      <w:ind w:left="0" w:right="0" w:hanging="0"/>
      <w:jc w:val="center"/>
      <w:textAlignment w:val="center"/>
    </w:pPr>
    <w:rPr>
      <w:rFonts w:eastAsia="Times New Roman" w:cs="Times New Roman"/>
      <w:szCs w:val="24"/>
      <w:lang w:eastAsia="ru-RU"/>
    </w:rPr>
  </w:style>
  <w:style w:type="paragraph" w:styleId="Xl294">
    <w:name w:val="xl294"/>
    <w:basedOn w:val="Normal"/>
    <w:qFormat/>
    <w:pPr>
      <w:pBdr>
        <w:top w:val="single" w:sz="8" w:space="0" w:color="000000"/>
        <w:left w:val="single" w:sz="4" w:space="0" w:color="000000"/>
        <w:right w:val="single" w:sz="4" w:space="0" w:color="000000"/>
      </w:pBdr>
      <w:spacing w:lineRule="auto" w:line="240" w:before="280" w:after="280"/>
      <w:ind w:left="0" w:right="0" w:hanging="0"/>
      <w:jc w:val="center"/>
      <w:textAlignment w:val="center"/>
    </w:pPr>
    <w:rPr>
      <w:rFonts w:eastAsia="Times New Roman" w:cs="Times New Roman"/>
      <w:szCs w:val="24"/>
      <w:lang w:eastAsia="ru-RU"/>
    </w:rPr>
  </w:style>
  <w:style w:type="paragraph" w:styleId="Xl295">
    <w:name w:val="xl295"/>
    <w:basedOn w:val="Normal"/>
    <w:qFormat/>
    <w:pPr>
      <w:pBdr>
        <w:top w:val="single" w:sz="8" w:space="0" w:color="000000"/>
        <w:left w:val="single" w:sz="8" w:space="0" w:color="000000"/>
        <w:right w:val="single" w:sz="4" w:space="0" w:color="000000"/>
      </w:pBdr>
      <w:spacing w:lineRule="auto" w:line="240" w:before="280" w:after="280"/>
      <w:ind w:left="0" w:right="0" w:hanging="0"/>
      <w:jc w:val="center"/>
      <w:textAlignment w:val="center"/>
    </w:pPr>
    <w:rPr>
      <w:rFonts w:eastAsia="Times New Roman" w:cs="Times New Roman"/>
      <w:szCs w:val="24"/>
      <w:lang w:eastAsia="ru-RU"/>
    </w:rPr>
  </w:style>
  <w:style w:type="paragraph" w:styleId="Xl296">
    <w:name w:val="xl296"/>
    <w:basedOn w:val="Normal"/>
    <w:qFormat/>
    <w:pPr>
      <w:pBdr>
        <w:top w:val="single" w:sz="8" w:space="0" w:color="000000"/>
        <w:left w:val="single" w:sz="4" w:space="0" w:color="000000"/>
      </w:pBdr>
      <w:spacing w:lineRule="auto" w:line="240" w:before="280" w:after="280"/>
      <w:ind w:left="0" w:right="0" w:hanging="0"/>
      <w:jc w:val="center"/>
      <w:textAlignment w:val="center"/>
    </w:pPr>
    <w:rPr>
      <w:rFonts w:eastAsia="Times New Roman" w:cs="Times New Roman"/>
      <w:szCs w:val="24"/>
      <w:lang w:eastAsia="ru-RU"/>
    </w:rPr>
  </w:style>
  <w:style w:type="paragraph" w:styleId="Xl297">
    <w:name w:val="xl297"/>
    <w:basedOn w:val="Normal"/>
    <w:qFormat/>
    <w:pPr>
      <w:pBdr>
        <w:top w:val="single" w:sz="4" w:space="0" w:color="000000"/>
        <w:left w:val="single" w:sz="4" w:space="0" w:color="000000"/>
        <w:bottom w:val="single" w:sz="8" w:space="0" w:color="000000"/>
      </w:pBdr>
      <w:shd w:val="clear" w:fill="FFFFFF"/>
      <w:spacing w:lineRule="auto" w:line="240" w:before="280" w:after="280"/>
      <w:ind w:left="0" w:right="0" w:hanging="0"/>
    </w:pPr>
    <w:rPr>
      <w:rFonts w:eastAsia="Times New Roman" w:cs="Times New Roman"/>
      <w:szCs w:val="24"/>
      <w:lang w:eastAsia="ru-RU"/>
    </w:rPr>
  </w:style>
  <w:style w:type="paragraph" w:styleId="Xl298">
    <w:name w:val="xl298"/>
    <w:basedOn w:val="Normal"/>
    <w:qFormat/>
    <w:pPr>
      <w:pBdr>
        <w:left w:val="single" w:sz="4" w:space="0" w:color="000000"/>
        <w:bottom w:val="single" w:sz="8" w:space="0" w:color="000000"/>
        <w:right w:val="single" w:sz="4" w:space="0" w:color="000000"/>
      </w:pBdr>
      <w:spacing w:lineRule="auto" w:line="240" w:before="280" w:after="280"/>
      <w:ind w:left="0" w:right="0" w:hanging="0"/>
      <w:jc w:val="center"/>
      <w:textAlignment w:val="center"/>
    </w:pPr>
    <w:rPr>
      <w:rFonts w:eastAsia="Times New Roman" w:cs="Times New Roman"/>
      <w:szCs w:val="24"/>
      <w:lang w:eastAsia="ru-RU"/>
    </w:rPr>
  </w:style>
  <w:style w:type="paragraph" w:styleId="Xl299">
    <w:name w:val="xl299"/>
    <w:basedOn w:val="Normal"/>
    <w:qFormat/>
    <w:pPr>
      <w:pBdr>
        <w:left w:val="single" w:sz="8" w:space="0" w:color="000000"/>
        <w:bottom w:val="single" w:sz="8" w:space="0" w:color="000000"/>
        <w:right w:val="single" w:sz="4" w:space="0" w:color="000000"/>
      </w:pBdr>
      <w:spacing w:lineRule="auto" w:line="240" w:before="280" w:after="280"/>
      <w:ind w:left="0" w:right="0" w:hanging="0"/>
      <w:jc w:val="center"/>
    </w:pPr>
    <w:rPr>
      <w:rFonts w:eastAsia="Times New Roman" w:cs="Times New Roman"/>
      <w:szCs w:val="24"/>
      <w:lang w:eastAsia="ru-RU"/>
    </w:rPr>
  </w:style>
  <w:style w:type="paragraph" w:styleId="Xl300">
    <w:name w:val="xl300"/>
    <w:basedOn w:val="Normal"/>
    <w:qFormat/>
    <w:pPr>
      <w:pBdr>
        <w:left w:val="single" w:sz="4" w:space="0" w:color="000000"/>
        <w:bottom w:val="single" w:sz="8" w:space="0" w:color="000000"/>
        <w:right w:val="single" w:sz="8" w:space="0" w:color="000000"/>
      </w:pBdr>
      <w:spacing w:lineRule="auto" w:line="240" w:before="280" w:after="280"/>
      <w:ind w:left="0" w:right="0" w:hanging="0"/>
      <w:jc w:val="center"/>
      <w:textAlignment w:val="center"/>
    </w:pPr>
    <w:rPr>
      <w:rFonts w:eastAsia="Times New Roman" w:cs="Times New Roman"/>
      <w:szCs w:val="24"/>
      <w:lang w:eastAsia="ru-RU"/>
    </w:rPr>
  </w:style>
  <w:style w:type="paragraph" w:styleId="Xl301">
    <w:name w:val="xl301"/>
    <w:basedOn w:val="Normal"/>
    <w:qFormat/>
    <w:pPr>
      <w:pBdr>
        <w:bottom w:val="single" w:sz="8" w:space="0" w:color="000000"/>
        <w:right w:val="single" w:sz="4" w:space="0" w:color="000000"/>
      </w:pBdr>
      <w:spacing w:lineRule="auto" w:line="240" w:before="280" w:after="280"/>
      <w:ind w:left="0" w:right="0" w:hanging="0"/>
      <w:jc w:val="center"/>
      <w:textAlignment w:val="center"/>
    </w:pPr>
    <w:rPr>
      <w:rFonts w:eastAsia="Times New Roman" w:cs="Times New Roman"/>
      <w:szCs w:val="24"/>
      <w:lang w:eastAsia="ru-RU"/>
    </w:rPr>
  </w:style>
  <w:style w:type="paragraph" w:styleId="Xl302">
    <w:name w:val="xl302"/>
    <w:basedOn w:val="Normal"/>
    <w:qFormat/>
    <w:pPr>
      <w:pBdr>
        <w:left w:val="single" w:sz="4" w:space="0" w:color="000000"/>
        <w:bottom w:val="single" w:sz="8" w:space="0" w:color="000000"/>
        <w:right w:val="single" w:sz="4" w:space="0" w:color="000000"/>
      </w:pBdr>
      <w:spacing w:lineRule="auto" w:line="240" w:before="280" w:after="280"/>
      <w:ind w:left="0" w:right="0" w:hanging="0"/>
      <w:jc w:val="center"/>
      <w:textAlignment w:val="center"/>
    </w:pPr>
    <w:rPr>
      <w:rFonts w:eastAsia="Times New Roman" w:cs="Times New Roman"/>
      <w:szCs w:val="24"/>
      <w:lang w:eastAsia="ru-RU"/>
    </w:rPr>
  </w:style>
  <w:style w:type="paragraph" w:styleId="Xl303">
    <w:name w:val="xl303"/>
    <w:basedOn w:val="Normal"/>
    <w:qFormat/>
    <w:pPr>
      <w:pBdr>
        <w:left w:val="single" w:sz="4" w:space="0" w:color="000000"/>
        <w:bottom w:val="single" w:sz="8" w:space="0" w:color="000000"/>
        <w:right w:val="single" w:sz="4" w:space="0" w:color="000000"/>
      </w:pBdr>
      <w:spacing w:lineRule="auto" w:line="240" w:before="280" w:after="280"/>
      <w:ind w:left="0" w:right="0" w:hanging="0"/>
      <w:jc w:val="center"/>
      <w:textAlignment w:val="center"/>
    </w:pPr>
    <w:rPr>
      <w:rFonts w:eastAsia="Times New Roman" w:cs="Times New Roman"/>
      <w:szCs w:val="24"/>
      <w:lang w:eastAsia="ru-RU"/>
    </w:rPr>
  </w:style>
  <w:style w:type="paragraph" w:styleId="Xl304">
    <w:name w:val="xl304"/>
    <w:basedOn w:val="Normal"/>
    <w:qFormat/>
    <w:pPr>
      <w:pBdr>
        <w:left w:val="single" w:sz="4" w:space="0" w:color="000000"/>
        <w:bottom w:val="single" w:sz="8" w:space="0" w:color="000000"/>
        <w:right w:val="single" w:sz="4" w:space="0" w:color="000000"/>
      </w:pBdr>
      <w:spacing w:lineRule="auto" w:line="240" w:before="280" w:after="280"/>
      <w:ind w:left="0" w:right="0" w:hanging="0"/>
      <w:jc w:val="center"/>
      <w:textAlignment w:val="center"/>
    </w:pPr>
    <w:rPr>
      <w:rFonts w:eastAsia="Times New Roman" w:cs="Times New Roman"/>
      <w:szCs w:val="24"/>
      <w:lang w:eastAsia="ru-RU"/>
    </w:rPr>
  </w:style>
  <w:style w:type="paragraph" w:styleId="Xl305">
    <w:name w:val="xl305"/>
    <w:basedOn w:val="Normal"/>
    <w:qFormat/>
    <w:pPr>
      <w:pBdr>
        <w:left w:val="single" w:sz="4" w:space="0" w:color="000000"/>
        <w:bottom w:val="single" w:sz="8" w:space="0" w:color="000000"/>
      </w:pBdr>
      <w:spacing w:lineRule="auto" w:line="240" w:before="280" w:after="280"/>
      <w:ind w:left="0" w:right="0" w:hanging="0"/>
      <w:jc w:val="center"/>
      <w:textAlignment w:val="center"/>
    </w:pPr>
    <w:rPr>
      <w:rFonts w:eastAsia="Times New Roman" w:cs="Times New Roman"/>
      <w:szCs w:val="24"/>
      <w:lang w:eastAsia="ru-RU"/>
    </w:rPr>
  </w:style>
  <w:style w:type="paragraph" w:styleId="Xl306">
    <w:name w:val="xl306"/>
    <w:basedOn w:val="Normal"/>
    <w:qFormat/>
    <w:pPr>
      <w:pBdr>
        <w:left w:val="single" w:sz="8" w:space="0" w:color="000000"/>
        <w:bottom w:val="single" w:sz="8" w:space="0" w:color="000000"/>
        <w:right w:val="single" w:sz="4" w:space="0" w:color="000000"/>
      </w:pBdr>
      <w:spacing w:lineRule="auto" w:line="240" w:before="280" w:after="280"/>
      <w:ind w:left="0" w:right="0" w:hanging="0"/>
      <w:jc w:val="center"/>
      <w:textAlignment w:val="center"/>
    </w:pPr>
    <w:rPr>
      <w:rFonts w:eastAsia="Times New Roman" w:cs="Times New Roman"/>
      <w:szCs w:val="24"/>
      <w:lang w:eastAsia="ru-RU"/>
    </w:rPr>
  </w:style>
  <w:style w:type="paragraph" w:styleId="Xl307">
    <w:name w:val="xl307"/>
    <w:basedOn w:val="Normal"/>
    <w:qFormat/>
    <w:pPr>
      <w:pBdr>
        <w:left w:val="single" w:sz="4" w:space="0" w:color="000000"/>
        <w:bottom w:val="single" w:sz="8" w:space="0" w:color="000000"/>
      </w:pBdr>
      <w:spacing w:lineRule="auto" w:line="240" w:before="280" w:after="280"/>
      <w:ind w:left="0" w:right="0" w:hanging="0"/>
      <w:jc w:val="center"/>
      <w:textAlignment w:val="center"/>
    </w:pPr>
    <w:rPr>
      <w:rFonts w:eastAsia="Times New Roman" w:cs="Times New Roman"/>
      <w:szCs w:val="24"/>
      <w:lang w:eastAsia="ru-RU"/>
    </w:rPr>
  </w:style>
  <w:style w:type="paragraph" w:styleId="Xl308">
    <w:name w:val="xl308"/>
    <w:basedOn w:val="Normal"/>
    <w:qFormat/>
    <w:pPr>
      <w:pBdr>
        <w:top w:val="single" w:sz="8" w:space="0" w:color="000000"/>
        <w:bottom w:val="single" w:sz="4" w:space="0" w:color="000000"/>
        <w:right w:val="single" w:sz="4" w:space="0" w:color="000000"/>
      </w:pBdr>
      <w:spacing w:lineRule="auto" w:line="240" w:before="280" w:after="280"/>
      <w:ind w:left="0" w:right="0" w:hanging="0"/>
      <w:jc w:val="center"/>
      <w:textAlignment w:val="center"/>
    </w:pPr>
    <w:rPr>
      <w:rFonts w:eastAsia="Times New Roman" w:cs="Times New Roman"/>
      <w:szCs w:val="24"/>
      <w:lang w:eastAsia="ru-RU"/>
    </w:rPr>
  </w:style>
  <w:style w:type="paragraph" w:styleId="Xl309">
    <w:name w:val="xl309"/>
    <w:basedOn w:val="Normal"/>
    <w:qFormat/>
    <w:pPr>
      <w:pBdr>
        <w:top w:val="single" w:sz="8" w:space="0" w:color="000000"/>
        <w:left w:val="single" w:sz="4" w:space="0" w:color="000000"/>
        <w:bottom w:val="single" w:sz="4" w:space="0" w:color="000000"/>
        <w:right w:val="single" w:sz="4" w:space="0" w:color="000000"/>
      </w:pBdr>
      <w:spacing w:lineRule="auto" w:line="240" w:before="280" w:after="280"/>
      <w:ind w:left="0" w:right="0" w:hanging="0"/>
      <w:jc w:val="center"/>
      <w:textAlignment w:val="center"/>
    </w:pPr>
    <w:rPr>
      <w:rFonts w:eastAsia="Times New Roman" w:cs="Times New Roman"/>
      <w:szCs w:val="24"/>
      <w:lang w:eastAsia="ru-RU"/>
    </w:rPr>
  </w:style>
  <w:style w:type="paragraph" w:styleId="Xl310">
    <w:name w:val="xl310"/>
    <w:basedOn w:val="Normal"/>
    <w:qFormat/>
    <w:pPr>
      <w:pBdr>
        <w:top w:val="single" w:sz="8" w:space="0" w:color="000000"/>
      </w:pBdr>
      <w:spacing w:lineRule="auto" w:line="240" w:before="280" w:after="280"/>
      <w:ind w:left="0" w:right="0" w:hanging="0"/>
      <w:jc w:val="center"/>
      <w:textAlignment w:val="center"/>
    </w:pPr>
    <w:rPr>
      <w:rFonts w:eastAsia="Times New Roman" w:cs="Times New Roman"/>
      <w:szCs w:val="24"/>
      <w:lang w:eastAsia="ru-RU"/>
    </w:rPr>
  </w:style>
  <w:style w:type="paragraph" w:styleId="Xl311">
    <w:name w:val="xl311"/>
    <w:basedOn w:val="Normal"/>
    <w:qFormat/>
    <w:pPr>
      <w:pBdr>
        <w:bottom w:val="single" w:sz="8" w:space="0" w:color="000000"/>
      </w:pBdr>
      <w:spacing w:lineRule="auto" w:line="240" w:before="280" w:after="280"/>
      <w:ind w:left="0" w:right="0" w:hanging="0"/>
      <w:jc w:val="center"/>
      <w:textAlignment w:val="center"/>
    </w:pPr>
    <w:rPr>
      <w:rFonts w:eastAsia="Times New Roman" w:cs="Times New Roman"/>
      <w:szCs w:val="24"/>
      <w:lang w:eastAsia="ru-RU"/>
    </w:rPr>
  </w:style>
  <w:style w:type="paragraph" w:styleId="Xl312">
    <w:name w:val="xl312"/>
    <w:basedOn w:val="Normal"/>
    <w:qFormat/>
    <w:pPr>
      <w:pBdr>
        <w:top w:val="single" w:sz="4" w:space="0" w:color="000000"/>
        <w:left w:val="single" w:sz="4" w:space="0" w:color="000000"/>
        <w:bottom w:val="single" w:sz="8" w:space="0" w:color="000000"/>
      </w:pBdr>
      <w:spacing w:lineRule="auto" w:line="240" w:before="280" w:after="280"/>
      <w:ind w:left="0" w:right="0" w:hanging="0"/>
      <w:jc w:val="center"/>
    </w:pPr>
    <w:rPr>
      <w:rFonts w:eastAsia="Times New Roman" w:cs="Times New Roman"/>
      <w:szCs w:val="24"/>
      <w:lang w:eastAsia="ru-RU"/>
    </w:rPr>
  </w:style>
  <w:style w:type="paragraph" w:styleId="Xl313">
    <w:name w:val="xl313"/>
    <w:basedOn w:val="Normal"/>
    <w:qFormat/>
    <w:pPr>
      <w:pBdr>
        <w:top w:val="single" w:sz="8" w:space="0" w:color="000000"/>
        <w:left w:val="single" w:sz="8" w:space="0" w:color="000000"/>
        <w:bottom w:val="single" w:sz="4" w:space="0" w:color="000000"/>
        <w:right w:val="single" w:sz="4" w:space="0" w:color="000000"/>
      </w:pBdr>
      <w:spacing w:lineRule="auto" w:line="240" w:before="280" w:after="280"/>
      <w:ind w:left="0" w:right="0" w:hanging="0"/>
      <w:jc w:val="center"/>
      <w:textAlignment w:val="center"/>
    </w:pPr>
    <w:rPr>
      <w:rFonts w:eastAsia="Times New Roman" w:cs="Times New Roman"/>
      <w:szCs w:val="24"/>
      <w:lang w:eastAsia="ru-RU"/>
    </w:rPr>
  </w:style>
  <w:style w:type="paragraph" w:styleId="Xl314">
    <w:name w:val="xl314"/>
    <w:basedOn w:val="Normal"/>
    <w:qFormat/>
    <w:pPr>
      <w:pBdr>
        <w:top w:val="single" w:sz="8" w:space="0" w:color="000000"/>
        <w:left w:val="single" w:sz="4" w:space="0" w:color="000000"/>
        <w:bottom w:val="single" w:sz="4" w:space="0" w:color="000000"/>
      </w:pBdr>
      <w:spacing w:lineRule="auto" w:line="240" w:before="280" w:after="280"/>
      <w:ind w:left="0" w:right="0" w:hanging="0"/>
      <w:jc w:val="center"/>
      <w:textAlignment w:val="center"/>
    </w:pPr>
    <w:rPr>
      <w:rFonts w:eastAsia="Times New Roman" w:cs="Times New Roman"/>
      <w:szCs w:val="24"/>
      <w:lang w:eastAsia="ru-RU"/>
    </w:rPr>
  </w:style>
  <w:style w:type="paragraph" w:styleId="Xl315">
    <w:name w:val="xl315"/>
    <w:basedOn w:val="Normal"/>
    <w:qFormat/>
    <w:pPr>
      <w:pBdr>
        <w:top w:val="single" w:sz="4" w:space="0" w:color="000000"/>
        <w:left w:val="single" w:sz="8" w:space="0" w:color="000000"/>
        <w:bottom w:val="single" w:sz="8" w:space="0" w:color="000000"/>
        <w:right w:val="single" w:sz="4" w:space="0" w:color="000000"/>
      </w:pBdr>
      <w:spacing w:lineRule="auto" w:line="240" w:before="280" w:after="280"/>
      <w:ind w:left="0" w:right="0" w:hanging="0"/>
      <w:jc w:val="center"/>
      <w:textAlignment w:val="center"/>
    </w:pPr>
    <w:rPr>
      <w:rFonts w:eastAsia="Times New Roman" w:cs="Times New Roman"/>
      <w:szCs w:val="24"/>
      <w:lang w:eastAsia="ru-RU"/>
    </w:rPr>
  </w:style>
  <w:style w:type="paragraph" w:styleId="-10">
    <w:name w:val="Табл-текст10"/>
    <w:basedOn w:val="Normal"/>
    <w:qFormat/>
    <w:pPr>
      <w:spacing w:lineRule="auto" w:line="240"/>
      <w:ind w:left="0" w:right="0" w:hanging="0"/>
      <w:jc w:val="center"/>
    </w:pPr>
    <w:rPr>
      <w:rFonts w:eastAsia="Times New Roman" w:cs="Arial"/>
      <w:kern w:val="2"/>
      <w:sz w:val="20"/>
      <w:szCs w:val="24"/>
      <w:lang w:eastAsia="ru-RU"/>
    </w:rPr>
  </w:style>
  <w:style w:type="paragraph" w:styleId="Style170">
    <w:name w:val="Заголовок раздела"/>
    <w:basedOn w:val="Style134"/>
    <w:link w:val="Style53"/>
    <w:qFormat/>
    <w:pPr>
      <w:spacing w:before="240" w:after="240"/>
      <w:ind w:left="0" w:right="0" w:firstLine="709"/>
      <w:jc w:val="center"/>
    </w:pPr>
    <w:rPr>
      <w:b/>
    </w:rPr>
  </w:style>
  <w:style w:type="paragraph" w:styleId="Style171">
    <w:name w:val="Текст раздела"/>
    <w:basedOn w:val="Style134"/>
    <w:link w:val="Style54"/>
    <w:qFormat/>
    <w:pPr>
      <w:spacing w:before="0" w:after="120"/>
      <w:ind w:left="0" w:right="0" w:firstLine="709"/>
    </w:pPr>
    <w:rPr>
      <w:sz w:val="24"/>
    </w:rPr>
  </w:style>
  <w:style w:type="paragraph" w:styleId="Style172">
    <w:name w:val="Ââ+çàê+ëèò"/>
    <w:basedOn w:val="Normal"/>
    <w:qFormat/>
    <w:pPr>
      <w:overflowPunct w:val="false"/>
      <w:ind w:left="0" w:right="0" w:firstLine="567"/>
      <w:jc w:val="center"/>
      <w:textAlignment w:val="baseline"/>
    </w:pPr>
    <w:rPr>
      <w:rFonts w:eastAsia="Times New Roman" w:cs="Times New Roman"/>
      <w:b/>
      <w:color w:val="0000FF"/>
      <w:spacing w:val="80"/>
      <w:kern w:val="2"/>
      <w:sz w:val="28"/>
      <w:szCs w:val="20"/>
      <w:lang w:eastAsia="ru-RU"/>
    </w:rPr>
  </w:style>
  <w:style w:type="paragraph" w:styleId="Style173">
    <w:name w:val="Заголовки"/>
    <w:basedOn w:val="Heading1"/>
    <w:next w:val="Normal"/>
    <w:link w:val="Style56"/>
    <w:qFormat/>
    <w:pPr>
      <w:keepLines w:val="false"/>
      <w:pageBreakBefore w:val="false"/>
      <w:tabs>
        <w:tab w:val="clear" w:pos="708"/>
        <w:tab w:val="left" w:pos="2410" w:leader="none"/>
      </w:tabs>
      <w:suppressAutoHyphens w:val="true"/>
      <w:overflowPunct w:val="false"/>
      <w:spacing w:lineRule="auto" w:line="240" w:before="480" w:after="360"/>
      <w:ind w:left="1248" w:right="0" w:hanging="709"/>
      <w:jc w:val="center"/>
      <w:textAlignment w:val="baseline"/>
    </w:pPr>
    <w:rPr>
      <w:rFonts w:ascii="Arial" w:hAnsi="Arial" w:eastAsia="Times New Roman" w:cs="Arial"/>
      <w:bCs w:val="false"/>
      <w:kern w:val="2"/>
      <w:sz w:val="28"/>
      <w:szCs w:val="32"/>
      <w:lang w:val="x-none" w:eastAsia="x-none"/>
    </w:rPr>
  </w:style>
  <w:style w:type="paragraph" w:styleId="Oeooe-oaaeeoa-12io">
    <w:name w:val="Oeooe-oaaeeoa-12io"/>
    <w:basedOn w:val="Normal"/>
    <w:qFormat/>
    <w:pPr>
      <w:ind w:left="0" w:right="0" w:firstLine="567"/>
      <w:jc w:val="left"/>
    </w:pPr>
    <w:rPr>
      <w:rFonts w:eastAsia="Times New Roman" w:cs="Times New Roman"/>
      <w:b/>
      <w:color w:val="000000"/>
      <w:szCs w:val="20"/>
      <w:lang w:eastAsia="ru-RU"/>
    </w:rPr>
  </w:style>
  <w:style w:type="paragraph" w:styleId="Iii0">
    <w:name w:val="Ii?i 0"/>
    <w:basedOn w:val="Normal"/>
    <w:qFormat/>
    <w:pPr>
      <w:ind w:left="0" w:right="0" w:hanging="0"/>
    </w:pPr>
    <w:rPr>
      <w:rFonts w:eastAsia="Times New Roman" w:cs="Times New Roman"/>
      <w:color w:val="000000"/>
      <w:szCs w:val="20"/>
      <w:lang w:eastAsia="ru-RU"/>
    </w:rPr>
  </w:style>
  <w:style w:type="paragraph" w:styleId="Style174">
    <w:name w:val="Абзац обычный"/>
    <w:basedOn w:val="Normal"/>
    <w:qFormat/>
    <w:pPr>
      <w:spacing w:before="0" w:after="120"/>
    </w:pPr>
    <w:rPr>
      <w:rFonts w:eastAsia="Times New Roman" w:cs="Times New Roman"/>
      <w:color w:val="000000"/>
      <w:szCs w:val="20"/>
      <w:lang w:eastAsia="ru-RU"/>
    </w:rPr>
  </w:style>
  <w:style w:type="paragraph" w:styleId="Style175">
    <w:name w:val="Абзац обычный Знак Знак Знак Знак Знак"/>
    <w:basedOn w:val="Normal"/>
    <w:link w:val="Style55"/>
    <w:qFormat/>
    <w:pPr>
      <w:spacing w:lineRule="auto" w:line="336" w:before="0" w:after="120"/>
    </w:pPr>
    <w:rPr>
      <w:rFonts w:eastAsia="Times New Roman" w:cs="Times New Roman"/>
      <w:color w:val="000000"/>
      <w:szCs w:val="20"/>
      <w:lang w:val="x-none" w:eastAsia="x-none"/>
    </w:rPr>
  </w:style>
  <w:style w:type="paragraph" w:styleId="NNN">
    <w:name w:val="N.N.N."/>
    <w:basedOn w:val="Title"/>
    <w:next w:val="Normal"/>
    <w:qFormat/>
    <w:pPr>
      <w:numPr>
        <w:ilvl w:val="0"/>
        <w:numId w:val="0"/>
      </w:numPr>
      <w:spacing w:lineRule="auto" w:line="360" w:before="360" w:after="240"/>
      <w:ind w:left="1080" w:right="28" w:hanging="720"/>
      <w:outlineLvl w:val="2"/>
    </w:pPr>
    <w:rPr>
      <w:i/>
      <w:kern w:val="2"/>
      <w:sz w:val="24"/>
      <w:szCs w:val="32"/>
      <w:lang w:val="x-none" w:eastAsia="x-none"/>
    </w:rPr>
  </w:style>
  <w:style w:type="paragraph" w:styleId="2112">
    <w:name w:val="Основной текст с отступом 21"/>
    <w:basedOn w:val="Normal"/>
    <w:qFormat/>
    <w:pPr>
      <w:suppressAutoHyphens w:val="true"/>
      <w:ind w:left="360" w:right="0" w:hanging="0"/>
    </w:pPr>
    <w:rPr>
      <w:rFonts w:eastAsia="Times New Roman" w:cs="Calibri"/>
      <w:szCs w:val="20"/>
      <w:lang w:eastAsia="ar-SA"/>
    </w:rPr>
  </w:style>
  <w:style w:type="paragraph" w:styleId="Msonormalcxspmiddle">
    <w:name w:val="msonormalcxspmiddle"/>
    <w:basedOn w:val="Normal"/>
    <w:qFormat/>
    <w:pPr>
      <w:spacing w:lineRule="auto" w:line="240" w:before="280" w:after="280"/>
      <w:ind w:left="0" w:right="0" w:hanging="0"/>
      <w:jc w:val="left"/>
    </w:pPr>
    <w:rPr>
      <w:rFonts w:eastAsia="Times New Roman" w:cs="Times New Roman"/>
      <w:szCs w:val="24"/>
      <w:lang w:eastAsia="ru-RU"/>
    </w:rPr>
  </w:style>
  <w:style w:type="paragraph" w:styleId="Point">
    <w:name w:val="point"/>
    <w:basedOn w:val="Normal"/>
    <w:qFormat/>
    <w:pPr>
      <w:spacing w:lineRule="auto" w:line="240" w:before="280" w:after="280"/>
      <w:ind w:left="0" w:right="0" w:hanging="0"/>
      <w:jc w:val="left"/>
    </w:pPr>
    <w:rPr>
      <w:rFonts w:ascii="Arial" w:hAnsi="Arial" w:eastAsia="Times New Roman" w:cs="Arial"/>
      <w:szCs w:val="24"/>
      <w:lang w:eastAsia="ru-RU"/>
    </w:rPr>
  </w:style>
  <w:style w:type="paragraph" w:styleId="Vector">
    <w:name w:val="vector"/>
    <w:basedOn w:val="Normal"/>
    <w:qFormat/>
    <w:pPr>
      <w:spacing w:lineRule="auto" w:line="240" w:before="280" w:after="280"/>
      <w:ind w:left="0" w:right="0" w:hanging="0"/>
      <w:jc w:val="left"/>
    </w:pPr>
    <w:rPr>
      <w:rFonts w:ascii="Arial" w:hAnsi="Arial" w:eastAsia="Times New Roman" w:cs="Arial"/>
      <w:szCs w:val="24"/>
      <w:lang w:eastAsia="ru-RU"/>
    </w:rPr>
  </w:style>
  <w:style w:type="paragraph" w:styleId="Text">
    <w:name w:val="text"/>
    <w:basedOn w:val="Normal"/>
    <w:qFormat/>
    <w:pPr>
      <w:spacing w:lineRule="auto" w:line="240" w:before="280" w:after="280"/>
      <w:ind w:left="0" w:right="0" w:hanging="0"/>
      <w:jc w:val="left"/>
    </w:pPr>
    <w:rPr>
      <w:rFonts w:ascii="Arial" w:hAnsi="Arial" w:eastAsia="Times New Roman" w:cs="Arial"/>
      <w:szCs w:val="24"/>
      <w:lang w:eastAsia="ru-RU"/>
    </w:rPr>
  </w:style>
  <w:style w:type="paragraph" w:styleId="Textheader">
    <w:name w:val="textheader"/>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Projectname">
    <w:name w:val="project_name"/>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Projectfolder">
    <w:name w:val="project_folder"/>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Projectcrtime">
    <w:name w:val="project_crtime"/>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Projectsurveyor">
    <w:name w:val="project_surveyor"/>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Projectcomment">
    <w:name w:val="project_comment"/>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Linearunit">
    <w:name w:val="linear_unit"/>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Angularunit">
    <w:name w:val="angular_unit"/>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Projection">
    <w:name w:val="projection"/>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Datum">
    <w:name w:val="datum"/>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Geoid">
    <w:name w:val="geoid"/>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Angle">
    <w:name w:val="angle"/>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Scale">
    <w:name w:val="scale"/>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Hx">
    <w:name w:val="hx"/>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Hy">
    <w:name w:val="hy"/>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Lat0">
    <w:name w:val="lat0"/>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Lon0">
    <w:name w:val="lon0"/>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Ellh0">
    <w:name w:val="ellh0"/>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Localn0">
    <w:name w:val="localn0"/>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Locale0">
    <w:name w:val="locale0"/>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Localh0">
    <w:name w:val="localh0"/>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Dx">
    <w:name w:val="dx"/>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Dy">
    <w:name w:val="dy"/>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H0">
    <w:name w:val="h0"/>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Timezone">
    <w:name w:val="timezone"/>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Adjustmentheader">
    <w:name w:val="adjustmentheader"/>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Adjustmenttype">
    <w:name w:val="adjustment_type"/>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Confidencelevel">
    <w:name w:val="confidence_level"/>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Standarderroruwfree">
    <w:name w:val="standard_error_uw_free"/>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Standarderroruw">
    <w:name w:val="standard_error_uw"/>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Adjustedpointsnum">
    <w:name w:val="adjusted_points_num"/>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Controlheightpointsnum">
    <w:name w:val="control_height_points_num"/>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Controlplanepointsnum">
    <w:name w:val="control_plane_points_num"/>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Weightedplanepointsnum">
    <w:name w:val="weighted_plane_points_num"/>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Rejectedweightedplanenum">
    <w:name w:val="rejected_weighted_plane_num"/>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Weightedheightpointsnum">
    <w:name w:val="weighted_height_points_num"/>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Rejectedweightedheightnum">
    <w:name w:val="rejected_weighted_height_num"/>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Totalvectors">
    <w:name w:val="total_vectors"/>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Usedvectorsnum">
    <w:name w:val="used_vectors_num"/>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Rejectedvectorsnum">
    <w:name w:val="rejected_vectors_num"/>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Componentname">
    <w:name w:val="component_name"/>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Componentscount">
    <w:name w:val="components_count"/>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Usedgpsvectors">
    <w:name w:val="used_gpsvectors"/>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Usedsd">
    <w:name w:val="used_sd"/>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Usedha">
    <w:name w:val="used_ha"/>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Usedaz">
    <w:name w:val="used_az"/>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Usedva">
    <w:name w:val="used_va"/>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Useddl">
    <w:name w:val="used_dl"/>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Uweplane">
    <w:name w:val="uwe_plane"/>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Uweheight">
    <w:name w:val="uwe_height"/>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Rejectedgpsvectorsplane">
    <w:name w:val="rejected_gpsvectors_plane"/>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Rejectedgpsvectorsheight">
    <w:name w:val="rejected_gpsvectors_height"/>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Rejectedsd">
    <w:name w:val="rejected_sd"/>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Rejectedha">
    <w:name w:val="rejected_ha"/>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Rejectedaz">
    <w:name w:val="rejected_az"/>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Rejectedva">
    <w:name w:val="rejected_va"/>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Rejecteddl">
    <w:name w:val="rejected_dl"/>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Adjustedheights">
    <w:name w:val="adjusted_heights"/>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Planebound0">
    <w:name w:val="plane_bound0"/>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Planebound1">
    <w:name w:val="plane_bound1"/>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Heightbound0">
    <w:name w:val="height_bound0"/>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Heightbound1">
    <w:name w:val="height_bound1"/>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Apriorigps">
    <w:name w:val="apriori_gps"/>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Apriorigpsh">
    <w:name w:val="apriori_gpsh"/>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Aprioritssd">
    <w:name w:val="apriori_tssd"/>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Aprioritsha">
    <w:name w:val="apriori_tsha"/>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Aprioritsva">
    <w:name w:val="apriori_tsva"/>
    <w:basedOn w:val="Normal"/>
    <w:qFormat/>
    <w:pPr>
      <w:spacing w:lineRule="auto" w:line="240" w:before="280" w:after="280"/>
      <w:ind w:left="0" w:right="0" w:hanging="0"/>
      <w:jc w:val="left"/>
    </w:pPr>
    <w:rPr>
      <w:rFonts w:ascii="Arial" w:hAnsi="Arial" w:eastAsia="Times New Roman" w:cs="Arial"/>
      <w:b/>
      <w:bCs/>
      <w:szCs w:val="24"/>
      <w:lang w:eastAsia="ru-RU"/>
    </w:rPr>
  </w:style>
  <w:style w:type="paragraph" w:styleId="Loop">
    <w:name w:val="loop"/>
    <w:basedOn w:val="Normal"/>
    <w:qFormat/>
    <w:pPr>
      <w:spacing w:lineRule="auto" w:line="240" w:before="280" w:after="280"/>
      <w:ind w:left="0" w:right="0" w:hanging="0"/>
      <w:jc w:val="left"/>
    </w:pPr>
    <w:rPr>
      <w:rFonts w:ascii="Arial" w:hAnsi="Arial" w:eastAsia="Times New Roman" w:cs="Arial"/>
      <w:szCs w:val="24"/>
      <w:lang w:eastAsia="ru-RU"/>
    </w:rPr>
  </w:style>
  <w:style w:type="paragraph" w:styleId="Adjdlg">
    <w:name w:val="adjdlg"/>
    <w:basedOn w:val="Normal"/>
    <w:qFormat/>
    <w:pPr>
      <w:spacing w:lineRule="auto" w:line="240" w:before="280" w:after="280"/>
      <w:ind w:left="0" w:right="0" w:hanging="0"/>
      <w:jc w:val="left"/>
    </w:pPr>
    <w:rPr>
      <w:rFonts w:ascii="Arial" w:hAnsi="Arial" w:eastAsia="Times New Roman" w:cs="Arial"/>
      <w:sz w:val="20"/>
      <w:szCs w:val="20"/>
      <w:lang w:eastAsia="ru-RU"/>
    </w:rPr>
  </w:style>
  <w:style w:type="paragraph" w:styleId="Repvec">
    <w:name w:val="repvec"/>
    <w:basedOn w:val="Normal"/>
    <w:qFormat/>
    <w:pPr>
      <w:spacing w:lineRule="auto" w:line="240" w:before="280" w:after="280"/>
      <w:ind w:left="0" w:right="0" w:hanging="0"/>
      <w:jc w:val="left"/>
    </w:pPr>
    <w:rPr>
      <w:rFonts w:ascii="Arial" w:hAnsi="Arial" w:eastAsia="Times New Roman" w:cs="Arial"/>
      <w:szCs w:val="24"/>
      <w:lang w:eastAsia="ru-RU"/>
    </w:rPr>
  </w:style>
  <w:style w:type="paragraph" w:styleId="Tsmeasurement">
    <w:name w:val="tsmeasurement"/>
    <w:basedOn w:val="Normal"/>
    <w:qFormat/>
    <w:pPr>
      <w:spacing w:lineRule="auto" w:line="240" w:before="280" w:after="280"/>
      <w:ind w:left="0" w:right="0" w:hanging="0"/>
      <w:jc w:val="left"/>
    </w:pPr>
    <w:rPr>
      <w:rFonts w:ascii="Arial" w:hAnsi="Arial" w:eastAsia="Times New Roman" w:cs="Arial"/>
      <w:szCs w:val="24"/>
      <w:lang w:eastAsia="ru-RU"/>
    </w:rPr>
  </w:style>
  <w:style w:type="paragraph" w:styleId="Misnamedpoint">
    <w:name w:val="misnamedpoint"/>
    <w:basedOn w:val="Normal"/>
    <w:qFormat/>
    <w:pPr>
      <w:spacing w:lineRule="auto" w:line="240" w:before="280" w:after="280"/>
      <w:ind w:left="0" w:right="0" w:hanging="0"/>
      <w:jc w:val="left"/>
    </w:pPr>
    <w:rPr>
      <w:rFonts w:ascii="Arial" w:hAnsi="Arial" w:eastAsia="Times New Roman" w:cs="Arial"/>
      <w:szCs w:val="24"/>
      <w:lang w:eastAsia="ru-RU"/>
    </w:rPr>
  </w:style>
  <w:style w:type="paragraph" w:styleId="Identicalpoint">
    <w:name w:val="identicalpoint"/>
    <w:basedOn w:val="Normal"/>
    <w:qFormat/>
    <w:pPr>
      <w:spacing w:lineRule="auto" w:line="240" w:before="280" w:after="280"/>
      <w:ind w:left="0" w:right="0" w:hanging="0"/>
      <w:jc w:val="left"/>
    </w:pPr>
    <w:rPr>
      <w:rFonts w:ascii="Arial" w:hAnsi="Arial" w:eastAsia="Times New Roman" w:cs="Arial"/>
      <w:szCs w:val="24"/>
      <w:lang w:eastAsia="ru-RU"/>
    </w:rPr>
  </w:style>
  <w:style w:type="paragraph" w:styleId="Stakedpoint">
    <w:name w:val="stakedpoint"/>
    <w:basedOn w:val="Normal"/>
    <w:qFormat/>
    <w:pPr>
      <w:spacing w:lineRule="auto" w:line="240" w:before="280" w:after="280"/>
      <w:ind w:left="0" w:right="0" w:hanging="0"/>
      <w:jc w:val="left"/>
    </w:pPr>
    <w:rPr>
      <w:rFonts w:ascii="Arial" w:hAnsi="Arial" w:eastAsia="Times New Roman" w:cs="Arial"/>
      <w:szCs w:val="24"/>
      <w:lang w:eastAsia="ru-RU"/>
    </w:rPr>
  </w:style>
  <w:style w:type="paragraph" w:styleId="Checkedpoint">
    <w:name w:val="checkedpoint"/>
    <w:basedOn w:val="Normal"/>
    <w:qFormat/>
    <w:pPr>
      <w:spacing w:lineRule="auto" w:line="240" w:before="280" w:after="280"/>
      <w:ind w:left="0" w:right="0" w:hanging="0"/>
      <w:jc w:val="left"/>
    </w:pPr>
    <w:rPr>
      <w:rFonts w:ascii="Arial" w:hAnsi="Arial" w:eastAsia="Times New Roman" w:cs="Arial"/>
      <w:szCs w:val="24"/>
      <w:lang w:eastAsia="ru-RU"/>
    </w:rPr>
  </w:style>
  <w:style w:type="paragraph" w:styleId="Cogoline">
    <w:name w:val="cogoline"/>
    <w:basedOn w:val="Normal"/>
    <w:qFormat/>
    <w:pPr>
      <w:spacing w:lineRule="auto" w:line="240" w:before="280" w:after="280"/>
      <w:ind w:left="0" w:right="0" w:hanging="0"/>
      <w:jc w:val="left"/>
    </w:pPr>
    <w:rPr>
      <w:rFonts w:ascii="Arial" w:hAnsi="Arial" w:eastAsia="Times New Roman" w:cs="Arial"/>
      <w:szCs w:val="24"/>
      <w:lang w:eastAsia="ru-RU"/>
    </w:rPr>
  </w:style>
  <w:style w:type="paragraph" w:styleId="Cogopoint">
    <w:name w:val="cogopoint"/>
    <w:basedOn w:val="Normal"/>
    <w:qFormat/>
    <w:pPr>
      <w:spacing w:lineRule="auto" w:line="240" w:before="280" w:after="280"/>
      <w:ind w:left="0" w:right="0" w:hanging="0"/>
      <w:jc w:val="left"/>
    </w:pPr>
    <w:rPr>
      <w:rFonts w:ascii="Arial" w:hAnsi="Arial" w:eastAsia="Times New Roman" w:cs="Arial"/>
      <w:szCs w:val="24"/>
      <w:lang w:eastAsia="ru-RU"/>
    </w:rPr>
  </w:style>
  <w:style w:type="paragraph" w:styleId="Cogoinvptl">
    <w:name w:val="cogoinvptl"/>
    <w:basedOn w:val="Normal"/>
    <w:qFormat/>
    <w:pPr>
      <w:spacing w:lineRule="auto" w:line="240" w:before="280" w:after="280"/>
      <w:ind w:left="0" w:right="0" w:hanging="0"/>
      <w:jc w:val="left"/>
    </w:pPr>
    <w:rPr>
      <w:rFonts w:ascii="Arial" w:hAnsi="Arial" w:eastAsia="Times New Roman" w:cs="Arial"/>
      <w:szCs w:val="24"/>
      <w:lang w:eastAsia="ru-RU"/>
    </w:rPr>
  </w:style>
  <w:style w:type="paragraph" w:styleId="Cogodtmcross">
    <w:name w:val="cogodtmcross"/>
    <w:basedOn w:val="Normal"/>
    <w:qFormat/>
    <w:pPr>
      <w:spacing w:lineRule="auto" w:line="240" w:before="280" w:after="280"/>
      <w:ind w:left="0" w:right="0" w:hanging="0"/>
      <w:jc w:val="left"/>
    </w:pPr>
    <w:rPr>
      <w:rFonts w:ascii="Arial" w:hAnsi="Arial" w:eastAsia="Times New Roman" w:cs="Arial"/>
      <w:szCs w:val="24"/>
      <w:lang w:eastAsia="ru-RU"/>
    </w:rPr>
  </w:style>
  <w:style w:type="paragraph" w:styleId="Tiepoint">
    <w:name w:val="tiepoint"/>
    <w:basedOn w:val="Normal"/>
    <w:qFormat/>
    <w:pPr>
      <w:spacing w:lineRule="auto" w:line="240" w:before="280" w:after="280"/>
      <w:ind w:left="0" w:right="0" w:hanging="0"/>
      <w:jc w:val="left"/>
    </w:pPr>
    <w:rPr>
      <w:rFonts w:ascii="Arial" w:hAnsi="Arial" w:eastAsia="Times New Roman" w:cs="Arial"/>
      <w:szCs w:val="24"/>
      <w:lang w:eastAsia="ru-RU"/>
    </w:rPr>
  </w:style>
  <w:style w:type="paragraph" w:styleId="Dlmeasurement">
    <w:name w:val="dlmeasurement"/>
    <w:basedOn w:val="Normal"/>
    <w:qFormat/>
    <w:pPr>
      <w:spacing w:lineRule="auto" w:line="240" w:before="280" w:after="280"/>
      <w:ind w:left="0" w:right="0" w:hanging="0"/>
      <w:jc w:val="left"/>
    </w:pPr>
    <w:rPr>
      <w:rFonts w:ascii="Arial" w:hAnsi="Arial" w:eastAsia="Times New Roman" w:cs="Arial"/>
      <w:szCs w:val="24"/>
      <w:lang w:eastAsia="ru-RU"/>
    </w:rPr>
  </w:style>
  <w:style w:type="paragraph" w:styleId="Dlstation">
    <w:name w:val="dlstation"/>
    <w:basedOn w:val="Normal"/>
    <w:qFormat/>
    <w:pPr>
      <w:spacing w:lineRule="auto" w:line="240" w:before="280" w:after="280"/>
      <w:ind w:left="0" w:right="0" w:hanging="0"/>
      <w:jc w:val="left"/>
    </w:pPr>
    <w:rPr>
      <w:rFonts w:ascii="Arial" w:hAnsi="Arial" w:eastAsia="Times New Roman" w:cs="Arial"/>
      <w:szCs w:val="24"/>
      <w:lang w:eastAsia="ru-RU"/>
    </w:rPr>
  </w:style>
  <w:style w:type="paragraph" w:styleId="Fail">
    <w:name w:val="fail"/>
    <w:basedOn w:val="Normal"/>
    <w:qFormat/>
    <w:pPr>
      <w:spacing w:lineRule="auto" w:line="240" w:before="280" w:after="280"/>
      <w:ind w:left="0" w:right="0" w:hanging="0"/>
      <w:jc w:val="left"/>
    </w:pPr>
    <w:rPr>
      <w:rFonts w:eastAsia="Times New Roman" w:cs="Times New Roman"/>
      <w:szCs w:val="24"/>
      <w:lang w:eastAsia="ru-RU"/>
    </w:rPr>
  </w:style>
  <w:style w:type="paragraph" w:styleId="Fail1">
    <w:name w:val="fail1"/>
    <w:basedOn w:val="Normal"/>
    <w:qFormat/>
    <w:pPr>
      <w:spacing w:lineRule="auto" w:line="240" w:before="280" w:after="280"/>
      <w:ind w:left="0" w:right="0" w:hanging="0"/>
      <w:jc w:val="left"/>
    </w:pPr>
    <w:rPr>
      <w:rFonts w:eastAsia="Times New Roman" w:cs="Times New Roman"/>
      <w:i/>
      <w:iCs/>
      <w:color w:val="FF0000"/>
      <w:szCs w:val="24"/>
      <w:lang w:eastAsia="ru-RU"/>
    </w:rPr>
  </w:style>
  <w:style w:type="paragraph" w:styleId="148">
    <w:name w:val="1 заг табл"/>
    <w:basedOn w:val="Normal"/>
    <w:qFormat/>
    <w:pPr>
      <w:keepNext w:val="true"/>
      <w:tabs>
        <w:tab w:val="clear" w:pos="708"/>
        <w:tab w:val="left" w:pos="1134" w:leader="none"/>
      </w:tabs>
      <w:ind w:left="1701" w:right="0" w:hanging="1701"/>
    </w:pPr>
    <w:rPr>
      <w:rFonts w:eastAsia="Times New Roman" w:cs="Times New Roman"/>
      <w:szCs w:val="20"/>
    </w:rPr>
  </w:style>
  <w:style w:type="paragraph" w:styleId="Xl812">
    <w:name w:val="xl812"/>
    <w:basedOn w:val="Normal"/>
    <w:qFormat/>
    <w:pPr>
      <w:spacing w:lineRule="auto" w:line="240" w:before="280" w:after="280"/>
      <w:ind w:left="0" w:right="0" w:hanging="0"/>
      <w:jc w:val="center"/>
      <w:textAlignment w:val="center"/>
    </w:pPr>
    <w:rPr>
      <w:rFonts w:eastAsia="Times New Roman" w:cs="Times New Roman"/>
      <w:szCs w:val="24"/>
      <w:lang w:eastAsia="ru-RU"/>
    </w:rPr>
  </w:style>
  <w:style w:type="paragraph" w:styleId="Xl813">
    <w:name w:val="xl813"/>
    <w:basedOn w:val="Normal"/>
    <w:qFormat/>
    <w:pPr>
      <w:spacing w:lineRule="auto" w:line="240" w:before="280" w:after="280"/>
      <w:ind w:left="0" w:right="0" w:hanging="0"/>
      <w:jc w:val="left"/>
    </w:pPr>
    <w:rPr>
      <w:rFonts w:eastAsia="Times New Roman" w:cs="Times New Roman"/>
      <w:szCs w:val="24"/>
      <w:lang w:eastAsia="ru-RU"/>
    </w:rPr>
  </w:style>
  <w:style w:type="paragraph" w:styleId="Xl814">
    <w:name w:val="xl814"/>
    <w:basedOn w:val="Normal"/>
    <w:qFormat/>
    <w:pPr>
      <w:pBdr>
        <w:top w:val="single" w:sz="4" w:space="0" w:color="000000"/>
        <w:left w:val="single" w:sz="4" w:space="0" w:color="000000"/>
        <w:bottom w:val="single" w:sz="4" w:space="0" w:color="000000"/>
        <w:right w:val="single" w:sz="4" w:space="0" w:color="000000"/>
      </w:pBdr>
      <w:shd w:val="clear" w:fill="D9D9D9"/>
      <w:spacing w:lineRule="auto" w:line="240" w:before="280" w:after="280"/>
      <w:ind w:left="0" w:right="0" w:hanging="0"/>
      <w:jc w:val="center"/>
      <w:textAlignment w:val="center"/>
    </w:pPr>
    <w:rPr>
      <w:rFonts w:eastAsia="Times New Roman" w:cs="Times New Roman"/>
      <w:b/>
      <w:bCs/>
      <w:szCs w:val="24"/>
      <w:lang w:eastAsia="ru-RU"/>
    </w:rPr>
  </w:style>
  <w:style w:type="paragraph" w:styleId="Xl815">
    <w:name w:val="xl815"/>
    <w:basedOn w:val="Normal"/>
    <w:qFormat/>
    <w:pPr>
      <w:pBdr>
        <w:top w:val="single" w:sz="4" w:space="0" w:color="000000"/>
        <w:left w:val="single" w:sz="4" w:space="0" w:color="000000"/>
        <w:bottom w:val="single" w:sz="4" w:space="0" w:color="000000"/>
        <w:right w:val="single" w:sz="4" w:space="0" w:color="000000"/>
      </w:pBdr>
      <w:shd w:val="clear" w:fill="D9D9D9"/>
      <w:spacing w:lineRule="auto" w:line="240" w:before="280" w:after="280"/>
      <w:ind w:left="0" w:right="0" w:hanging="0"/>
      <w:jc w:val="center"/>
      <w:textAlignment w:val="center"/>
    </w:pPr>
    <w:rPr>
      <w:rFonts w:eastAsia="Times New Roman" w:cs="Times New Roman"/>
      <w:b/>
      <w:bCs/>
      <w:szCs w:val="24"/>
      <w:lang w:eastAsia="ru-RU"/>
    </w:rPr>
  </w:style>
  <w:style w:type="paragraph" w:styleId="Xl816">
    <w:name w:val="xl816"/>
    <w:basedOn w:val="Normal"/>
    <w:qFormat/>
    <w:pPr>
      <w:pBdr>
        <w:top w:val="single" w:sz="4" w:space="0" w:color="000000"/>
        <w:left w:val="single" w:sz="4" w:space="0" w:color="000000"/>
        <w:bottom w:val="single" w:sz="4" w:space="0" w:color="000000"/>
        <w:right w:val="single" w:sz="4" w:space="0" w:color="000000"/>
      </w:pBdr>
      <w:spacing w:lineRule="auto" w:line="240" w:before="280" w:after="280"/>
      <w:ind w:left="0" w:right="0" w:hanging="0"/>
      <w:jc w:val="center"/>
      <w:textAlignment w:val="center"/>
    </w:pPr>
    <w:rPr>
      <w:rFonts w:eastAsia="Times New Roman" w:cs="Times New Roman"/>
      <w:szCs w:val="24"/>
      <w:lang w:eastAsia="ru-RU"/>
    </w:rPr>
  </w:style>
  <w:style w:type="paragraph" w:styleId="Xl817">
    <w:name w:val="xl817"/>
    <w:basedOn w:val="Normal"/>
    <w:qFormat/>
    <w:pPr>
      <w:pBdr>
        <w:top w:val="single" w:sz="4" w:space="0" w:color="000000"/>
        <w:left w:val="single" w:sz="4" w:space="0" w:color="000000"/>
        <w:bottom w:val="single" w:sz="4" w:space="0" w:color="000000"/>
        <w:right w:val="single" w:sz="4" w:space="0" w:color="000000"/>
      </w:pBdr>
      <w:spacing w:lineRule="auto" w:line="240" w:before="280" w:after="280"/>
      <w:ind w:left="0" w:right="0" w:hanging="0"/>
      <w:jc w:val="center"/>
      <w:textAlignment w:val="center"/>
    </w:pPr>
    <w:rPr>
      <w:rFonts w:eastAsia="Times New Roman" w:cs="Times New Roman"/>
      <w:szCs w:val="24"/>
      <w:lang w:eastAsia="ru-RU"/>
    </w:rPr>
  </w:style>
  <w:style w:type="paragraph" w:styleId="Xl818">
    <w:name w:val="xl818"/>
    <w:basedOn w:val="Normal"/>
    <w:qFormat/>
    <w:pPr>
      <w:pBdr>
        <w:top w:val="single" w:sz="4" w:space="0" w:color="000000"/>
        <w:left w:val="single" w:sz="4" w:space="0" w:color="000000"/>
        <w:bottom w:val="single" w:sz="4" w:space="0" w:color="000000"/>
        <w:right w:val="single" w:sz="4" w:space="0" w:color="000000"/>
      </w:pBdr>
      <w:shd w:val="clear" w:fill="FFFFFF"/>
      <w:spacing w:lineRule="auto" w:line="240" w:before="280" w:after="280"/>
      <w:ind w:left="0" w:right="0" w:hanging="0"/>
      <w:jc w:val="center"/>
      <w:textAlignment w:val="center"/>
    </w:pPr>
    <w:rPr>
      <w:rFonts w:eastAsia="Times New Roman" w:cs="Times New Roman"/>
      <w:szCs w:val="24"/>
      <w:lang w:eastAsia="ru-RU"/>
    </w:rPr>
  </w:style>
  <w:style w:type="paragraph" w:styleId="Xl819">
    <w:name w:val="xl819"/>
    <w:basedOn w:val="Normal"/>
    <w:qFormat/>
    <w:pPr>
      <w:pBdr>
        <w:top w:val="single" w:sz="4" w:space="0" w:color="000000"/>
        <w:left w:val="single" w:sz="4" w:space="0" w:color="000000"/>
        <w:bottom w:val="single" w:sz="4" w:space="0" w:color="000000"/>
        <w:right w:val="single" w:sz="4" w:space="0" w:color="000000"/>
      </w:pBdr>
      <w:spacing w:lineRule="auto" w:line="240" w:before="280" w:after="280"/>
      <w:ind w:left="0" w:right="0" w:hanging="0"/>
      <w:jc w:val="center"/>
      <w:textAlignment w:val="center"/>
    </w:pPr>
    <w:rPr>
      <w:rFonts w:eastAsia="Times New Roman" w:cs="Times New Roman"/>
      <w:szCs w:val="24"/>
      <w:lang w:eastAsia="ru-RU"/>
    </w:rPr>
  </w:style>
  <w:style w:type="paragraph" w:styleId="Xl820">
    <w:name w:val="xl820"/>
    <w:basedOn w:val="Normal"/>
    <w:qFormat/>
    <w:pPr>
      <w:pBdr>
        <w:top w:val="single" w:sz="4" w:space="0" w:color="000000"/>
        <w:left w:val="single" w:sz="4" w:space="0" w:color="000000"/>
        <w:bottom w:val="single" w:sz="4" w:space="0" w:color="000000"/>
        <w:right w:val="single" w:sz="4" w:space="0" w:color="000000"/>
      </w:pBdr>
      <w:spacing w:lineRule="auto" w:line="240" w:before="280" w:after="280"/>
      <w:ind w:left="0" w:right="0" w:hanging="0"/>
      <w:jc w:val="center"/>
      <w:textAlignment w:val="center"/>
    </w:pPr>
    <w:rPr>
      <w:rFonts w:eastAsia="Times New Roman" w:cs="Times New Roman"/>
      <w:b/>
      <w:bCs/>
      <w:szCs w:val="24"/>
      <w:lang w:eastAsia="ru-RU"/>
    </w:rPr>
  </w:style>
  <w:style w:type="paragraph" w:styleId="Xl821">
    <w:name w:val="xl821"/>
    <w:basedOn w:val="Normal"/>
    <w:qFormat/>
    <w:pPr>
      <w:shd w:val="clear" w:fill="FFFFFF"/>
      <w:spacing w:lineRule="auto" w:line="240" w:before="280" w:after="280"/>
      <w:ind w:left="0" w:right="0" w:hanging="0"/>
      <w:jc w:val="left"/>
    </w:pPr>
    <w:rPr>
      <w:rFonts w:eastAsia="Times New Roman" w:cs="Times New Roman"/>
      <w:szCs w:val="24"/>
      <w:lang w:eastAsia="ru-RU"/>
    </w:rPr>
  </w:style>
  <w:style w:type="paragraph" w:styleId="Xl822">
    <w:name w:val="xl822"/>
    <w:basedOn w:val="Normal"/>
    <w:qFormat/>
    <w:pPr>
      <w:pBdr>
        <w:top w:val="single" w:sz="4" w:space="0" w:color="000000"/>
        <w:left w:val="single" w:sz="4" w:space="0" w:color="000000"/>
        <w:bottom w:val="single" w:sz="4" w:space="0" w:color="000000"/>
        <w:right w:val="single" w:sz="4" w:space="0" w:color="000000"/>
      </w:pBdr>
      <w:shd w:val="clear" w:fill="FFFFFF"/>
      <w:spacing w:lineRule="auto" w:line="240" w:before="280" w:after="280"/>
      <w:ind w:left="0" w:right="0" w:hanging="0"/>
      <w:jc w:val="center"/>
      <w:textAlignment w:val="center"/>
    </w:pPr>
    <w:rPr>
      <w:rFonts w:eastAsia="Times New Roman" w:cs="Times New Roman"/>
      <w:szCs w:val="24"/>
      <w:lang w:eastAsia="ru-RU"/>
    </w:rPr>
  </w:style>
  <w:style w:type="paragraph" w:styleId="Xl823">
    <w:name w:val="xl823"/>
    <w:basedOn w:val="Normal"/>
    <w:qFormat/>
    <w:pPr>
      <w:pBdr>
        <w:top w:val="single" w:sz="4" w:space="0" w:color="000000"/>
        <w:left w:val="single" w:sz="4" w:space="0" w:color="000000"/>
        <w:bottom w:val="single" w:sz="4" w:space="0" w:color="000000"/>
        <w:right w:val="single" w:sz="4" w:space="0" w:color="000000"/>
      </w:pBdr>
      <w:spacing w:lineRule="auto" w:line="240" w:before="280" w:after="280"/>
      <w:ind w:left="0" w:right="0" w:hanging="0"/>
      <w:jc w:val="center"/>
      <w:textAlignment w:val="center"/>
    </w:pPr>
    <w:rPr>
      <w:rFonts w:eastAsia="Times New Roman" w:cs="Times New Roman"/>
      <w:szCs w:val="24"/>
      <w:lang w:eastAsia="ru-RU"/>
    </w:rPr>
  </w:style>
  <w:style w:type="paragraph" w:styleId="Xl824">
    <w:name w:val="xl824"/>
    <w:basedOn w:val="Normal"/>
    <w:qFormat/>
    <w:pPr>
      <w:pBdr>
        <w:top w:val="single" w:sz="4" w:space="0" w:color="000000"/>
        <w:left w:val="single" w:sz="4" w:space="0" w:color="000000"/>
        <w:bottom w:val="single" w:sz="4" w:space="0" w:color="000000"/>
        <w:right w:val="single" w:sz="4" w:space="0" w:color="000000"/>
      </w:pBdr>
      <w:spacing w:lineRule="auto" w:line="240" w:before="280" w:after="280"/>
      <w:ind w:left="0" w:right="0" w:hanging="0"/>
      <w:jc w:val="center"/>
      <w:textAlignment w:val="center"/>
    </w:pPr>
    <w:rPr>
      <w:rFonts w:eastAsia="Times New Roman" w:cs="Times New Roman"/>
      <w:b/>
      <w:bCs/>
      <w:szCs w:val="24"/>
      <w:lang w:eastAsia="ru-RU"/>
    </w:rPr>
  </w:style>
  <w:style w:type="paragraph" w:styleId="Xl825">
    <w:name w:val="xl825"/>
    <w:basedOn w:val="Normal"/>
    <w:qFormat/>
    <w:pPr>
      <w:spacing w:lineRule="auto" w:line="240" w:before="280" w:after="280"/>
      <w:ind w:left="0" w:right="0" w:hanging="0"/>
      <w:jc w:val="left"/>
    </w:pPr>
    <w:rPr>
      <w:rFonts w:eastAsia="Times New Roman" w:cs="Times New Roman"/>
      <w:b/>
      <w:bCs/>
      <w:szCs w:val="24"/>
      <w:lang w:eastAsia="ru-RU"/>
    </w:rPr>
  </w:style>
  <w:style w:type="paragraph" w:styleId="Xl826">
    <w:name w:val="xl826"/>
    <w:basedOn w:val="Normal"/>
    <w:qFormat/>
    <w:pPr>
      <w:pBdr>
        <w:left w:val="single" w:sz="4" w:space="0" w:color="000000"/>
      </w:pBdr>
      <w:spacing w:lineRule="auto" w:line="240" w:before="280" w:after="280"/>
      <w:ind w:left="0" w:right="0" w:hanging="0"/>
      <w:jc w:val="center"/>
      <w:textAlignment w:val="center"/>
    </w:pPr>
    <w:rPr>
      <w:rFonts w:eastAsia="Times New Roman" w:cs="Times New Roman"/>
      <w:b/>
      <w:bCs/>
      <w:szCs w:val="24"/>
      <w:lang w:eastAsia="ru-RU"/>
    </w:rPr>
  </w:style>
  <w:style w:type="paragraph" w:styleId="Xl827">
    <w:name w:val="xl827"/>
    <w:basedOn w:val="Normal"/>
    <w:qFormat/>
    <w:pPr>
      <w:spacing w:lineRule="auto" w:line="240" w:before="280" w:after="280"/>
      <w:ind w:left="0" w:right="0" w:hanging="0"/>
      <w:jc w:val="center"/>
      <w:textAlignment w:val="center"/>
    </w:pPr>
    <w:rPr>
      <w:rFonts w:eastAsia="Times New Roman" w:cs="Times New Roman"/>
      <w:b/>
      <w:bCs/>
      <w:szCs w:val="24"/>
      <w:lang w:eastAsia="ru-RU"/>
    </w:rPr>
  </w:style>
  <w:style w:type="paragraph" w:styleId="Xl828">
    <w:name w:val="xl828"/>
    <w:basedOn w:val="Normal"/>
    <w:qFormat/>
    <w:pPr>
      <w:pBdr>
        <w:top w:val="single" w:sz="4" w:space="0" w:color="000000"/>
        <w:left w:val="single" w:sz="4" w:space="0" w:color="000000"/>
        <w:bottom w:val="single" w:sz="4" w:space="0" w:color="000000"/>
        <w:right w:val="single" w:sz="4" w:space="0" w:color="000000"/>
      </w:pBdr>
      <w:shd w:val="clear" w:fill="D9D9D9"/>
      <w:spacing w:lineRule="auto" w:line="240" w:before="280" w:after="280"/>
      <w:ind w:left="0" w:right="0" w:hanging="0"/>
      <w:jc w:val="right"/>
      <w:textAlignment w:val="center"/>
    </w:pPr>
    <w:rPr>
      <w:rFonts w:eastAsia="Times New Roman" w:cs="Times New Roman"/>
      <w:b/>
      <w:bCs/>
      <w:szCs w:val="24"/>
      <w:lang w:eastAsia="ru-RU"/>
    </w:rPr>
  </w:style>
  <w:style w:type="paragraph" w:styleId="Xl829">
    <w:name w:val="xl829"/>
    <w:basedOn w:val="Normal"/>
    <w:qFormat/>
    <w:pPr>
      <w:pBdr>
        <w:top w:val="single" w:sz="4" w:space="0" w:color="000000"/>
        <w:left w:val="single" w:sz="4" w:space="0" w:color="000000"/>
        <w:bottom w:val="single" w:sz="4" w:space="0" w:color="000000"/>
        <w:right w:val="single" w:sz="4" w:space="0" w:color="000000"/>
      </w:pBdr>
      <w:spacing w:lineRule="auto" w:line="240" w:before="280" w:after="280"/>
      <w:ind w:left="0" w:right="0" w:hanging="0"/>
      <w:jc w:val="right"/>
      <w:textAlignment w:val="center"/>
    </w:pPr>
    <w:rPr>
      <w:rFonts w:eastAsia="Times New Roman" w:cs="Times New Roman"/>
      <w:b/>
      <w:bCs/>
      <w:szCs w:val="24"/>
      <w:lang w:eastAsia="ru-RU"/>
    </w:rPr>
  </w:style>
  <w:style w:type="paragraph" w:styleId="Xl830">
    <w:name w:val="xl830"/>
    <w:basedOn w:val="Normal"/>
    <w:qFormat/>
    <w:pPr>
      <w:pBdr>
        <w:top w:val="single" w:sz="4" w:space="0" w:color="000000"/>
        <w:left w:val="single" w:sz="4" w:space="0" w:color="000000"/>
        <w:bottom w:val="single" w:sz="4" w:space="0" w:color="000000"/>
        <w:right w:val="single" w:sz="4" w:space="0" w:color="000000"/>
      </w:pBdr>
      <w:spacing w:lineRule="auto" w:line="240" w:before="280" w:after="280"/>
      <w:ind w:left="0" w:right="0" w:hanging="0"/>
      <w:jc w:val="left"/>
    </w:pPr>
    <w:rPr>
      <w:rFonts w:eastAsia="Times New Roman" w:cs="Times New Roman"/>
      <w:szCs w:val="24"/>
      <w:lang w:eastAsia="ru-RU"/>
    </w:rPr>
  </w:style>
  <w:style w:type="paragraph" w:styleId="Xl831">
    <w:name w:val="xl831"/>
    <w:basedOn w:val="Normal"/>
    <w:qFormat/>
    <w:pPr>
      <w:pBdr>
        <w:top w:val="single" w:sz="4" w:space="0" w:color="000000"/>
        <w:left w:val="single" w:sz="4" w:space="0" w:color="000000"/>
        <w:bottom w:val="single" w:sz="4" w:space="0" w:color="000000"/>
        <w:right w:val="single" w:sz="4" w:space="0" w:color="000000"/>
      </w:pBdr>
      <w:shd w:val="clear" w:fill="D9D9D9"/>
      <w:spacing w:lineRule="auto" w:line="240" w:before="280" w:after="280"/>
      <w:ind w:left="0" w:right="0" w:hanging="0"/>
      <w:jc w:val="right"/>
      <w:textAlignment w:val="center"/>
    </w:pPr>
    <w:rPr>
      <w:rFonts w:eastAsia="Times New Roman" w:cs="Times New Roman"/>
      <w:b/>
      <w:bCs/>
      <w:szCs w:val="24"/>
      <w:lang w:eastAsia="ru-RU"/>
    </w:rPr>
  </w:style>
  <w:style w:type="paragraph" w:styleId="Xl832">
    <w:name w:val="xl832"/>
    <w:basedOn w:val="Normal"/>
    <w:qFormat/>
    <w:pPr>
      <w:pBdr>
        <w:top w:val="single" w:sz="4" w:space="0" w:color="000000"/>
        <w:left w:val="single" w:sz="4" w:space="0" w:color="000000"/>
      </w:pBdr>
      <w:spacing w:lineRule="auto" w:line="240" w:before="280" w:after="280"/>
      <w:ind w:left="0" w:right="0" w:hanging="0"/>
      <w:jc w:val="center"/>
      <w:textAlignment w:val="center"/>
    </w:pPr>
    <w:rPr>
      <w:rFonts w:eastAsia="Times New Roman" w:cs="Times New Roman"/>
      <w:b/>
      <w:bCs/>
      <w:i/>
      <w:iCs/>
      <w:szCs w:val="24"/>
      <w:lang w:eastAsia="ru-RU"/>
    </w:rPr>
  </w:style>
  <w:style w:type="paragraph" w:styleId="Xl833">
    <w:name w:val="xl833"/>
    <w:basedOn w:val="Normal"/>
    <w:qFormat/>
    <w:pPr>
      <w:pBdr>
        <w:top w:val="single" w:sz="4" w:space="0" w:color="000000"/>
      </w:pBdr>
      <w:spacing w:lineRule="auto" w:line="240" w:before="280" w:after="280"/>
      <w:ind w:left="0" w:right="0" w:hanging="0"/>
      <w:jc w:val="center"/>
      <w:textAlignment w:val="center"/>
    </w:pPr>
    <w:rPr>
      <w:rFonts w:eastAsia="Times New Roman" w:cs="Times New Roman"/>
      <w:b/>
      <w:bCs/>
      <w:i/>
      <w:iCs/>
      <w:szCs w:val="24"/>
      <w:lang w:eastAsia="ru-RU"/>
    </w:rPr>
  </w:style>
  <w:style w:type="paragraph" w:styleId="Xl834">
    <w:name w:val="xl834"/>
    <w:basedOn w:val="Normal"/>
    <w:qFormat/>
    <w:pPr>
      <w:pBdr>
        <w:top w:val="single" w:sz="4" w:space="0" w:color="000000"/>
        <w:left w:val="single" w:sz="4" w:space="0" w:color="000000"/>
        <w:bottom w:val="single" w:sz="4" w:space="0" w:color="000000"/>
      </w:pBdr>
      <w:spacing w:lineRule="auto" w:line="240" w:before="280" w:after="280"/>
      <w:ind w:left="0" w:right="0" w:hanging="0"/>
      <w:jc w:val="center"/>
      <w:textAlignment w:val="center"/>
    </w:pPr>
    <w:rPr>
      <w:rFonts w:eastAsia="Times New Roman" w:cs="Times New Roman"/>
      <w:b/>
      <w:bCs/>
      <w:i/>
      <w:iCs/>
      <w:szCs w:val="24"/>
      <w:lang w:eastAsia="ru-RU"/>
    </w:rPr>
  </w:style>
  <w:style w:type="paragraph" w:styleId="Xl835">
    <w:name w:val="xl835"/>
    <w:basedOn w:val="Normal"/>
    <w:qFormat/>
    <w:pPr>
      <w:pBdr>
        <w:top w:val="single" w:sz="4" w:space="0" w:color="000000"/>
        <w:bottom w:val="single" w:sz="4" w:space="0" w:color="000000"/>
      </w:pBdr>
      <w:spacing w:lineRule="auto" w:line="240" w:before="280" w:after="280"/>
      <w:ind w:left="0" w:right="0" w:hanging="0"/>
      <w:jc w:val="center"/>
      <w:textAlignment w:val="center"/>
    </w:pPr>
    <w:rPr>
      <w:rFonts w:eastAsia="Times New Roman" w:cs="Times New Roman"/>
      <w:b/>
      <w:bCs/>
      <w:i/>
      <w:iCs/>
      <w:szCs w:val="24"/>
      <w:lang w:eastAsia="ru-RU"/>
    </w:rPr>
  </w:style>
  <w:style w:type="paragraph" w:styleId="Xl836">
    <w:name w:val="xl836"/>
    <w:basedOn w:val="Normal"/>
    <w:qFormat/>
    <w:pPr>
      <w:pBdr>
        <w:top w:val="single" w:sz="4" w:space="0" w:color="000000"/>
        <w:bottom w:val="single" w:sz="4" w:space="0" w:color="000000"/>
        <w:right w:val="single" w:sz="4" w:space="0" w:color="000000"/>
      </w:pBdr>
      <w:spacing w:lineRule="auto" w:line="240" w:before="280" w:after="280"/>
      <w:ind w:left="0" w:right="0" w:hanging="0"/>
      <w:jc w:val="center"/>
      <w:textAlignment w:val="center"/>
    </w:pPr>
    <w:rPr>
      <w:rFonts w:eastAsia="Times New Roman" w:cs="Times New Roman"/>
      <w:b/>
      <w:bCs/>
      <w:i/>
      <w:iCs/>
      <w:szCs w:val="24"/>
      <w:lang w:eastAsia="ru-RU"/>
    </w:rPr>
  </w:style>
  <w:style w:type="paragraph" w:styleId="Xl837">
    <w:name w:val="xl837"/>
    <w:basedOn w:val="Normal"/>
    <w:qFormat/>
    <w:pPr>
      <w:pBdr>
        <w:top w:val="single" w:sz="4" w:space="0" w:color="000000"/>
        <w:left w:val="single" w:sz="4" w:space="0" w:color="000000"/>
        <w:bottom w:val="single" w:sz="4" w:space="0" w:color="000000"/>
        <w:right w:val="single" w:sz="4" w:space="0" w:color="000000"/>
      </w:pBdr>
      <w:shd w:val="clear" w:fill="D9D9D9"/>
      <w:spacing w:lineRule="auto" w:line="240" w:before="280" w:after="280"/>
      <w:ind w:left="0" w:right="0" w:hanging="0"/>
      <w:jc w:val="right"/>
      <w:textAlignment w:val="center"/>
    </w:pPr>
    <w:rPr>
      <w:rFonts w:eastAsia="Times New Roman" w:cs="Times New Roman"/>
      <w:b/>
      <w:bCs/>
      <w:szCs w:val="24"/>
      <w:lang w:eastAsia="ru-RU"/>
    </w:rPr>
  </w:style>
  <w:style w:type="paragraph" w:styleId="Xl838">
    <w:name w:val="xl838"/>
    <w:basedOn w:val="Normal"/>
    <w:qFormat/>
    <w:pPr>
      <w:pBdr>
        <w:left w:val="single" w:sz="4" w:space="0" w:color="000000"/>
        <w:bottom w:val="single" w:sz="4" w:space="0" w:color="000000"/>
      </w:pBdr>
      <w:spacing w:lineRule="auto" w:line="240" w:before="280" w:after="280"/>
      <w:ind w:left="0" w:right="0" w:hanging="0"/>
      <w:jc w:val="center"/>
      <w:textAlignment w:val="center"/>
    </w:pPr>
    <w:rPr>
      <w:rFonts w:eastAsia="Times New Roman" w:cs="Times New Roman"/>
      <w:b/>
      <w:bCs/>
      <w:szCs w:val="24"/>
      <w:lang w:eastAsia="ru-RU"/>
    </w:rPr>
  </w:style>
  <w:style w:type="paragraph" w:styleId="Xl839">
    <w:name w:val="xl839"/>
    <w:basedOn w:val="Normal"/>
    <w:qFormat/>
    <w:pPr>
      <w:pBdr>
        <w:bottom w:val="single" w:sz="4" w:space="0" w:color="000000"/>
      </w:pBdr>
      <w:spacing w:lineRule="auto" w:line="240" w:before="280" w:after="280"/>
      <w:ind w:left="0" w:right="0" w:hanging="0"/>
      <w:jc w:val="center"/>
      <w:textAlignment w:val="center"/>
    </w:pPr>
    <w:rPr>
      <w:rFonts w:eastAsia="Times New Roman" w:cs="Times New Roman"/>
      <w:b/>
      <w:bCs/>
      <w:szCs w:val="24"/>
      <w:lang w:eastAsia="ru-RU"/>
    </w:rPr>
  </w:style>
  <w:style w:type="paragraph" w:styleId="318">
    <w:name w:val="Абзац списка3"/>
    <w:basedOn w:val="Normal"/>
    <w:qFormat/>
    <w:pPr>
      <w:widowControl w:val="false"/>
      <w:spacing w:lineRule="auto" w:line="240"/>
      <w:ind w:left="720" w:right="0" w:hanging="0"/>
      <w:jc w:val="left"/>
    </w:pPr>
    <w:rPr>
      <w:rFonts w:ascii="Cambria" w:hAnsi="Cambria" w:eastAsia="Times New Roman" w:cs="Times New Roman"/>
      <w:szCs w:val="24"/>
      <w:lang w:eastAsia="ru-RU"/>
    </w:rPr>
  </w:style>
  <w:style w:type="paragraph" w:styleId="319">
    <w:name w:val="Заголовок оглавления3"/>
    <w:basedOn w:val="Heading1"/>
    <w:next w:val="Normal"/>
    <w:qFormat/>
    <w:pPr>
      <w:pageBreakBefore w:val="false"/>
      <w:spacing w:lineRule="auto" w:line="276" w:before="480" w:after="0"/>
      <w:outlineLvl w:val="9"/>
    </w:pPr>
    <w:rPr>
      <w:rFonts w:ascii="Cambria" w:hAnsi="Cambria" w:eastAsia="Times New Roman" w:cs="Cambria"/>
      <w:color w:val="365F91"/>
      <w:sz w:val="28"/>
      <w:lang w:eastAsia="ru-RU"/>
    </w:rPr>
  </w:style>
  <w:style w:type="paragraph" w:styleId="232">
    <w:name w:val="Список2"/>
    <w:basedOn w:val="Normal"/>
    <w:qFormat/>
    <w:pPr>
      <w:spacing w:lineRule="auto" w:line="240" w:before="0" w:after="120"/>
      <w:ind w:left="2291" w:right="0" w:hanging="360"/>
    </w:pPr>
    <w:rPr>
      <w:rFonts w:eastAsia="Times New Roman" w:cs="Times New Roman"/>
      <w:spacing w:val="-2"/>
      <w:szCs w:val="20"/>
      <w:lang w:eastAsia="ru-RU"/>
    </w:rPr>
  </w:style>
  <w:style w:type="paragraph" w:styleId="320">
    <w:name w:val="Основной текст с отступом3"/>
    <w:basedOn w:val="Normal"/>
    <w:qFormat/>
    <w:pPr>
      <w:spacing w:lineRule="atLeast" w:line="240"/>
      <w:ind w:left="0" w:right="0" w:firstLine="397"/>
    </w:pPr>
    <w:rPr>
      <w:rFonts w:ascii="Baltica" w:hAnsi="Baltica" w:eastAsia="Times New Roman" w:cs="Times New Roman"/>
      <w:szCs w:val="24"/>
      <w:lang w:val="en-US" w:eastAsia="ru-RU"/>
    </w:rPr>
  </w:style>
  <w:style w:type="paragraph" w:styleId="341">
    <w:name w:val="Основной текст с отступом 34"/>
    <w:basedOn w:val="Normal"/>
    <w:qFormat/>
    <w:pPr>
      <w:overflowPunct w:val="false"/>
      <w:spacing w:lineRule="auto" w:line="240"/>
      <w:ind w:left="0" w:right="0" w:firstLine="397"/>
    </w:pPr>
    <w:rPr>
      <w:rFonts w:eastAsia="Times New Roman" w:cs="Times New Roman"/>
      <w:szCs w:val="20"/>
      <w:lang w:eastAsia="ru-RU"/>
    </w:rPr>
  </w:style>
  <w:style w:type="paragraph" w:styleId="233">
    <w:name w:val="Текст2"/>
    <w:basedOn w:val="Normal"/>
    <w:qFormat/>
    <w:pPr>
      <w:spacing w:lineRule="auto" w:line="240"/>
      <w:ind w:left="0" w:right="0" w:hanging="0"/>
      <w:jc w:val="left"/>
    </w:pPr>
    <w:rPr>
      <w:rFonts w:ascii="Courier New" w:hAnsi="Courier New" w:eastAsia="Times New Roman" w:cs="Times New Roman"/>
      <w:sz w:val="20"/>
      <w:szCs w:val="20"/>
      <w:lang w:eastAsia="ru-RU"/>
    </w:rPr>
  </w:style>
  <w:style w:type="paragraph" w:styleId="1119">
    <w:name w:val="Знак Знак Знак1 Знак Знак Знак Знак Знак Знак Знак1"/>
    <w:basedOn w:val="Normal"/>
    <w:qFormat/>
    <w:pPr>
      <w:spacing w:lineRule="exact" w:line="240" w:before="0" w:after="160"/>
      <w:ind w:left="0" w:right="0" w:firstLine="709"/>
    </w:pPr>
    <w:rPr>
      <w:rFonts w:eastAsia="Times New Roman" w:cs="Verdana"/>
      <w:szCs w:val="20"/>
      <w:lang w:val="en-US"/>
    </w:rPr>
  </w:style>
  <w:style w:type="paragraph" w:styleId="323">
    <w:name w:val="Знак3"/>
    <w:basedOn w:val="Normal"/>
    <w:qFormat/>
    <w:pPr>
      <w:spacing w:lineRule="exact" w:line="240" w:before="0" w:after="160"/>
      <w:ind w:left="0" w:right="0" w:firstLine="709"/>
    </w:pPr>
    <w:rPr>
      <w:rFonts w:ascii="Verdana" w:hAnsi="Verdana" w:eastAsia="Times New Roman" w:cs="Verdana"/>
      <w:szCs w:val="20"/>
      <w:lang w:val="en-US"/>
    </w:rPr>
  </w:style>
  <w:style w:type="paragraph" w:styleId="149">
    <w:name w:val="Знак Знак Знак Знак Знак Знак Знак1"/>
    <w:basedOn w:val="Normal"/>
    <w:qFormat/>
    <w:pPr>
      <w:spacing w:lineRule="exact" w:line="240" w:before="0" w:after="160"/>
      <w:ind w:left="0" w:right="0" w:firstLine="709"/>
    </w:pPr>
    <w:rPr>
      <w:rFonts w:ascii="Verdana" w:hAnsi="Verdana" w:eastAsia="Times New Roman" w:cs="Times New Roman"/>
      <w:szCs w:val="20"/>
      <w:lang w:val="en-US"/>
    </w:rPr>
  </w:style>
  <w:style w:type="paragraph" w:styleId="150">
    <w:name w:val="Знак Знак Знак Знак Знак Знак Знак Знак Знак Знак Знак Знак Знак Знак Знак Знак Знак Знак Знак1"/>
    <w:basedOn w:val="Normal"/>
    <w:qFormat/>
    <w:pPr>
      <w:spacing w:lineRule="exact" w:line="240" w:before="0" w:after="160"/>
      <w:ind w:left="0" w:right="0" w:firstLine="709"/>
    </w:pPr>
    <w:rPr>
      <w:rFonts w:ascii="Verdana" w:hAnsi="Verdana" w:eastAsia="Times New Roman" w:cs="Times New Roman"/>
      <w:szCs w:val="20"/>
      <w:lang w:val="en-US"/>
    </w:rPr>
  </w:style>
  <w:style w:type="paragraph" w:styleId="153">
    <w:name w:val="Знак Знак Знак Знак Знак Знак Знак Знак Знак Знак Знак Знак Знак Знак Знак Знак1"/>
    <w:basedOn w:val="Normal"/>
    <w:qFormat/>
    <w:pPr>
      <w:spacing w:lineRule="exact" w:line="240" w:before="0" w:after="160"/>
      <w:ind w:left="0" w:right="0" w:firstLine="709"/>
    </w:pPr>
    <w:rPr>
      <w:rFonts w:ascii="Verdana" w:hAnsi="Verdana" w:eastAsia="Times New Roman" w:cs="Times New Roman"/>
      <w:szCs w:val="20"/>
      <w:lang w:val="en-US"/>
    </w:rPr>
  </w:style>
  <w:style w:type="paragraph" w:styleId="154">
    <w:name w:val="Знак Знак Знак Знак Знак Знак Знак Знак Знак Знак1"/>
    <w:basedOn w:val="Normal"/>
    <w:qFormat/>
    <w:pPr>
      <w:spacing w:lineRule="exact" w:line="240" w:before="0" w:after="160"/>
      <w:ind w:left="0" w:right="0" w:firstLine="709"/>
    </w:pPr>
    <w:rPr>
      <w:rFonts w:ascii="Verdana" w:hAnsi="Verdana" w:eastAsia="Times New Roman" w:cs="Times New Roman"/>
      <w:szCs w:val="20"/>
      <w:lang w:val="en-US"/>
    </w:rPr>
  </w:style>
  <w:style w:type="paragraph" w:styleId="324">
    <w:name w:val="Знак Знак Знак3"/>
    <w:basedOn w:val="Normal"/>
    <w:qFormat/>
    <w:pPr>
      <w:spacing w:lineRule="exact" w:line="240" w:before="0" w:after="160"/>
      <w:ind w:left="0" w:right="0" w:firstLine="709"/>
    </w:pPr>
    <w:rPr>
      <w:rFonts w:ascii="Verdana" w:hAnsi="Verdana" w:eastAsia="Times New Roman" w:cs="Verdana"/>
      <w:szCs w:val="20"/>
      <w:lang w:val="en-US"/>
    </w:rPr>
  </w:style>
  <w:style w:type="paragraph" w:styleId="NoSpacing">
    <w:name w:val="No Spacing"/>
    <w:link w:val="Style13"/>
    <w:qFormat/>
    <w:pPr>
      <w:widowControl/>
      <w:suppressAutoHyphens w:val="true"/>
      <w:overflowPunct w:val="true"/>
      <w:bidi w:val="0"/>
      <w:spacing w:lineRule="auto" w:line="240" w:before="0" w:after="0"/>
      <w:jc w:val="left"/>
    </w:pPr>
    <w:rPr>
      <w:rFonts w:ascii="Calibri" w:hAnsi="Calibri" w:eastAsia="Calibri" w:cs="Arial"/>
      <w:color w:val="auto"/>
      <w:kern w:val="0"/>
      <w:sz w:val="22"/>
      <w:szCs w:val="22"/>
      <w:lang w:val="ru-RU" w:eastAsia="en-US" w:bidi="ar-SA"/>
    </w:rPr>
  </w:style>
  <w:style w:type="paragraph" w:styleId="Bodytext22">
    <w:name w:val="Body text (2)"/>
    <w:basedOn w:val="Normal"/>
    <w:link w:val="Bodytext2"/>
    <w:qFormat/>
    <w:pPr>
      <w:widowControl w:val="false"/>
      <w:shd w:val="clear" w:fill="FFFFFF"/>
      <w:spacing w:lineRule="auto" w:line="240"/>
      <w:ind w:left="0" w:right="0" w:hanging="0"/>
      <w:jc w:val="left"/>
    </w:pPr>
    <w:rPr>
      <w:rFonts w:eastAsia="Times New Roman" w:cs="Times New Roman"/>
      <w:sz w:val="20"/>
      <w:szCs w:val="20"/>
    </w:rPr>
  </w:style>
  <w:style w:type="paragraph" w:styleId="Style176">
    <w:name w:val="ОСНОВНОЙ"/>
    <w:basedOn w:val="Normal"/>
    <w:link w:val="Style57"/>
    <w:qFormat/>
    <w:pPr>
      <w:spacing w:lineRule="auto" w:line="276"/>
      <w:ind w:left="0" w:right="0" w:firstLine="709"/>
    </w:pPr>
    <w:rPr>
      <w:rFonts w:ascii="Times New Roman" w:hAnsi="Times New Roman" w:eastAsia="Calibri" w:cs="Times New Roman"/>
      <w:bCs/>
      <w:sz w:val="24"/>
      <w:szCs w:val="24"/>
    </w:rPr>
  </w:style>
  <w:style w:type="paragraph" w:styleId="234">
    <w:name w:val="ЗАГ2"/>
    <w:basedOn w:val="ListParagraph"/>
    <w:link w:val="26"/>
    <w:qFormat/>
    <w:pPr>
      <w:numPr>
        <w:ilvl w:val="0"/>
        <w:numId w:val="0"/>
      </w:numPr>
      <w:spacing w:lineRule="auto" w:line="276" w:before="240" w:after="240"/>
      <w:ind w:left="0" w:right="0" w:firstLine="709"/>
      <w:contextualSpacing w:val="false"/>
      <w:outlineLvl w:val="1"/>
    </w:pPr>
    <w:rPr>
      <w:rFonts w:ascii="Times New Roman" w:hAnsi="Times New Roman"/>
      <w:b/>
      <w:sz w:val="24"/>
    </w:rPr>
  </w:style>
  <w:style w:type="paragraph" w:styleId="325">
    <w:name w:val="ЗАГ3"/>
    <w:basedOn w:val="234"/>
    <w:link w:val="35"/>
    <w:qFormat/>
    <w:pPr>
      <w:numPr>
        <w:ilvl w:val="0"/>
        <w:numId w:val="0"/>
      </w:numPr>
      <w:spacing w:before="120" w:after="120"/>
      <w:ind w:left="0" w:right="0" w:firstLine="709"/>
      <w:outlineLvl w:val="2"/>
    </w:pPr>
    <w:rPr/>
  </w:style>
  <w:style w:type="paragraph" w:styleId="Revision">
    <w:name w:val="Revision"/>
    <w:qFormat/>
    <w:pPr>
      <w:widowControl/>
      <w:suppressAutoHyphens w:val="true"/>
      <w:overflowPunct w:val="true"/>
      <w:bidi w:val="0"/>
      <w:spacing w:lineRule="auto" w:line="240" w:before="0" w:after="0"/>
      <w:jc w:val="left"/>
    </w:pPr>
    <w:rPr>
      <w:rFonts w:ascii="Calibri" w:hAnsi="Calibri" w:eastAsia="Calibri" w:cs="Arial"/>
      <w:color w:val="auto"/>
      <w:kern w:val="0"/>
      <w:sz w:val="22"/>
      <w:szCs w:val="22"/>
      <w:lang w:val="ru-RU" w:eastAsia="en-US" w:bidi="ar-SA"/>
    </w:rPr>
  </w:style>
  <w:style w:type="paragraph" w:styleId="Style177">
    <w:name w:val="Содержимое врезки"/>
    <w:basedOn w:val="Normal"/>
    <w:qFormat/>
    <w:pPr/>
    <w:rPr/>
  </w:style>
  <w:style w:type="numbering" w:styleId="155">
    <w:name w:val="Нет списка1"/>
    <w:qFormat/>
  </w:style>
  <w:style w:type="numbering" w:styleId="235">
    <w:name w:val="Нет списка2"/>
    <w:qFormat/>
  </w:style>
  <w:style w:type="numbering" w:styleId="1120">
    <w:name w:val="Нет списка11"/>
    <w:qFormat/>
  </w:style>
  <w:style w:type="numbering" w:styleId="2113">
    <w:name w:val="Нет списка21"/>
    <w:qFormat/>
  </w:style>
  <w:style w:type="numbering" w:styleId="326">
    <w:name w:val="Нет списка3"/>
    <w:qFormat/>
  </w:style>
  <w:style w:type="numbering" w:styleId="410">
    <w:name w:val="Нет списка4"/>
    <w:qFormat/>
  </w:style>
  <w:style w:type="numbering" w:styleId="55">
    <w:name w:val="Нет списка5"/>
    <w:qFormat/>
  </w:style>
  <w:style w:type="numbering" w:styleId="62">
    <w:name w:val="Нет списка6"/>
    <w:qFormat/>
  </w:style>
  <w:style w:type="numbering" w:styleId="72">
    <w:name w:val="Нет списка7"/>
    <w:qFormat/>
  </w:style>
  <w:style w:type="numbering" w:styleId="OutlineList2">
    <w:name w:val="Outline List 2"/>
    <w:qFormat/>
  </w:style>
  <w:style w:type="numbering" w:styleId="OutlineList1">
    <w:name w:val="Outline List 1"/>
    <w:qFormat/>
  </w:style>
  <w:style w:type="numbering" w:styleId="OutlineList3">
    <w:name w:val="Outline List 3"/>
    <w:qFormat/>
  </w:style>
  <w:style w:type="numbering" w:styleId="1212">
    <w:name w:val="Нет списка12"/>
    <w:qFormat/>
  </w:style>
  <w:style w:type="numbering" w:styleId="3110">
    <w:name w:val="Нет списка31"/>
    <w:qFormat/>
  </w:style>
  <w:style w:type="numbering" w:styleId="411">
    <w:name w:val="Нет списка41"/>
    <w:qFormat/>
  </w:style>
  <w:style w:type="numbering" w:styleId="11110">
    <w:name w:val="Нет списка111"/>
    <w:qFormat/>
  </w:style>
  <w:style w:type="numbering" w:styleId="511">
    <w:name w:val="Нет списка51"/>
    <w:qFormat/>
  </w:style>
  <w:style w:type="numbering" w:styleId="611">
    <w:name w:val="Нет списка61"/>
    <w:qFormat/>
  </w:style>
  <w:style w:type="numbering" w:styleId="84">
    <w:name w:val="Нет списка8"/>
    <w:qFormat/>
  </w:style>
  <w:style w:type="numbering" w:styleId="93">
    <w:name w:val="Нет списка9"/>
    <w:qFormat/>
  </w:style>
  <w:style w:type="numbering" w:styleId="1111111">
    <w:name w:val="1 / 1.1 / 1.1.11"/>
    <w:qFormat/>
  </w:style>
  <w:style w:type="numbering" w:styleId="1ai1">
    <w:name w:val="1 / a / i1"/>
    <w:qFormat/>
  </w:style>
  <w:style w:type="numbering" w:styleId="156">
    <w:name w:val="Статья / Раздел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header" Target="head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footer" Target="footer4.xml"/><Relationship Id="rId9" Type="http://schemas.openxmlformats.org/officeDocument/2006/relationships/footer" Target="footer5.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oleObject" Target="embeddings/oleObject1.bin"/><Relationship Id="rId23" Type="http://schemas.openxmlformats.org/officeDocument/2006/relationships/image" Target="media/image13.wmf"/><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jpeg"/><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image" Target="media/image22.png"/><Relationship Id="rId33" Type="http://schemas.openxmlformats.org/officeDocument/2006/relationships/image" Target="media/image23.jpe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jpeg"/><Relationship Id="rId39" Type="http://schemas.openxmlformats.org/officeDocument/2006/relationships/image" Target="media/image29.jpeg"/><Relationship Id="rId40" Type="http://schemas.openxmlformats.org/officeDocument/2006/relationships/image" Target="media/image30.jpeg"/><Relationship Id="rId41" Type="http://schemas.openxmlformats.org/officeDocument/2006/relationships/header" Target="header4.xml"/><Relationship Id="rId42" Type="http://schemas.openxmlformats.org/officeDocument/2006/relationships/header" Target="header5.xml"/><Relationship Id="rId43" Type="http://schemas.openxmlformats.org/officeDocument/2006/relationships/footer" Target="footer6.xml"/><Relationship Id="rId44" Type="http://schemas.openxmlformats.org/officeDocument/2006/relationships/footer" Target="footer7.xml"/><Relationship Id="rId45" Type="http://schemas.openxmlformats.org/officeDocument/2006/relationships/image" Target="media/image31.jpeg"/><Relationship Id="rId46" Type="http://schemas.openxmlformats.org/officeDocument/2006/relationships/image" Target="media/image32.jpeg"/><Relationship Id="rId47" Type="http://schemas.openxmlformats.org/officeDocument/2006/relationships/image" Target="media/image33.jpeg"/><Relationship Id="rId48" Type="http://schemas.openxmlformats.org/officeDocument/2006/relationships/image" Target="media/image34.png"/><Relationship Id="rId49" Type="http://schemas.openxmlformats.org/officeDocument/2006/relationships/image" Target="media/image35.jpeg"/><Relationship Id="rId50" Type="http://schemas.openxmlformats.org/officeDocument/2006/relationships/header" Target="header6.xml"/><Relationship Id="rId51" Type="http://schemas.openxmlformats.org/officeDocument/2006/relationships/header" Target="header7.xml"/><Relationship Id="rId52" Type="http://schemas.openxmlformats.org/officeDocument/2006/relationships/footer" Target="footer8.xml"/><Relationship Id="rId53" Type="http://schemas.openxmlformats.org/officeDocument/2006/relationships/footer" Target="footer9.xml"/><Relationship Id="rId54" Type="http://schemas.openxmlformats.org/officeDocument/2006/relationships/image" Target="media/image36.jpeg"/><Relationship Id="rId55" Type="http://schemas.openxmlformats.org/officeDocument/2006/relationships/image" Target="media/image37.jpeg"/><Relationship Id="rId56" Type="http://schemas.openxmlformats.org/officeDocument/2006/relationships/image" Target="media/image38.jpeg"/><Relationship Id="rId57" Type="http://schemas.openxmlformats.org/officeDocument/2006/relationships/image" Target="media/image39.png"/><Relationship Id="rId58" Type="http://schemas.openxmlformats.org/officeDocument/2006/relationships/image" Target="media/image40.png"/><Relationship Id="rId59" Type="http://schemas.openxmlformats.org/officeDocument/2006/relationships/header" Target="header8.xml"/><Relationship Id="rId60" Type="http://schemas.openxmlformats.org/officeDocument/2006/relationships/header" Target="header9.xml"/><Relationship Id="rId61" Type="http://schemas.openxmlformats.org/officeDocument/2006/relationships/footer" Target="footer10.xml"/><Relationship Id="rId62" Type="http://schemas.openxmlformats.org/officeDocument/2006/relationships/footer" Target="footer11.xml"/><Relationship Id="rId63" Type="http://schemas.openxmlformats.org/officeDocument/2006/relationships/header" Target="header10.xml"/><Relationship Id="rId64" Type="http://schemas.openxmlformats.org/officeDocument/2006/relationships/header" Target="header11.xml"/><Relationship Id="rId65" Type="http://schemas.openxmlformats.org/officeDocument/2006/relationships/footer" Target="footer12.xml"/><Relationship Id="rId66" Type="http://schemas.openxmlformats.org/officeDocument/2006/relationships/footer" Target="footer13.xml"/><Relationship Id="rId67" Type="http://schemas.openxmlformats.org/officeDocument/2006/relationships/header" Target="header12.xml"/><Relationship Id="rId68" Type="http://schemas.openxmlformats.org/officeDocument/2006/relationships/header" Target="header13.xml"/><Relationship Id="rId69" Type="http://schemas.openxmlformats.org/officeDocument/2006/relationships/footer" Target="footer14.xml"/><Relationship Id="rId70" Type="http://schemas.openxmlformats.org/officeDocument/2006/relationships/footer" Target="footer15.xml"/><Relationship Id="rId71" Type="http://schemas.openxmlformats.org/officeDocument/2006/relationships/image" Target="media/image41.jpeg"/><Relationship Id="rId72" Type="http://schemas.openxmlformats.org/officeDocument/2006/relationships/image" Target="media/image42.jpeg"/><Relationship Id="rId73" Type="http://schemas.openxmlformats.org/officeDocument/2006/relationships/image" Target="media/image43.jpeg"/><Relationship Id="rId74" Type="http://schemas.openxmlformats.org/officeDocument/2006/relationships/image" Target="media/image44.png"/><Relationship Id="rId75" Type="http://schemas.openxmlformats.org/officeDocument/2006/relationships/image" Target="media/image45.jpeg"/><Relationship Id="rId76" Type="http://schemas.openxmlformats.org/officeDocument/2006/relationships/image" Target="media/image46.jpeg"/><Relationship Id="rId77" Type="http://schemas.openxmlformats.org/officeDocument/2006/relationships/image" Target="media/image47.wmf"/><Relationship Id="rId78" Type="http://schemas.openxmlformats.org/officeDocument/2006/relationships/image" Target="media/image48.wmf"/><Relationship Id="rId79" Type="http://schemas.openxmlformats.org/officeDocument/2006/relationships/header" Target="header14.xml"/><Relationship Id="rId80" Type="http://schemas.openxmlformats.org/officeDocument/2006/relationships/header" Target="header15.xml"/><Relationship Id="rId81" Type="http://schemas.openxmlformats.org/officeDocument/2006/relationships/footer" Target="footer16.xml"/><Relationship Id="rId82" Type="http://schemas.openxmlformats.org/officeDocument/2006/relationships/footer" Target="footer17.xml"/><Relationship Id="rId83" Type="http://schemas.openxmlformats.org/officeDocument/2006/relationships/header" Target="header16.xml"/><Relationship Id="rId84" Type="http://schemas.openxmlformats.org/officeDocument/2006/relationships/header" Target="header17.xml"/><Relationship Id="rId85" Type="http://schemas.openxmlformats.org/officeDocument/2006/relationships/footer" Target="footer18.xml"/><Relationship Id="rId86" Type="http://schemas.openxmlformats.org/officeDocument/2006/relationships/footer" Target="footer19.xml"/><Relationship Id="rId87" Type="http://schemas.openxmlformats.org/officeDocument/2006/relationships/header" Target="header18.xml"/><Relationship Id="rId88" Type="http://schemas.openxmlformats.org/officeDocument/2006/relationships/header" Target="header19.xml"/><Relationship Id="rId89" Type="http://schemas.openxmlformats.org/officeDocument/2006/relationships/footer" Target="footer20.xml"/><Relationship Id="rId90" Type="http://schemas.openxmlformats.org/officeDocument/2006/relationships/footer" Target="footer21.xml"/><Relationship Id="rId91" Type="http://schemas.openxmlformats.org/officeDocument/2006/relationships/header" Target="header20.xml"/><Relationship Id="rId92" Type="http://schemas.openxmlformats.org/officeDocument/2006/relationships/header" Target="header21.xml"/><Relationship Id="rId93" Type="http://schemas.openxmlformats.org/officeDocument/2006/relationships/footer" Target="footer22.xml"/><Relationship Id="rId94" Type="http://schemas.openxmlformats.org/officeDocument/2006/relationships/footer" Target="footer23.xml"/><Relationship Id="rId95" Type="http://schemas.openxmlformats.org/officeDocument/2006/relationships/header" Target="header22.xml"/><Relationship Id="rId96" Type="http://schemas.openxmlformats.org/officeDocument/2006/relationships/header" Target="header23.xml"/><Relationship Id="rId97" Type="http://schemas.openxmlformats.org/officeDocument/2006/relationships/footer" Target="footer24.xml"/><Relationship Id="rId98" Type="http://schemas.openxmlformats.org/officeDocument/2006/relationships/footer" Target="footer25.xml"/><Relationship Id="rId99" Type="http://schemas.openxmlformats.org/officeDocument/2006/relationships/header" Target="header24.xml"/><Relationship Id="rId100" Type="http://schemas.openxmlformats.org/officeDocument/2006/relationships/header" Target="header25.xml"/><Relationship Id="rId101" Type="http://schemas.openxmlformats.org/officeDocument/2006/relationships/footer" Target="footer26.xml"/><Relationship Id="rId102" Type="http://schemas.openxmlformats.org/officeDocument/2006/relationships/footer" Target="footer27.xml"/><Relationship Id="rId103" Type="http://schemas.openxmlformats.org/officeDocument/2006/relationships/header" Target="header26.xml"/><Relationship Id="rId104" Type="http://schemas.openxmlformats.org/officeDocument/2006/relationships/header" Target="header27.xml"/><Relationship Id="rId105" Type="http://schemas.openxmlformats.org/officeDocument/2006/relationships/footer" Target="footer28.xml"/><Relationship Id="rId106" Type="http://schemas.openxmlformats.org/officeDocument/2006/relationships/footer" Target="footer29.xml"/><Relationship Id="rId107" Type="http://schemas.openxmlformats.org/officeDocument/2006/relationships/header" Target="header28.xml"/><Relationship Id="rId108" Type="http://schemas.openxmlformats.org/officeDocument/2006/relationships/header" Target="header29.xml"/><Relationship Id="rId109" Type="http://schemas.openxmlformats.org/officeDocument/2006/relationships/footer" Target="footer30.xml"/><Relationship Id="rId110" Type="http://schemas.openxmlformats.org/officeDocument/2006/relationships/footer" Target="footer31.xml"/><Relationship Id="rId111" Type="http://schemas.openxmlformats.org/officeDocument/2006/relationships/header" Target="header30.xml"/><Relationship Id="rId112" Type="http://schemas.openxmlformats.org/officeDocument/2006/relationships/header" Target="header31.xml"/><Relationship Id="rId113" Type="http://schemas.openxmlformats.org/officeDocument/2006/relationships/footer" Target="footer32.xml"/><Relationship Id="rId114" Type="http://schemas.openxmlformats.org/officeDocument/2006/relationships/footer" Target="footer33.xml"/><Relationship Id="rId115" Type="http://schemas.openxmlformats.org/officeDocument/2006/relationships/header" Target="header32.xml"/><Relationship Id="rId116" Type="http://schemas.openxmlformats.org/officeDocument/2006/relationships/header" Target="header33.xml"/><Relationship Id="rId117" Type="http://schemas.openxmlformats.org/officeDocument/2006/relationships/footer" Target="footer34.xml"/><Relationship Id="rId118" Type="http://schemas.openxmlformats.org/officeDocument/2006/relationships/footer" Target="footer35.xml"/><Relationship Id="rId119" Type="http://schemas.openxmlformats.org/officeDocument/2006/relationships/header" Target="header34.xml"/><Relationship Id="rId120" Type="http://schemas.openxmlformats.org/officeDocument/2006/relationships/header" Target="header35.xml"/><Relationship Id="rId121" Type="http://schemas.openxmlformats.org/officeDocument/2006/relationships/footer" Target="footer36.xml"/><Relationship Id="rId122" Type="http://schemas.openxmlformats.org/officeDocument/2006/relationships/footer" Target="footer37.xml"/><Relationship Id="rId123" Type="http://schemas.openxmlformats.org/officeDocument/2006/relationships/header" Target="header36.xml"/><Relationship Id="rId124" Type="http://schemas.openxmlformats.org/officeDocument/2006/relationships/header" Target="header37.xml"/><Relationship Id="rId125" Type="http://schemas.openxmlformats.org/officeDocument/2006/relationships/footer" Target="footer38.xml"/><Relationship Id="rId126" Type="http://schemas.openxmlformats.org/officeDocument/2006/relationships/footer" Target="footer39.xml"/><Relationship Id="rId127" Type="http://schemas.openxmlformats.org/officeDocument/2006/relationships/header" Target="header38.xml"/><Relationship Id="rId128" Type="http://schemas.openxmlformats.org/officeDocument/2006/relationships/header" Target="header39.xml"/><Relationship Id="rId129" Type="http://schemas.openxmlformats.org/officeDocument/2006/relationships/footer" Target="footer40.xml"/><Relationship Id="rId130" Type="http://schemas.openxmlformats.org/officeDocument/2006/relationships/footer" Target="footer41.xml"/><Relationship Id="rId131" Type="http://schemas.openxmlformats.org/officeDocument/2006/relationships/header" Target="header40.xml"/><Relationship Id="rId132" Type="http://schemas.openxmlformats.org/officeDocument/2006/relationships/header" Target="header41.xml"/><Relationship Id="rId133" Type="http://schemas.openxmlformats.org/officeDocument/2006/relationships/footer" Target="footer42.xml"/><Relationship Id="rId134" Type="http://schemas.openxmlformats.org/officeDocument/2006/relationships/footer" Target="footer43.xml"/><Relationship Id="rId135" Type="http://schemas.openxmlformats.org/officeDocument/2006/relationships/numbering" Target="numbering.xml"/><Relationship Id="rId136" Type="http://schemas.openxmlformats.org/officeDocument/2006/relationships/fontTable" Target="fontTable.xml"/><Relationship Id="rId13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1813</TotalTime>
  <Application>AlterOffice/3.4.0.9$Linux_X86_64 LibreOffice_project/b8daf9e823b1a5463a2f48435ddc2e8696e7d4fc</Application>
  <AppVersion>15.0000</AppVersion>
  <Pages>128</Pages>
  <Words>20767</Words>
  <Characters>139313</Characters>
  <CharactersWithSpaces>156442</CharactersWithSpaces>
  <Paragraphs>3439</Paragraphs>
  <Company>Hydroproject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2025-11-19T05:46:00Z</dcterms:created>
  <dc:creator>Харьков Алексей Юрьевич</dc:creator>
  <dc:description/>
  <dc:language>ru-RU</dc:language>
  <cp:lastModifiedBy>mikhailetckl@corp.gidroogk.com</cp:lastModifiedBy>
  <cp:lastPrinted>2026-06-25T11:21:42Z</cp:lastPrinted>
  <dcterms:modified xsi:type="dcterms:W3CDTF">2026-06-25T16:00:05Z</dcterms:modified>
  <cp:revision>93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0x010100D0ABEE55962F3F4C9A42811464111621</vt:lpwstr>
  </property>
</Properties>
</file>