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2025г.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_________,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4"/>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5"/>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sz w:val="24"/>
          <w:szCs w:val="24"/>
        </w:rPr>
        <w:t xml:space="preserve">ЗАПАСНЫЕ ЧАСТИ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6"/>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7"/>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8"/>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течение 10 (десяти) календарных дней с даты предоставления Покупателем заявки по форме Приложения №2 к Договору в адрес Поставщика.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30"/>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3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40"/>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Предельный размер неотработанных авансовых платежей по одной или нескольким заявкам не должен превышать 4 950 000 (Четыре миллиона девятьсот пятьдесят тысяч) рублей 00 копеек без учета НДС (при этом НДС исчисляется дополнительно по ставке, установленной статьей 164 Налогового кодекса РФ на дату выплаты авансового платежа).  </w:t>
      </w:r>
      <w:bookmarkEnd w:id="2"/>
    </w:p>
    <w:p>
      <w:pPr>
        <w:pStyle w:val="Normal"/>
        <w:widowControl/>
        <w:numPr>
          <w:ilvl w:val="2"/>
          <w:numId w:val="141"/>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2"/>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p>
    <w:p>
      <w:pPr>
        <w:pStyle w:val="Normal"/>
        <w:widowControl/>
        <w:numPr>
          <w:ilvl w:val="1"/>
          <w:numId w:val="146"/>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5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3"/>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4"/>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ListParagraph"/>
        <w:numPr>
          <w:ilvl w:val="2"/>
          <w:numId w:val="155"/>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156"/>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60"/>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3"/>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4"/>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5"/>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6"/>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7"/>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8"/>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9"/>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70"/>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71"/>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72"/>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3"/>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BodyText"/>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1"/>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1"/>
        </w:numPr>
        <w:tabs>
          <w:tab w:val="clear" w:pos="708"/>
          <w:tab w:val="left" w:pos="1134" w:leader="none"/>
        </w:tabs>
        <w:spacing w:before="0" w:after="0"/>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8"/>
          <w:tab w:val="left" w:pos="1276" w:leader="none"/>
        </w:tabs>
        <w:ind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1"/>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1"/>
        </w:numPr>
        <w:tabs>
          <w:tab w:val="clear" w:pos="708"/>
          <w:tab w:val="left" w:pos="1276" w:leader="none"/>
        </w:tabs>
        <w:spacing w:before="0" w:after="0"/>
        <w:ind w:left="0" w:firstLine="709"/>
        <w:contextualSpacing/>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4"/>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8"/>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80"/>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7"/>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9"/>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90"/>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91"/>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4"/>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5"/>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6"/>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7"/>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8"/>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202"/>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3"/>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5"/>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8"/>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9"/>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10"/>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1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7"/>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2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2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3"/>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6"/>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8"/>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30"/>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31"/>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32"/>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 xml:space="preserve">Договор вступает в силу с даты его подписания Сторонами и действует </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4"/>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5"/>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pStyle w:val="Normal"/>
        <w:rPr/>
      </w:pPr>
      <w:r>
        <w:rPr/>
      </w:r>
    </w:p>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jc w:val="right"/>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2"/>
        <w:gridCol w:w="5814"/>
      </w:tblGrid>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0"/>
      <w:headerReference w:type="first" r:id="rId11"/>
      <w:footerReference w:type="default" r:id="rId12"/>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
    <w:lvlOverride w:ilvl="0">
      <w:startOverride w:val="1"/>
    </w:lvlOverride>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22"/>
    <w:lvlOverride w:ilvl="0">
      <w:startOverride w:val="2"/>
    </w:lvlOverride>
    <w:lvlOverride w:ilvl="1">
      <w:startOverride w:val="3"/>
    </w:lvlOverride>
    <w:lvlOverride w:ilvl="2">
      <w:startOverride w:val="2"/>
    </w:lvlOverride>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2"/>
  </w:num>
  <w:num w:numId="181">
    <w:abstractNumId w:val="12"/>
  </w:num>
  <w:num w:numId="182">
    <w:abstractNumId w:val="12"/>
  </w:num>
  <w:num w:numId="183">
    <w:abstractNumId w:val="12"/>
  </w:num>
  <w:num w:numId="184">
    <w:abstractNumId w:val="12"/>
  </w:num>
  <w:num w:numId="185">
    <w:abstractNumId w:val="12"/>
  </w:num>
  <w:num w:numId="186">
    <w:abstractNumId w:val="12"/>
  </w:num>
  <w:num w:numId="187">
    <w:abstractNumId w:val="12"/>
  </w:num>
  <w:num w:numId="188">
    <w:abstractNumId w:val="12"/>
  </w:num>
  <w:num w:numId="189">
    <w:abstractNumId w:val="12"/>
  </w:num>
  <w:num w:numId="190">
    <w:abstractNumId w:val="12"/>
  </w:num>
  <w:num w:numId="191">
    <w:abstractNumId w:val="12"/>
  </w:num>
  <w:num w:numId="192">
    <w:abstractNumId w:val="12"/>
  </w:num>
  <w:num w:numId="193">
    <w:abstractNumId w:val="12"/>
  </w:num>
  <w:num w:numId="194">
    <w:abstractNumId w:val="12"/>
  </w:num>
  <w:num w:numId="195">
    <w:abstractNumId w:val="12"/>
  </w:num>
  <w:num w:numId="196">
    <w:abstractNumId w:val="12"/>
  </w:num>
  <w:num w:numId="197">
    <w:abstractNumId w:val="12"/>
  </w:num>
  <w:num w:numId="198">
    <w:abstractNumId w:val="12"/>
  </w:num>
  <w:num w:numId="199">
    <w:abstractNumId w:val="12"/>
  </w:num>
  <w:num w:numId="200">
    <w:abstractNumId w:val="12"/>
  </w:num>
  <w:num w:numId="201">
    <w:abstractNumId w:val="12"/>
  </w:num>
  <w:num w:numId="202">
    <w:abstractNumId w:val="12"/>
  </w:num>
  <w:num w:numId="203">
    <w:abstractNumId w:val="12"/>
  </w:num>
  <w:num w:numId="204">
    <w:abstractNumId w:val="12"/>
  </w:num>
  <w:num w:numId="205">
    <w:abstractNumId w:val="12"/>
  </w:num>
  <w:num w:numId="206">
    <w:abstractNumId w:val="12"/>
  </w:num>
  <w:num w:numId="207">
    <w:abstractNumId w:val="12"/>
  </w:num>
  <w:num w:numId="208">
    <w:abstractNumId w:val="12"/>
  </w:num>
  <w:num w:numId="209">
    <w:abstractNumId w:val="12"/>
  </w:num>
  <w:num w:numId="210">
    <w:abstractNumId w:val="12"/>
  </w:num>
  <w:num w:numId="211">
    <w:abstractNumId w:val="12"/>
  </w:num>
  <w:num w:numId="212">
    <w:abstractNumId w:val="12"/>
  </w:num>
  <w:num w:numId="213">
    <w:abstractNumId w:val="12"/>
  </w:num>
  <w:num w:numId="214">
    <w:abstractNumId w:val="12"/>
  </w:num>
  <w:num w:numId="215">
    <w:abstractNumId w:val="12"/>
  </w:num>
  <w:num w:numId="216">
    <w:abstractNumId w:val="12"/>
  </w:num>
  <w:num w:numId="217">
    <w:abstractNumId w:val="12"/>
  </w:num>
  <w:num w:numId="218">
    <w:abstractNumId w:val="12"/>
  </w:num>
  <w:num w:numId="219">
    <w:abstractNumId w:val="12"/>
  </w:num>
  <w:num w:numId="220">
    <w:abstractNumId w:val="12"/>
  </w:num>
  <w:num w:numId="221">
    <w:abstractNumId w:val="12"/>
  </w:num>
  <w:num w:numId="222">
    <w:abstractNumId w:val="12"/>
  </w:num>
  <w:num w:numId="223">
    <w:abstractNumId w:val="12"/>
  </w:num>
  <w:num w:numId="224">
    <w:abstractNumId w:val="12"/>
  </w:num>
  <w:num w:numId="225">
    <w:abstractNumId w:val="12"/>
  </w:num>
  <w:num w:numId="226">
    <w:abstractNumId w:val="12"/>
  </w:num>
  <w:num w:numId="227">
    <w:abstractNumId w:val="12"/>
  </w:num>
  <w:num w:numId="228">
    <w:abstractNumId w:val="12"/>
  </w:num>
  <w:num w:numId="229">
    <w:abstractNumId w:val="12"/>
  </w:num>
  <w:num w:numId="230">
    <w:abstractNumId w:val="12"/>
  </w:num>
  <w:num w:numId="231">
    <w:abstractNumId w:val="12"/>
  </w:num>
  <w:num w:numId="232">
    <w:abstractNumId w:val="12"/>
  </w:num>
  <w:num w:numId="233">
    <w:abstractNumId w:val="12"/>
  </w:num>
  <w:num w:numId="234">
    <w:abstractNumId w:val="12"/>
  </w:num>
  <w:num w:numId="235">
    <w:abstractNumId w:val="1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AlterOffice/3.4.0.9$Linux_X86_64 LibreOffice_project/b8daf9e823b1a5463a2f48435ddc2e8696e7d4fc</Application>
  <AppVersion>15.0000</AppVersion>
  <Pages>18</Pages>
  <Words>6286</Words>
  <Characters>44033</Characters>
  <CharactersWithSpaces>50298</CharactersWithSpaces>
  <Paragraphs>286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kononenkoev@corp.gidroogk.com</cp:lastModifiedBy>
  <cp:lastPrinted>2023-03-06T07:59:00Z</cp:lastPrinted>
  <dcterms:modified xsi:type="dcterms:W3CDTF">2026-06-25T16:32:33Z</dcterms:modified>
  <cp:revision>16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