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244C1F84" w:rsidR="00F66374" w:rsidRPr="008E20D8" w:rsidRDefault="002C3045" w:rsidP="00F66374">
      <w:pPr>
        <w:shd w:val="clear" w:color="auto" w:fill="FFFFFF"/>
        <w:ind w:left="202" w:firstLine="322"/>
        <w:jc w:val="center"/>
        <w:rPr>
          <w:rFonts w:ascii="Times New Roman" w:eastAsia="Calibri" w:hAnsi="Times New Roman" w:cs="Times New Roman"/>
          <w:b/>
          <w:highlight w:val="yellow"/>
        </w:rPr>
      </w:pPr>
      <w:r w:rsidRPr="002C3045">
        <w:rPr>
          <w:rFonts w:ascii="Times New Roman" w:hAnsi="Times New Roman"/>
        </w:rPr>
        <w:t xml:space="preserve">для ОПС 606135 по адресу: Российская Федерация, Нижегородская область, муниципальный округ Павловский, село </w:t>
      </w:r>
      <w:proofErr w:type="spellStart"/>
      <w:r w:rsidRPr="002C3045">
        <w:rPr>
          <w:rFonts w:ascii="Times New Roman" w:hAnsi="Times New Roman"/>
        </w:rPr>
        <w:t>Таремское</w:t>
      </w:r>
      <w:proofErr w:type="spellEnd"/>
      <w:r w:rsidRPr="002C3045">
        <w:rPr>
          <w:rFonts w:ascii="Times New Roman" w:hAnsi="Times New Roman"/>
        </w:rPr>
        <w:t>, улица Школьная, земельный участок 25Б</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4792" w14:textId="77777777" w:rsidR="00055796" w:rsidRDefault="00055796" w:rsidP="00E4758E">
      <w:r>
        <w:separator/>
      </w:r>
    </w:p>
  </w:endnote>
  <w:endnote w:type="continuationSeparator" w:id="0">
    <w:p w14:paraId="2963BC4C" w14:textId="77777777" w:rsidR="00055796" w:rsidRDefault="0005579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A829FAF" w:rsidR="0050035B" w:rsidRDefault="0050035B">
        <w:pPr>
          <w:pStyle w:val="af3"/>
          <w:jc w:val="right"/>
        </w:pPr>
        <w:r>
          <w:fldChar w:fldCharType="begin"/>
        </w:r>
        <w:r>
          <w:instrText>PAGE   \* MERGEFORMAT</w:instrText>
        </w:r>
        <w:r>
          <w:fldChar w:fldCharType="separate"/>
        </w:r>
        <w:r w:rsidR="002C3045">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A8F6E" w14:textId="77777777" w:rsidR="00055796" w:rsidRDefault="00055796" w:rsidP="00E4758E">
      <w:r>
        <w:separator/>
      </w:r>
    </w:p>
  </w:footnote>
  <w:footnote w:type="continuationSeparator" w:id="0">
    <w:p w14:paraId="7DDBB750" w14:textId="77777777" w:rsidR="00055796" w:rsidRDefault="00055796"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55796"/>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304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8080-3E26-4767-A283-C47CC052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631</Words>
  <Characters>3600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10</cp:revision>
  <cp:lastPrinted>2023-06-23T07:59:00Z</cp:lastPrinted>
  <dcterms:created xsi:type="dcterms:W3CDTF">2026-06-23T07:09:00Z</dcterms:created>
  <dcterms:modified xsi:type="dcterms:W3CDTF">2026-06-26T08:26:00Z</dcterms:modified>
</cp:coreProperties>
</file>