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64" w:rsidRDefault="001C7364">
      <w:pPr>
        <w:keepNext/>
        <w:keepLines/>
        <w:jc w:val="right"/>
        <w:rPr>
          <w:b/>
          <w:bCs/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7364" w:rsidRDefault="007A140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1C7364" w:rsidRDefault="007A140A">
      <w:pPr>
        <w:widowControl w:val="0"/>
        <w:tabs>
          <w:tab w:val="left" w:pos="426"/>
        </w:tabs>
        <w:spacing w:before="120" w:after="120"/>
        <w:jc w:val="center"/>
        <w:rPr>
          <w:rStyle w:val="aff"/>
          <w:rFonts w:eastAsia="Calibri"/>
          <w:sz w:val="26"/>
          <w:szCs w:val="26"/>
          <w:shd w:val="clear" w:color="auto" w:fill="auto"/>
        </w:rPr>
        <w:sectPr w:rsidR="001C7364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sz w:val="26"/>
          <w:szCs w:val="26"/>
        </w:rPr>
        <w:t xml:space="preserve">ОКПД 2 </w:t>
      </w:r>
      <w:r>
        <w:rPr>
          <w:rFonts w:eastAsia="Calibri"/>
          <w:color w:val="000000"/>
          <w:sz w:val="26"/>
          <w:szCs w:val="26"/>
        </w:rPr>
        <w:t>27.12.10.130 П</w:t>
      </w:r>
      <w:r>
        <w:rPr>
          <w:color w:val="000000"/>
          <w:sz w:val="26"/>
          <w:szCs w:val="26"/>
        </w:rPr>
        <w:t xml:space="preserve">оставка </w:t>
      </w:r>
      <w:r>
        <w:rPr>
          <w:rFonts w:eastAsia="Calibri"/>
          <w:color w:val="000000"/>
          <w:sz w:val="26"/>
          <w:szCs w:val="26"/>
        </w:rPr>
        <w:t xml:space="preserve">ограничителя перенапряжения нелинейного (ОПН) </w:t>
      </w:r>
      <w:r>
        <w:rPr>
          <w:rFonts w:eastAsia="Calibri"/>
          <w:sz w:val="26"/>
          <w:szCs w:val="26"/>
        </w:rPr>
        <w:t>110 кВ для нужд Дагестанского филиала АО “Гидроремонт-ВКК” в г.Махачкала</w:t>
      </w:r>
    </w:p>
    <w:p w:rsidR="001C7364" w:rsidRDefault="007A140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sz w:val="20"/>
          <w:szCs w:val="20"/>
        </w:rPr>
        <w:id w:val="1069533254"/>
        <w:docPartObj>
          <w:docPartGallery w:val="Table of Contents"/>
          <w:docPartUnique/>
        </w:docPartObj>
      </w:sdtPr>
      <w:sdtContent>
        <w:p w:rsidR="001C7364" w:rsidRDefault="007A140A">
          <w:pPr>
            <w:pStyle w:val="19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a"/>
              <w:rFonts w:eastAsia="Calibri"/>
              <w:webHidden/>
            </w:rPr>
            <w:instrText xml:space="preserve"> TOC \z \o "1-4" \u \h</w:instrText>
          </w:r>
          <w:r>
            <w:rPr>
              <w:rStyle w:val="affa"/>
              <w:rFonts w:eastAsia="Calibri"/>
            </w:rPr>
            <w:fldChar w:fldCharType="separate"/>
          </w:r>
          <w:hyperlink w:anchor="_Toc232082951">
            <w:r>
              <w:rPr>
                <w:rStyle w:val="affa"/>
                <w:rFonts w:eastAsia="Calibri"/>
                <w:webHidden/>
              </w:rPr>
              <w:t>1.</w:t>
            </w:r>
            <w:r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a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_Toc232082951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a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2">
            <w:r w:rsidR="007A140A">
              <w:rPr>
                <w:rStyle w:val="affa"/>
                <w:rFonts w:eastAsia="Calibri"/>
                <w:iCs/>
                <w:webHidden/>
              </w:rPr>
              <w:t>1.1.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Обозначения и сокращения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_Toc232082952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3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3">
            <w:r w:rsidR="007A140A">
              <w:rPr>
                <w:rStyle w:val="affa"/>
                <w:rFonts w:eastAsia="Calibri"/>
                <w:iCs/>
                <w:webHidden/>
              </w:rPr>
              <w:t>1.2.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Наименование закупаемой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_Toc232082953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4">
            <w:r w:rsidR="007A140A">
              <w:rPr>
                <w:rStyle w:val="affa"/>
                <w:rFonts w:eastAsia="Calibri"/>
                <w:iCs/>
                <w:webHidden/>
              </w:rPr>
              <w:t>1.3.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Цель использования закупаемой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_Toc232082954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19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5">
            <w:r w:rsidR="007A140A">
              <w:rPr>
                <w:rStyle w:val="affa"/>
                <w:rFonts w:eastAsia="Calibri"/>
                <w:webHidden/>
              </w:rPr>
              <w:t>2.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  <w:iCs/>
              </w:rPr>
              <w:t>Требования к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_Toc232082955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6">
            <w:r w:rsidR="007A140A">
              <w:rPr>
                <w:rStyle w:val="affa"/>
                <w:rFonts w:eastAsia="Calibri"/>
                <w:iCs/>
                <w:webHidden/>
              </w:rPr>
              <w:t>2.1.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Требования к объемам и срокам поставки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_Toc232082956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2b"/>
            <w:tabs>
              <w:tab w:val="left" w:pos="84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7">
            <w:r w:rsidR="007A140A">
              <w:rPr>
                <w:rStyle w:val="affa"/>
                <w:rFonts w:eastAsia="Calibri"/>
                <w:webHidden/>
              </w:rPr>
              <w:t>2.1.1.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 xml:space="preserve"> Перечень и объем закупаемой продукции и услуг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_Toc232082957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8">
            <w:r w:rsidR="007A140A">
              <w:rPr>
                <w:rStyle w:val="affa"/>
                <w:rFonts w:eastAsia="Calibri"/>
                <w:webHidden/>
              </w:rPr>
              <w:t>Таблица 1.1 Перечень и объем закупаемой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_Toc232082958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9">
            <w:r w:rsidR="007A140A">
              <w:rPr>
                <w:rStyle w:val="affa"/>
                <w:rFonts w:eastAsia="Calibri"/>
                <w:webHidden/>
              </w:rPr>
              <w:t>Таблица 1.2 Перечень и объем закупаемых сопутствующих услуг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_Toc232082959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60">
            <w:r w:rsidR="007A140A">
              <w:rPr>
                <w:rStyle w:val="affa"/>
                <w:rFonts w:eastAsia="Calibri"/>
                <w:webHidden/>
              </w:rPr>
              <w:t>Таблица 2.1 Требования по срокам поставки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_Toc232082960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2476BE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61">
            <w:r w:rsidR="007A140A">
              <w:rPr>
                <w:rStyle w:val="affa"/>
                <w:rFonts w:eastAsia="Calibri"/>
                <w:webHidden/>
              </w:rPr>
              <w:t>Таблица 2.2 Требования по срокам оказания услуг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_Toc232082961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Pr="00531041" w:rsidRDefault="002476BE">
          <w:pPr>
            <w:pStyle w:val="19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232082962">
            <w:r w:rsidR="00C81FA1">
              <w:rPr>
                <w:rStyle w:val="affa"/>
                <w:rFonts w:eastAsia="Calibri"/>
                <w:webHidden/>
                <w:lang w:val="en-US"/>
              </w:rPr>
              <w:t>2.2.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Требования к качеству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_Toc232082962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</w:r>
            <w:r w:rsidR="007A140A">
              <w:rPr>
                <w:webHidden/>
              </w:rPr>
              <w:fldChar w:fldCharType="end"/>
            </w:r>
          </w:hyperlink>
          <w:r w:rsidR="00531041">
            <w:rPr>
              <w:lang w:val="en-US"/>
            </w:rPr>
            <w:t>5</w:t>
          </w:r>
        </w:p>
        <w:p w:rsidR="001C7364" w:rsidRPr="00531041" w:rsidRDefault="002476BE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232082963">
            <w:r w:rsidR="00C81FA1">
              <w:rPr>
                <w:rStyle w:val="affa"/>
                <w:rFonts w:eastAsia="Calibri"/>
                <w:webHidden/>
              </w:rPr>
              <w:t xml:space="preserve">Таблица </w:t>
            </w:r>
            <w:r w:rsidR="000B3D07">
              <w:rPr>
                <w:rStyle w:val="affa"/>
                <w:rFonts w:eastAsia="Calibri"/>
                <w:webHidden/>
                <w:lang w:val="en-US"/>
              </w:rPr>
              <w:t>3.</w:t>
            </w:r>
            <w:r w:rsidR="007A140A">
              <w:rPr>
                <w:rStyle w:val="affa"/>
                <w:rFonts w:eastAsia="Calibri"/>
                <w:webHidden/>
              </w:rPr>
              <w:t xml:space="preserve"> Требования к качеству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_Toc232082963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</w:r>
            <w:r w:rsidR="007A140A">
              <w:rPr>
                <w:webHidden/>
              </w:rPr>
              <w:fldChar w:fldCharType="end"/>
            </w:r>
          </w:hyperlink>
          <w:r w:rsidR="00531041">
            <w:rPr>
              <w:lang w:val="en-US"/>
            </w:rPr>
            <w:t>5</w:t>
          </w:r>
        </w:p>
        <w:p w:rsidR="001C7364" w:rsidRDefault="007A140A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a"/>
            </w:rPr>
            <w:fldChar w:fldCharType="end"/>
          </w:r>
        </w:p>
      </w:sdtContent>
    </w:sdt>
    <w:p w:rsidR="001C7364" w:rsidRDefault="001C7364">
      <w:pPr>
        <w:pStyle w:val="19"/>
        <w:tabs>
          <w:tab w:val="right" w:leader="dot" w:pos="9780"/>
        </w:tabs>
        <w:sectPr w:rsidR="001C7364">
          <w:headerReference w:type="even" r:id="rId9"/>
          <w:headerReference w:type="default" r:id="rId10"/>
          <w:headerReference w:type="first" r:id="rId11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1C7364" w:rsidRDefault="001C7364">
      <w:pPr>
        <w:keepNext/>
        <w:keepLines/>
        <w:rPr>
          <w:rFonts w:eastAsia="Calibri"/>
          <w:b/>
          <w:i/>
          <w:sz w:val="24"/>
          <w:szCs w:val="24"/>
        </w:rPr>
      </w:pPr>
    </w:p>
    <w:p w:rsidR="001C7364" w:rsidRDefault="007A140A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232082951"/>
      <w:bookmarkStart w:id="1" w:name="_Toc51339692"/>
      <w:bookmarkStart w:id="2" w:name="_Toc231393045"/>
      <w:r>
        <w:rPr>
          <w:lang w:val="ru-RU"/>
        </w:rPr>
        <w:t>Общие сведения</w:t>
      </w:r>
      <w:bookmarkEnd w:id="0"/>
      <w:bookmarkEnd w:id="1"/>
      <w:bookmarkEnd w:id="2"/>
    </w:p>
    <w:p w:rsidR="001C7364" w:rsidRDefault="007A140A">
      <w:pPr>
        <w:pStyle w:val="4"/>
        <w:numPr>
          <w:ilvl w:val="1"/>
          <w:numId w:val="3"/>
        </w:numPr>
        <w:rPr>
          <w:rStyle w:val="aff"/>
          <w:b/>
          <w:i w:val="0"/>
          <w:shd w:val="clear" w:color="auto" w:fill="auto"/>
        </w:rPr>
      </w:pPr>
      <w:bookmarkStart w:id="3" w:name="_Toc232082952"/>
      <w:bookmarkStart w:id="4" w:name="_Toc46743505"/>
      <w:bookmarkStart w:id="5" w:name="_Toc231393046"/>
      <w: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Ограничитель перенапряжения нелинейный</w:t>
            </w:r>
          </w:p>
        </w:tc>
      </w:tr>
    </w:tbl>
    <w:p w:rsidR="001C7364" w:rsidRDefault="001C7364">
      <w:pPr>
        <w:keepNext/>
        <w:keepLines/>
        <w:jc w:val="both"/>
        <w:rPr>
          <w:sz w:val="24"/>
          <w:szCs w:val="24"/>
        </w:rPr>
      </w:pPr>
    </w:p>
    <w:p w:rsidR="001C7364" w:rsidRDefault="001C7364">
      <w:pPr>
        <w:keepNext/>
        <w:keepLines/>
        <w:jc w:val="both"/>
        <w:rPr>
          <w:sz w:val="24"/>
          <w:szCs w:val="24"/>
        </w:rPr>
      </w:pPr>
    </w:p>
    <w:p w:rsidR="001C7364" w:rsidRDefault="007A140A">
      <w:pPr>
        <w:keepNext/>
        <w:keepLines/>
        <w:rPr>
          <w:sz w:val="24"/>
          <w:szCs w:val="24"/>
        </w:rPr>
      </w:pPr>
      <w:r>
        <w:br w:type="page"/>
      </w:r>
    </w:p>
    <w:p w:rsidR="001C7364" w:rsidRDefault="007A140A">
      <w:pPr>
        <w:pStyle w:val="4"/>
        <w:numPr>
          <w:ilvl w:val="1"/>
          <w:numId w:val="3"/>
        </w:numPr>
      </w:pPr>
      <w:bookmarkStart w:id="6" w:name="_Toc232082953"/>
      <w:bookmarkStart w:id="7" w:name="_Toc46743506"/>
      <w:bookmarkStart w:id="8" w:name="_Toc231393047"/>
      <w:r>
        <w:lastRenderedPageBreak/>
        <w:t>Наименование закупаемой продукции</w:t>
      </w:r>
      <w:bookmarkEnd w:id="6"/>
      <w:bookmarkEnd w:id="7"/>
      <w:bookmarkEnd w:id="8"/>
    </w:p>
    <w:p w:rsidR="001C7364" w:rsidRDefault="007A140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>
        <w:rPr>
          <w:rFonts w:eastAsia="Calibri"/>
          <w:color w:val="000000"/>
          <w:sz w:val="26"/>
          <w:szCs w:val="26"/>
          <w:lang w:eastAsia="x-none"/>
        </w:rPr>
        <w:t xml:space="preserve">27.12.10.130 Поставка </w:t>
      </w:r>
      <w:r>
        <w:rPr>
          <w:rFonts w:eastAsia="Calibri"/>
          <w:color w:val="000000"/>
          <w:sz w:val="26"/>
          <w:szCs w:val="26"/>
        </w:rPr>
        <w:t xml:space="preserve">ограничителя перенапряжения нелинейного (ОПН) </w:t>
      </w:r>
      <w:r>
        <w:rPr>
          <w:rFonts w:eastAsia="Calibri"/>
          <w:sz w:val="26"/>
          <w:szCs w:val="26"/>
          <w:lang w:eastAsia="x-none"/>
        </w:rPr>
        <w:t>110 кВ для нужд Дагестанского филиала АО “Гидроремонт-ВКК” в г. Махачкала</w:t>
      </w:r>
    </w:p>
    <w:p w:rsidR="001C7364" w:rsidRDefault="007A140A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Toc46743507"/>
      <w:bookmarkStart w:id="10" w:name="_Toc232082954"/>
      <w:bookmarkStart w:id="11" w:name="_Toc231393048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10"/>
      <w:bookmarkEnd w:id="11"/>
    </w:p>
    <w:p w:rsidR="001C7364" w:rsidRDefault="007A140A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1C7364" w:rsidRDefault="007A140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Toc50125126"/>
      <w:bookmarkStart w:id="13" w:name="_Toc232082955"/>
      <w:bookmarkStart w:id="14" w:name="_Toc51339693"/>
      <w:bookmarkStart w:id="15" w:name="_Toc231392590"/>
      <w:bookmarkStart w:id="16" w:name="_Toc231393049"/>
      <w:bookmarkEnd w:id="12"/>
      <w:r>
        <w:rPr>
          <w:iCs/>
        </w:rPr>
        <w:t>Требования к продукции</w:t>
      </w:r>
      <w:bookmarkEnd w:id="13"/>
      <w:bookmarkEnd w:id="14"/>
      <w:bookmarkEnd w:id="15"/>
      <w:bookmarkEnd w:id="16"/>
    </w:p>
    <w:p w:rsidR="001C7364" w:rsidRDefault="007A140A">
      <w:pPr>
        <w:pStyle w:val="4"/>
        <w:numPr>
          <w:ilvl w:val="1"/>
          <w:numId w:val="3"/>
        </w:numPr>
        <w:rPr>
          <w:lang w:val="ru-RU"/>
        </w:rPr>
      </w:pPr>
      <w:bookmarkStart w:id="17" w:name="_Toc232082956"/>
      <w:bookmarkStart w:id="18" w:name="_Toc231392591"/>
      <w:bookmarkStart w:id="19" w:name="_Toc231393050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  <w:bookmarkEnd w:id="18"/>
      <w:bookmarkEnd w:id="19"/>
    </w:p>
    <w:p w:rsidR="001C7364" w:rsidRDefault="007A140A">
      <w:pPr>
        <w:pStyle w:val="22"/>
        <w:spacing w:after="0"/>
        <w:jc w:val="center"/>
      </w:pPr>
      <w:bookmarkStart w:id="20" w:name="_Toc232082957"/>
      <w:r>
        <w:t>2.1.1.</w:t>
      </w:r>
      <w:r>
        <w:tab/>
        <w:t xml:space="preserve"> Перечень и объем закупаемой продукции и услуг</w:t>
      </w:r>
      <w:bookmarkEnd w:id="20"/>
    </w:p>
    <w:p w:rsidR="001C7364" w:rsidRDefault="007A140A">
      <w:pPr>
        <w:pStyle w:val="22"/>
        <w:rPr>
          <w:lang w:val="ru-RU"/>
        </w:rPr>
      </w:pPr>
      <w:bookmarkStart w:id="21" w:name="_Toc51339695"/>
      <w:bookmarkStart w:id="22" w:name="_Toc232082958"/>
      <w:bookmarkStart w:id="23" w:name="_Toc231392525"/>
      <w:bookmarkStart w:id="24" w:name="_Toc231392593"/>
      <w:bookmarkStart w:id="25" w:name="_Toc231393052"/>
      <w:r>
        <w:t xml:space="preserve">Таблица </w:t>
      </w:r>
      <w:r>
        <w:rPr>
          <w:lang w:val="ru-RU"/>
        </w:rPr>
        <w:t>1.1</w:t>
      </w:r>
      <w:r>
        <w:t xml:space="preserve"> </w:t>
      </w:r>
      <w:r>
        <w:rPr>
          <w:lang w:val="ru-RU"/>
        </w:rPr>
        <w:t xml:space="preserve">Перечень </w:t>
      </w:r>
      <w:bookmarkEnd w:id="21"/>
      <w:r>
        <w:rPr>
          <w:lang w:val="ru-RU"/>
        </w:rPr>
        <w:t>и объем закупаемой продукции</w:t>
      </w:r>
      <w:bookmarkEnd w:id="22"/>
      <w:bookmarkEnd w:id="23"/>
      <w:bookmarkEnd w:id="24"/>
      <w:bookmarkEnd w:id="25"/>
    </w:p>
    <w:tbl>
      <w:tblPr>
        <w:tblStyle w:val="affffc"/>
        <w:tblW w:w="992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91"/>
        <w:gridCol w:w="6384"/>
        <w:gridCol w:w="1428"/>
        <w:gridCol w:w="1517"/>
      </w:tblGrid>
      <w:tr w:rsidR="001C7364" w:rsidTr="002476BE">
        <w:tc>
          <w:tcPr>
            <w:tcW w:w="591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C7364" w:rsidTr="002476BE">
        <w:tc>
          <w:tcPr>
            <w:tcW w:w="591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C7364" w:rsidRDefault="007A140A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7364" w:rsidTr="002476BE">
        <w:tc>
          <w:tcPr>
            <w:tcW w:w="591" w:type="dxa"/>
          </w:tcPr>
          <w:p w:rsidR="001C7364" w:rsidRDefault="001C7364">
            <w:pPr>
              <w:pStyle w:val="afe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1C7364" w:rsidRDefault="007A140A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Ограничитель перенапряжения нелинейный (ОПН) 110 кВ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компл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6</w:t>
            </w:r>
          </w:p>
        </w:tc>
      </w:tr>
      <w:tr w:rsidR="001C7364" w:rsidTr="002476BE">
        <w:tc>
          <w:tcPr>
            <w:tcW w:w="591" w:type="dxa"/>
          </w:tcPr>
          <w:p w:rsidR="001C7364" w:rsidRDefault="001C7364">
            <w:pPr>
              <w:pStyle w:val="afe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7364" w:rsidRPr="007A140A" w:rsidRDefault="007A140A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7A140A">
              <w:rPr>
                <w:color w:val="000000" w:themeColor="text1"/>
                <w:sz w:val="24"/>
                <w:szCs w:val="24"/>
                <w:lang w:val="en-US"/>
              </w:rPr>
              <w:t>Конструкторская документация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7364" w:rsidRPr="007A140A" w:rsidRDefault="007A140A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7A140A">
              <w:rPr>
                <w:color w:val="2C2D2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7364" w:rsidRPr="007A140A" w:rsidRDefault="007A140A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3</w:t>
            </w:r>
          </w:p>
        </w:tc>
      </w:tr>
    </w:tbl>
    <w:p w:rsidR="001C7364" w:rsidRDefault="007A140A">
      <w:pPr>
        <w:pStyle w:val="22"/>
        <w:rPr>
          <w:lang w:val="ru-RU"/>
        </w:rPr>
      </w:pPr>
      <w:bookmarkStart w:id="26" w:name="_Toc232082959"/>
      <w:bookmarkStart w:id="27" w:name="_Toc231830836"/>
      <w:r>
        <w:rPr>
          <w:lang w:val="ru-RU"/>
        </w:rPr>
        <w:t>Таблица 1.2 Перечень и объем закупаемых сопутствующих услуг</w:t>
      </w:r>
      <w:bookmarkEnd w:id="26"/>
      <w:bookmarkEnd w:id="27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8"/>
        <w:gridCol w:w="1517"/>
      </w:tblGrid>
      <w:tr w:rsidR="001C7364">
        <w:tc>
          <w:tcPr>
            <w:tcW w:w="849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C7364">
        <w:tc>
          <w:tcPr>
            <w:tcW w:w="849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bottom"/>
          </w:tcPr>
          <w:p w:rsidR="001C7364" w:rsidRDefault="007A140A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7364">
        <w:tc>
          <w:tcPr>
            <w:tcW w:w="849" w:type="dxa"/>
          </w:tcPr>
          <w:p w:rsidR="001C7364" w:rsidRDefault="001C7364">
            <w:pPr>
              <w:pStyle w:val="afe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5" w:type="dxa"/>
            <w:tcBorders>
              <w:left w:val="nil"/>
            </w:tcBorders>
            <w:shd w:val="clear" w:color="000000" w:fill="FFFFFF"/>
            <w:vAlign w:val="bottom"/>
          </w:tcPr>
          <w:p w:rsidR="001C7364" w:rsidRDefault="007A140A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Шефмонтаж ограничителя перенапряжения нелинейного (ОПН) 110 кВ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1C7364" w:rsidRDefault="007A140A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1C7364" w:rsidRDefault="007A140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6</w:t>
            </w:r>
          </w:p>
        </w:tc>
      </w:tr>
      <w:tr w:rsidR="001C7364">
        <w:tc>
          <w:tcPr>
            <w:tcW w:w="849" w:type="dxa"/>
          </w:tcPr>
          <w:p w:rsidR="001C7364" w:rsidRDefault="001C7364">
            <w:pPr>
              <w:pStyle w:val="afe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5" w:type="dxa"/>
            <w:tcBorders>
              <w:left w:val="nil"/>
            </w:tcBorders>
            <w:shd w:val="clear" w:color="000000" w:fill="FFFFFF"/>
            <w:vAlign w:val="bottom"/>
          </w:tcPr>
          <w:p w:rsidR="001C7364" w:rsidRDefault="007A140A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Шефналадка ограничителя перенапряжения нелинейного (ОПН) 110 кВ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1C7364" w:rsidRDefault="007A140A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1C7364" w:rsidRDefault="007A140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6</w:t>
            </w:r>
          </w:p>
        </w:tc>
      </w:tr>
    </w:tbl>
    <w:p w:rsidR="001C7364" w:rsidRDefault="007A140A">
      <w:pPr>
        <w:pStyle w:val="22"/>
      </w:pPr>
      <w:bookmarkStart w:id="28" w:name="__RefHeading___Toc773828_1425808007"/>
      <w:bookmarkStart w:id="29" w:name="_Toc50125126_Копия_1"/>
      <w:bookmarkStart w:id="30" w:name="_Toc51339697"/>
      <w:bookmarkStart w:id="31" w:name="_Toc50125127"/>
      <w:bookmarkStart w:id="32" w:name="_Toc232082960"/>
      <w:bookmarkStart w:id="33" w:name="_Toc231830838"/>
      <w:bookmarkStart w:id="34" w:name="_Toc231392527"/>
      <w:bookmarkStart w:id="35" w:name="_Toc231392595"/>
      <w:bookmarkStart w:id="36" w:name="_Toc231393054"/>
      <w:bookmarkEnd w:id="28"/>
      <w:bookmarkEnd w:id="29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37" w:name="_Hlk50465284"/>
      <w:r>
        <w:t xml:space="preserve">Требования по срокам </w:t>
      </w:r>
      <w:bookmarkEnd w:id="30"/>
      <w:bookmarkEnd w:id="31"/>
      <w:bookmarkEnd w:id="37"/>
      <w:r>
        <w:rPr>
          <w:lang w:val="ru-RU"/>
        </w:rPr>
        <w:t>поставки продукции</w:t>
      </w:r>
      <w:bookmarkEnd w:id="32"/>
      <w:bookmarkEnd w:id="33"/>
      <w:bookmarkEnd w:id="34"/>
      <w:bookmarkEnd w:id="35"/>
      <w:bookmarkEnd w:id="36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1C7364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1; 3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1C7364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7A140A">
            <w:pPr>
              <w:widowControl w:val="0"/>
              <w:rPr>
                <w:sz w:val="24"/>
                <w:szCs w:val="24"/>
              </w:rPr>
            </w:pPr>
            <w:r w:rsidRPr="007A140A">
              <w:rPr>
                <w:sz w:val="24"/>
                <w:szCs w:val="24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4"/>
                <w:szCs w:val="24"/>
                <w:lang w:val="en-US"/>
              </w:rPr>
            </w:pPr>
            <w:r w:rsidRPr="007A140A">
              <w:rPr>
                <w:sz w:val="24"/>
                <w:szCs w:val="24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4"/>
                <w:szCs w:val="24"/>
              </w:rPr>
            </w:pPr>
            <w:r w:rsidRPr="007A140A">
              <w:rPr>
                <w:sz w:val="24"/>
                <w:szCs w:val="24"/>
              </w:rPr>
              <w:t>По истечении 4 мес. с даты заключения</w:t>
            </w:r>
          </w:p>
        </w:tc>
      </w:tr>
    </w:tbl>
    <w:p w:rsidR="001C7364" w:rsidRDefault="001C7364">
      <w:pPr>
        <w:rPr>
          <w:b/>
          <w:sz w:val="24"/>
          <w:szCs w:val="24"/>
        </w:rPr>
      </w:pPr>
    </w:p>
    <w:p w:rsidR="001C7364" w:rsidRDefault="007A140A">
      <w:pPr>
        <w:pStyle w:val="22"/>
      </w:pPr>
      <w:bookmarkStart w:id="38" w:name="__RefHeading___Toc773832_1425808007"/>
      <w:bookmarkStart w:id="39" w:name="_Toc231830839"/>
      <w:bookmarkStart w:id="40" w:name="_Toc232082961"/>
      <w:bookmarkEnd w:id="38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2</w:t>
      </w:r>
      <w:r>
        <w:t xml:space="preserve"> Требования по срокам </w:t>
      </w:r>
      <w:bookmarkEnd w:id="39"/>
      <w:r>
        <w:t>оказания услуг</w:t>
      </w:r>
      <w:bookmarkEnd w:id="40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1C7364">
            <w:pPr>
              <w:pStyle w:val="afe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Перечень услуг согласно п.п 1.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С даты отгрузки первой партии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  <w:lang w:val="en-US"/>
              </w:rPr>
              <w:t>До завершения монтажных работ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1C7364">
            <w:pPr>
              <w:pStyle w:val="afe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Перечень услуг согласно п.п 2.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С момента готовности оборудования к пусконаладочным работам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  <w:lang w:val="en-US"/>
              </w:rPr>
              <w:t>До завершения пусконаладочных работ</w:t>
            </w:r>
          </w:p>
        </w:tc>
      </w:tr>
    </w:tbl>
    <w:p w:rsidR="001C7364" w:rsidRDefault="001C7364">
      <w:pPr>
        <w:sectPr w:rsidR="001C7364" w:rsidSect="002476BE">
          <w:headerReference w:type="default" r:id="rId12"/>
          <w:headerReference w:type="first" r:id="rId13"/>
          <w:pgSz w:w="11906" w:h="16838"/>
          <w:pgMar w:top="851" w:right="992" w:bottom="851" w:left="1134" w:header="680" w:footer="0" w:gutter="0"/>
          <w:cols w:space="720"/>
          <w:formProt w:val="0"/>
          <w:docGrid w:linePitch="381"/>
        </w:sectPr>
      </w:pPr>
    </w:p>
    <w:p w:rsidR="001C7364" w:rsidRDefault="001C7364">
      <w:pPr>
        <w:rPr>
          <w:b/>
          <w:sz w:val="24"/>
          <w:szCs w:val="24"/>
        </w:rPr>
      </w:pPr>
    </w:p>
    <w:p w:rsidR="001C7364" w:rsidRPr="00C81FA1" w:rsidRDefault="00C81FA1" w:rsidP="00C81FA1">
      <w:pPr>
        <w:outlineLvl w:val="0"/>
        <w:rPr>
          <w:b/>
          <w:sz w:val="24"/>
          <w:szCs w:val="24"/>
        </w:rPr>
      </w:pPr>
      <w:bookmarkStart w:id="41" w:name="_Toc232082962"/>
      <w:r w:rsidRPr="00C81FA1">
        <w:rPr>
          <w:b/>
          <w:sz w:val="24"/>
          <w:szCs w:val="24"/>
        </w:rPr>
        <w:t xml:space="preserve">2.2. </w:t>
      </w:r>
      <w:r w:rsidR="007A140A" w:rsidRPr="00C81FA1">
        <w:rPr>
          <w:b/>
          <w:sz w:val="24"/>
          <w:szCs w:val="24"/>
        </w:rPr>
        <w:t>Требования к качеству продукции</w:t>
      </w:r>
      <w:bookmarkEnd w:id="41"/>
    </w:p>
    <w:p w:rsidR="001C7364" w:rsidRDefault="00C81FA1">
      <w:pPr>
        <w:pStyle w:val="22"/>
        <w:rPr>
          <w:b w:val="0"/>
        </w:rPr>
      </w:pPr>
      <w:bookmarkStart w:id="42" w:name="_Toc232082963"/>
      <w:r w:rsidRPr="00C81FA1">
        <w:rPr>
          <w:lang w:val="ru-RU"/>
        </w:rPr>
        <w:t xml:space="preserve">2.2.1. </w:t>
      </w:r>
      <w:r w:rsidR="007A140A">
        <w:t>Таблица 3.</w:t>
      </w:r>
      <w:r>
        <w:rPr>
          <w:lang w:val="ru-RU"/>
        </w:rPr>
        <w:t xml:space="preserve"> </w:t>
      </w:r>
      <w:r w:rsidR="007A140A">
        <w:t>Требования к качеству продукции</w:t>
      </w:r>
      <w:bookmarkEnd w:id="42"/>
      <w:r w:rsidR="007A140A">
        <w:t xml:space="preserve"> </w:t>
      </w:r>
    </w:p>
    <w:p w:rsidR="001C7364" w:rsidRDefault="007A140A" w:rsidP="00233E3C">
      <w:pPr>
        <w:spacing w:after="120"/>
        <w:rPr>
          <w:rFonts w:eastAsia="Calibri"/>
          <w:b/>
          <w:sz w:val="24"/>
          <w:szCs w:val="24"/>
          <w:lang w:eastAsia="x-none"/>
        </w:rPr>
      </w:pPr>
      <w:r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 xml:space="preserve">Наименование продукции (Перечень продукции согласно Таблице 1.1): </w:t>
      </w:r>
      <w:r>
        <w:rPr>
          <w:rFonts w:eastAsia="Calibri"/>
          <w:b/>
          <w:color w:val="000000"/>
          <w:sz w:val="24"/>
          <w:szCs w:val="24"/>
          <w:lang w:eastAsia="x-none"/>
        </w:rPr>
        <w:t xml:space="preserve">ОКПД2 27.12.10.130 Поставка Ограничителя перенапряжения нелинейного (ОПН) </w:t>
      </w:r>
      <w:r>
        <w:rPr>
          <w:rFonts w:eastAsia="Calibri"/>
          <w:b/>
          <w:sz w:val="24"/>
          <w:szCs w:val="24"/>
          <w:lang w:eastAsia="x-none"/>
        </w:rPr>
        <w:t>110 кВ для нужд Дагестанского филиала АО “Гидроремонт-ВКК” в г. Махачкала</w:t>
      </w:r>
      <w:bookmarkStart w:id="43" w:name="_GoBack"/>
      <w:bookmarkEnd w:id="43"/>
    </w:p>
    <w:tbl>
      <w:tblPr>
        <w:tblStyle w:val="affffc"/>
        <w:tblW w:w="15070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4405"/>
        <w:gridCol w:w="2669"/>
        <w:gridCol w:w="2591"/>
        <w:gridCol w:w="2474"/>
        <w:gridCol w:w="2084"/>
      </w:tblGrid>
      <w:tr w:rsidR="001C7364" w:rsidTr="009343FA">
        <w:trPr>
          <w:tblHeader/>
          <w:jc w:val="center"/>
        </w:trPr>
        <w:tc>
          <w:tcPr>
            <w:tcW w:w="847" w:type="dxa"/>
            <w:vMerge w:val="restart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4405" w:type="dxa"/>
            <w:vMerge w:val="restart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2669" w:type="dxa"/>
            <w:vMerge w:val="restart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  <w:tc>
          <w:tcPr>
            <w:tcW w:w="5065" w:type="dxa"/>
            <w:gridSpan w:val="2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Способ подтверждения участником соответствия требованиям</w:t>
            </w:r>
          </w:p>
        </w:tc>
        <w:tc>
          <w:tcPr>
            <w:tcW w:w="2084" w:type="dxa"/>
            <w:vMerge w:val="restart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Предложение участника по характеристикам и параметрам</w:t>
            </w:r>
          </w:p>
        </w:tc>
      </w:tr>
      <w:tr w:rsidR="001C7364" w:rsidTr="009343FA">
        <w:trPr>
          <w:tblHeader/>
          <w:jc w:val="center"/>
        </w:trPr>
        <w:tc>
          <w:tcPr>
            <w:tcW w:w="847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  <w:tc>
          <w:tcPr>
            <w:tcW w:w="4405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  <w:tc>
          <w:tcPr>
            <w:tcW w:w="2669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  <w:tc>
          <w:tcPr>
            <w:tcW w:w="2591" w:type="dxa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Согласие с требованием/ Указание характеристик</w:t>
            </w:r>
          </w:p>
        </w:tc>
        <w:tc>
          <w:tcPr>
            <w:tcW w:w="2474" w:type="dxa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Предоставление подтверждающего документа на этапе закупки</w:t>
            </w:r>
          </w:p>
        </w:tc>
        <w:tc>
          <w:tcPr>
            <w:tcW w:w="2084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</w:tr>
      <w:tr w:rsidR="001C7364" w:rsidTr="009343FA">
        <w:trPr>
          <w:tblHeader/>
          <w:jc w:val="center"/>
        </w:trPr>
        <w:tc>
          <w:tcPr>
            <w:tcW w:w="847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405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669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591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47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08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</w:tr>
      <w:tr w:rsidR="002476BE" w:rsidTr="002476BE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2476BE" w:rsidRDefault="002476BE" w:rsidP="009343FA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2476BE" w:rsidRPr="002476BE" w:rsidRDefault="002476BE" w:rsidP="009343FA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r w:rsidRPr="002476BE">
              <w:rPr>
                <w:b/>
                <w:sz w:val="22"/>
                <w:szCs w:val="22"/>
                <w:lang w:val="en-US"/>
              </w:rPr>
              <w:t>Основные параметры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:rsidR="002476BE" w:rsidRPr="009343FA" w:rsidRDefault="002476BE" w:rsidP="009343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2476BE" w:rsidRPr="009343FA" w:rsidRDefault="002476BE" w:rsidP="009343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2476BE" w:rsidRPr="009343FA" w:rsidRDefault="002476BE" w:rsidP="009343FA">
            <w:pPr>
              <w:pStyle w:val="afe"/>
              <w:widowControl w:val="0"/>
              <w:numPr>
                <w:ilvl w:val="0"/>
                <w:numId w:val="21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2476BE" w:rsidRDefault="002476BE" w:rsidP="009343FA">
            <w:pPr>
              <w:jc w:val="center"/>
              <w:rPr>
                <w:sz w:val="23"/>
                <w:szCs w:val="23"/>
              </w:rPr>
            </w:pPr>
          </w:p>
        </w:tc>
      </w:tr>
      <w:tr w:rsidR="009343FA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9343FA" w:rsidRDefault="009343FA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343FA" w:rsidRPr="009343FA" w:rsidRDefault="009343FA" w:rsidP="009343FA">
            <w:pPr>
              <w:pStyle w:val="afe"/>
              <w:widowControl w:val="0"/>
              <w:numPr>
                <w:ilvl w:val="0"/>
                <w:numId w:val="21"/>
              </w:numPr>
              <w:contextualSpacing w:val="0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Сертификат происхождения товара по форме СТ-1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343FA" w:rsidRDefault="009343FA" w:rsidP="009343FA">
            <w:pPr>
              <w:jc w:val="center"/>
              <w:rPr>
                <w:sz w:val="23"/>
                <w:szCs w:val="23"/>
              </w:rPr>
            </w:pPr>
          </w:p>
        </w:tc>
      </w:tr>
      <w:tr w:rsidR="009343FA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9343FA" w:rsidRDefault="009343FA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rPr>
                <w:sz w:val="22"/>
                <w:szCs w:val="22"/>
              </w:rPr>
            </w:pPr>
            <w:r w:rsidRPr="009343FA">
              <w:rPr>
                <w:rFonts w:eastAsia="Calibri"/>
                <w:sz w:val="22"/>
                <w:szCs w:val="22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343FA" w:rsidRPr="009343FA" w:rsidRDefault="009343FA" w:rsidP="009343FA">
            <w:pPr>
              <w:pStyle w:val="afe"/>
              <w:widowControl w:val="0"/>
              <w:numPr>
                <w:ilvl w:val="0"/>
                <w:numId w:val="22"/>
              </w:numPr>
              <w:contextualSpacing w:val="0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Сертификат (Декларация) о соответствии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343FA" w:rsidRDefault="009343FA" w:rsidP="009343FA">
            <w:pPr>
              <w:jc w:val="center"/>
              <w:rPr>
                <w:sz w:val="23"/>
                <w:szCs w:val="23"/>
              </w:rPr>
            </w:pPr>
          </w:p>
        </w:tc>
      </w:tr>
      <w:tr w:rsidR="009343FA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9343FA" w:rsidRDefault="009343FA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343FA">
              <w:rPr>
                <w:rFonts w:eastAsia="Calibri"/>
                <w:sz w:val="22"/>
                <w:szCs w:val="22"/>
              </w:rPr>
              <w:t>Основное и вспомогательное оборудование, входящее в объем поставки, должно быть сертифицировано в соответствии с законодательством РФ и соответствовать настоящим техническим заданием и требованиям, действующих на территории России норм, правил и стандартов. Основное и вспомогательное оборудование, входящее в объем поставки, должно обладать патентной чистотой.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343FA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343FA">
              <w:rPr>
                <w:sz w:val="22"/>
                <w:szCs w:val="22"/>
                <w:lang w:val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343FA" w:rsidRPr="009343FA" w:rsidRDefault="009343FA" w:rsidP="009343FA">
            <w:pPr>
              <w:pStyle w:val="afe"/>
              <w:widowControl w:val="0"/>
              <w:numPr>
                <w:ilvl w:val="0"/>
                <w:numId w:val="23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343FA" w:rsidRDefault="009343FA" w:rsidP="009343FA">
            <w:pPr>
              <w:jc w:val="center"/>
              <w:rPr>
                <w:sz w:val="23"/>
                <w:szCs w:val="23"/>
              </w:rPr>
            </w:pPr>
          </w:p>
        </w:tc>
      </w:tr>
      <w:tr w:rsidR="009343FA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9343FA" w:rsidRDefault="009343FA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343FA">
              <w:rPr>
                <w:rFonts w:eastAsia="Calibri"/>
                <w:sz w:val="22"/>
                <w:szCs w:val="22"/>
              </w:rPr>
              <w:t xml:space="preserve">Передать Покупателю оригиналы </w:t>
            </w:r>
            <w:r w:rsidRPr="009343FA">
              <w:rPr>
                <w:rFonts w:eastAsia="Calibri"/>
                <w:sz w:val="22"/>
                <w:szCs w:val="22"/>
              </w:rPr>
              <w:lastRenderedPageBreak/>
              <w:t>документов на Оборудование, необходимых для подтверждения условия вклада отдельных элементов в степень локализации генерирующего объекта «Нихалойская ГЭС». Перечень документов определён в Приложении No 1 и No 2 к приказу Минпромторга Российской Федерации от 14.10.2024 No 4723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343FA">
              <w:rPr>
                <w:sz w:val="22"/>
                <w:szCs w:val="22"/>
                <w:lang w:val="en-US"/>
              </w:rPr>
              <w:lastRenderedPageBreak/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343FA">
              <w:rPr>
                <w:sz w:val="22"/>
                <w:szCs w:val="22"/>
                <w:lang w:val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343FA" w:rsidRPr="009343FA" w:rsidRDefault="009343FA" w:rsidP="009343FA">
            <w:pPr>
              <w:pStyle w:val="afe"/>
              <w:widowControl w:val="0"/>
              <w:numPr>
                <w:ilvl w:val="0"/>
                <w:numId w:val="23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343FA" w:rsidRDefault="009343FA" w:rsidP="009343FA">
            <w:pPr>
              <w:jc w:val="center"/>
              <w:rPr>
                <w:sz w:val="23"/>
                <w:szCs w:val="23"/>
              </w:rPr>
            </w:pPr>
          </w:p>
        </w:tc>
      </w:tr>
      <w:tr w:rsidR="009343FA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9343FA" w:rsidRDefault="009343FA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343FA">
              <w:rPr>
                <w:rFonts w:eastAsia="Calibri"/>
                <w:sz w:val="22"/>
                <w:szCs w:val="22"/>
              </w:rPr>
              <w:t>Соблюдение условий и требований по определению степени вклада, поставляемого на Объект Оборудования, в локализацию генерирующего объекта «Нихалойская ГЭС», в соответствии с требованиями постановления Правительства РФ от 28.12.2023 No 2359.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</w:rPr>
            </w:pPr>
            <w:r w:rsidRPr="009343FA">
              <w:rPr>
                <w:sz w:val="22"/>
                <w:szCs w:val="22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9343FA" w:rsidRPr="009343FA" w:rsidRDefault="009343FA" w:rsidP="009343F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343FA">
              <w:rPr>
                <w:sz w:val="22"/>
                <w:szCs w:val="22"/>
                <w:lang w:val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343FA" w:rsidRPr="009343FA" w:rsidRDefault="009343FA" w:rsidP="009343FA">
            <w:pPr>
              <w:pStyle w:val="afe"/>
              <w:widowControl w:val="0"/>
              <w:numPr>
                <w:ilvl w:val="0"/>
                <w:numId w:val="23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343FA" w:rsidRDefault="009343FA" w:rsidP="009343FA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происхождения Оборудования</w:t>
            </w:r>
          </w:p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 код по ОКСМ/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 краткое наименование страны мира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</w:t>
            </w:r>
            <w:r>
              <w:rPr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Сертификат (Декларация) о соответствии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Тип конструкции</w:t>
            </w:r>
            <w:r>
              <w:rPr>
                <w:sz w:val="23"/>
                <w:szCs w:val="23"/>
                <w:lang w:val="en-US"/>
              </w:rPr>
              <w:t xml:space="preserve"> (опорный/подвесной)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опорный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поставляемого оборудования, шт (фаз).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 w:rsidP="002476BE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Соответствие поставляемого оборудования НТД (ГОСТ Р 52725-2021, ГОСТ 12.2.007.0-75 (пп. 3.3.1, 3.3.3), ГОСТ 12.2.007.3-75) Да/Нет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Сертификат соответствия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Протокол испытаний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Условия эксплуатации</w:t>
            </w:r>
          </w:p>
        </w:tc>
        <w:tc>
          <w:tcPr>
            <w:tcW w:w="2669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 напряжения сети, кВ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110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Наибольшее рабочее напряжение сети, кВ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126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Способ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заземления</w:t>
            </w:r>
            <w:r>
              <w:rPr>
                <w:spacing w:val="-3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нейтрали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Эффективно</w:t>
            </w:r>
            <w:r>
              <w:rPr>
                <w:spacing w:val="29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заземленная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Номинальная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частота,</w:t>
            </w:r>
            <w:r>
              <w:rPr>
                <w:sz w:val="23"/>
                <w:szCs w:val="23"/>
              </w:rPr>
              <w:t xml:space="preserve"> Гц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Климатическое исполнение ГОСТ 15150-69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размещения по ГОСТ 15150-69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плюс</w:t>
            </w:r>
            <w:r>
              <w:rPr>
                <w:sz w:val="23"/>
                <w:szCs w:val="23"/>
              </w:rPr>
              <w:t xml:space="preserve"> 4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минус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45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Степень загрязнения изоляции оборудования по ГОСТ 9920–89</w:t>
            </w:r>
          </w:p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(I – легкая/II – средняя/III – сильная/IV - очень сильная), не менее: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II - средняя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Оборудование должно нормально работать при следующих условиях:</w:t>
            </w:r>
          </w:p>
          <w:p w:rsidR="001C7364" w:rsidRDefault="007A140A">
            <w:pPr>
              <w:pStyle w:val="afe"/>
              <w:numPr>
                <w:ilvl w:val="0"/>
                <w:numId w:val="11"/>
              </w:numPr>
              <w:suppressAutoHyphens w:val="0"/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толщина стенки гололёда, мм, не менее:</w:t>
            </w:r>
          </w:p>
          <w:p w:rsidR="001C7364" w:rsidRDefault="007A140A">
            <w:pPr>
              <w:pStyle w:val="afe"/>
              <w:numPr>
                <w:ilvl w:val="0"/>
                <w:numId w:val="11"/>
              </w:numPr>
              <w:suppressAutoHyphens w:val="0"/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допустимая скорость ветра при наличии/ отсутствии гололёда, м/с, не менее: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15/ 40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Допустимая высота установки над уровнем моря, м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1000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Механическая нагрузка от вибрации по группе условий эксплуатации (ГОСТ Р 52725 (п. 6.4.8, п. 9.11), ГОСТ 17516.1)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М1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Сейсмостойкость, баллов по шкале MSK-64,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Протокол/ Акт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Номинальные</w:t>
            </w:r>
            <w:r>
              <w:rPr>
                <w:b/>
                <w:bCs/>
                <w:spacing w:val="-1"/>
                <w:sz w:val="23"/>
                <w:szCs w:val="23"/>
              </w:rPr>
              <w:t xml:space="preserve"> параметры</w:t>
            </w:r>
            <w:r>
              <w:rPr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b/>
                <w:bCs/>
                <w:spacing w:val="-1"/>
                <w:sz w:val="23"/>
                <w:szCs w:val="23"/>
              </w:rPr>
              <w:t>характеристики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:rsidR="001C7364" w:rsidRDefault="001C7364">
            <w:pPr>
              <w:jc w:val="center"/>
              <w:rPr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Номинальное напряжение ОПН, кВ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96-100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 пропускной способности,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Наибольшее длительно допустимое рабочее напряжение, кВ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77-80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Номинальный разрядный ток на волне 8/20 мкс, кА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Остающееся напряжение при коммутационном импульсе тока 30/60 мкс с амплитудой: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159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500А, кВ, не более</w:t>
            </w:r>
            <w:r>
              <w:rPr>
                <w:sz w:val="23"/>
                <w:szCs w:val="23"/>
                <w:lang w:val="en-US"/>
              </w:rPr>
              <w:t>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159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 А, кВ, не более</w:t>
            </w:r>
            <w:r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Остающееся напряжение при грозовом импульсе тока 8/20 мкс с амплитудой: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159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5000А, кВ, не более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159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10000А, кВ, не более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159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20000А, кВ, не более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Заряд пропускной способности, Кл,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Тепловой заряд, Кл,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Допустимые повышения напряжения ОПН, нагретого до 60 °С, в течение 10 с, кВ, не менее: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Устройство взрывобезопасности для сброса давления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устройства взрывобезопасности для сброса давления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Предусмотреть интерфейс (цифровой (RS 485) или дискретными сигналами (сухой контакт)) для свази и обмена информации с АСУ ТП (САУ ОС)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радиопомех при напряжении 1,05 Uнр, мкВ, не более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2500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системе мониторинга технического  состояния ОПН</w:t>
            </w:r>
          </w:p>
        </w:tc>
        <w:tc>
          <w:tcPr>
            <w:tcW w:w="2669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диагностики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Непрерывная, под рабочим напряжением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связи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беспроводная, радиоканал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Частота, МГц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863-870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Измерение полной активной составляющей тока проводимости (утечки)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235" w:hanging="2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измерение 1 и 3 гармоники тока проводимости (утечки)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235" w:hanging="2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фиксация амплитуды тока и числа срабатываний ОПН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74" w:type="dxa"/>
            <w:gridSpan w:val="2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</w:rPr>
              <w:t>Требования к внешней изоляции по ГОСТ 1516.3-96, ГОСТ Р 52725-2021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Испытательное напряжение грозового импульса, (при номинальном разрядном токе) кВ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pacing w:val="-1"/>
                <w:position w:val="3"/>
                <w:sz w:val="23"/>
                <w:szCs w:val="23"/>
              </w:rPr>
              <w:t>1,3</w:t>
            </w:r>
            <w:r>
              <w:rPr>
                <w:spacing w:val="-1"/>
                <w:position w:val="3"/>
                <w:sz w:val="23"/>
                <w:szCs w:val="23"/>
                <w:lang w:val="en-US"/>
              </w:rPr>
              <w:t>х</w:t>
            </w:r>
            <w:r>
              <w:rPr>
                <w:spacing w:val="-1"/>
                <w:position w:val="3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ост</w:t>
            </w:r>
            <w:r>
              <w:rPr>
                <w:sz w:val="23"/>
                <w:szCs w:val="23"/>
              </w:rPr>
              <w:t xml:space="preserve"> при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position w:val="3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н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Кратковременное (одноминутное) испытательное напряжение промышленной частоты, (для амплитуды 1000А) кВ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1,06хU</w:t>
            </w:r>
            <w:r>
              <w:rPr>
                <w:spacing w:val="-1"/>
                <w:position w:val="-3"/>
                <w:sz w:val="23"/>
                <w:szCs w:val="23"/>
              </w:rPr>
              <w:t>ост</w:t>
            </w:r>
            <w:r>
              <w:rPr>
                <w:position w:val="-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при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5"/>
                <w:sz w:val="23"/>
                <w:szCs w:val="23"/>
              </w:rPr>
              <w:t xml:space="preserve"> </w:t>
            </w:r>
            <w:r>
              <w:rPr>
                <w:spacing w:val="-1"/>
                <w:position w:val="-3"/>
                <w:sz w:val="23"/>
                <w:szCs w:val="23"/>
              </w:rPr>
              <w:t>30/60</w:t>
            </w:r>
            <w:r>
              <w:rPr>
                <w:position w:val="-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</w:t>
            </w:r>
            <w:r>
              <w:rPr>
                <w:spacing w:val="2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position w:val="-3"/>
                <w:sz w:val="23"/>
                <w:szCs w:val="23"/>
              </w:rPr>
              <w:t>max</w:t>
            </w:r>
            <w:r>
              <w:rPr>
                <w:spacing w:val="-1"/>
                <w:position w:val="-3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=1000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Удельная длина пути утечки внешней изоляции (по ГОСТ 9920–89 и ПУЭ 7-го издания), см/кВ,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2,</w:t>
            </w:r>
            <w:r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применении полимерной внешней изоляции провести испытания на трекинг-эрозионную стойкость (Да/Нет)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1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Протокол испытания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74" w:type="dxa"/>
            <w:gridSpan w:val="2"/>
            <w:shd w:val="clear" w:color="auto" w:fill="E7E6E6" w:themeFill="background2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Технические требования к конструкции, изготовлению и материалам ОПН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установки ОПН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наружная, опорная,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внешней изоляции (Полимерная/Форфоровая)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Полимерная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 полимерной покрышки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Указать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ОПН поставляется с изолирующим основанием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 xml:space="preserve">Масса </w:t>
            </w:r>
            <w:r>
              <w:rPr>
                <w:spacing w:val="-1"/>
                <w:sz w:val="23"/>
                <w:szCs w:val="23"/>
                <w:lang w:val="en-US"/>
              </w:rPr>
              <w:t>оборудования</w:t>
            </w:r>
            <w:r>
              <w:rPr>
                <w:spacing w:val="-1"/>
                <w:sz w:val="23"/>
                <w:szCs w:val="23"/>
              </w:rPr>
              <w:t>, кг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Чертёж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  <w:lang w:val="en-US"/>
              </w:rPr>
              <w:t>Габаритные размеры (ВхШхГ)</w:t>
            </w:r>
            <w:r>
              <w:rPr>
                <w:spacing w:val="-1"/>
                <w:sz w:val="23"/>
                <w:szCs w:val="23"/>
              </w:rPr>
              <w:t>, кг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Чертёж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 xml:space="preserve">Механическая </w:t>
            </w:r>
            <w:r>
              <w:rPr>
                <w:sz w:val="23"/>
                <w:szCs w:val="23"/>
              </w:rPr>
              <w:t>нагрузка от тяжения проводов в</w:t>
            </w:r>
            <w:r>
              <w:rPr>
                <w:spacing w:val="-1"/>
                <w:sz w:val="23"/>
                <w:szCs w:val="23"/>
              </w:rPr>
              <w:t xml:space="preserve"> горизонтальном направлении</w:t>
            </w:r>
            <w:r>
              <w:rPr>
                <w:sz w:val="23"/>
                <w:szCs w:val="23"/>
              </w:rPr>
              <w:t>, в соответствии с п.5.4.6.1 ГОС Т Р 52725-2021, Н,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не</w:t>
            </w:r>
            <w:r>
              <w:rPr>
                <w:spacing w:val="-1"/>
                <w:sz w:val="23"/>
                <w:szCs w:val="23"/>
              </w:rPr>
              <w:t xml:space="preserve">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Конструктивное исполнение контактных выводов должны быть разработаны в соответствии с ГОСТ 10434-82, ГОСТ 21242-75 и ГОСТ 24753-81 и иметь возможность подключения аппаратного зажима А2А (Да/Нет)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1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 контактных выводов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pacing w:val="-1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Алюминий</w:t>
            </w:r>
            <w:r>
              <w:rPr>
                <w:sz w:val="23"/>
                <w:szCs w:val="23"/>
                <w:lang w:val="en-US"/>
              </w:rPr>
              <w:t xml:space="preserve"> (Al)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 xml:space="preserve">Таблички и надписи, располагаемые на ОПН выполнить </w:t>
            </w:r>
            <w:r>
              <w:rPr>
                <w:sz w:val="23"/>
                <w:szCs w:val="23"/>
              </w:rPr>
              <w:t>из нержавеющей стали, термостойкая краска стойкой к воздействию солнечных лучей</w:t>
            </w:r>
            <w:r>
              <w:rPr>
                <w:spacing w:val="-1"/>
                <w:sz w:val="23"/>
                <w:szCs w:val="23"/>
              </w:rPr>
              <w:t xml:space="preserve">, ГОСТ Р 52725-2021, </w:t>
            </w:r>
            <w:r>
              <w:rPr>
                <w:sz w:val="23"/>
                <w:szCs w:val="23"/>
              </w:rPr>
              <w:t>(цвет и наименование согласовываются с Заказчиком)</w:t>
            </w:r>
            <w:r>
              <w:rPr>
                <w:spacing w:val="-1"/>
                <w:sz w:val="23"/>
                <w:szCs w:val="23"/>
              </w:rPr>
              <w:t xml:space="preserve"> Да/Нет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pacing w:val="-1"/>
                <w:sz w:val="23"/>
                <w:szCs w:val="23"/>
                <w:lang w:val="en-US"/>
              </w:rPr>
            </w:pPr>
            <w:r>
              <w:rPr>
                <w:spacing w:val="-1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Требования</w:t>
            </w:r>
            <w:r>
              <w:rPr>
                <w:b/>
                <w:bCs/>
                <w:sz w:val="23"/>
                <w:szCs w:val="23"/>
              </w:rPr>
              <w:t xml:space="preserve"> по безопасности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591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pStyle w:val="formattex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Значения тока взрывобезопасности по ГОСТ Р 52725-2021 (пп 5.4.10, 8.18)</w:t>
            </w:r>
            <w:r>
              <w:rPr>
                <w:spacing w:val="-1"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кА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Указать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 xml:space="preserve">Пожаробезопасность </w:t>
            </w:r>
            <w:r>
              <w:rPr>
                <w:sz w:val="23"/>
                <w:szCs w:val="23"/>
              </w:rPr>
              <w:t>по ГОСТ Р 52725-2021 (пп 5.4.13, 8.21) Да/Нет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Безопасность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 xml:space="preserve">оборудования </w:t>
            </w:r>
            <w:r>
              <w:rPr>
                <w:sz w:val="23"/>
                <w:szCs w:val="23"/>
              </w:rPr>
              <w:t>по п. 6 ГОСТ Р 52725-2021, Да/Нет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Российский</w:t>
            </w:r>
            <w:r>
              <w:rPr>
                <w:spacing w:val="-16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Сертификат</w:t>
            </w:r>
            <w:r>
              <w:rPr>
                <w:spacing w:val="-19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безопасности, с действующим сроком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дату и номер документа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соответствия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pacing w:val="-8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ОПН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</w:t>
            </w:r>
            <w:r>
              <w:rPr>
                <w:sz w:val="23"/>
                <w:szCs w:val="23"/>
              </w:rPr>
              <w:lastRenderedPageBreak/>
              <w:t xml:space="preserve">основании которых выданы декларации (в том числе, но не ограничиваясь: протокол испытаний и измерений, выполненных согласно  ГОСТ Р </w:t>
            </w:r>
            <w:r>
              <w:rPr>
                <w:spacing w:val="-1"/>
                <w:sz w:val="23"/>
                <w:szCs w:val="23"/>
              </w:rPr>
              <w:t>52725-2021</w:t>
            </w:r>
            <w:r>
              <w:rPr>
                <w:sz w:val="23"/>
                <w:szCs w:val="23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Указать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дату и номер документа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(Декларация о соответствии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Требования</w:t>
            </w:r>
            <w:r>
              <w:rPr>
                <w:b/>
                <w:bCs/>
                <w:sz w:val="23"/>
                <w:szCs w:val="23"/>
              </w:rPr>
              <w:t xml:space="preserve"> по надежности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591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</w:t>
            </w:r>
            <w:r>
              <w:rPr>
                <w:spacing w:val="-1"/>
                <w:sz w:val="23"/>
                <w:szCs w:val="23"/>
              </w:rPr>
              <w:t>службы</w:t>
            </w:r>
            <w:r>
              <w:rPr>
                <w:sz w:val="23"/>
                <w:szCs w:val="23"/>
              </w:rPr>
              <w:t xml:space="preserve"> до </w:t>
            </w:r>
            <w:r>
              <w:rPr>
                <w:spacing w:val="-1"/>
                <w:sz w:val="23"/>
                <w:szCs w:val="23"/>
              </w:rPr>
              <w:t>списания,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лет</w:t>
            </w:r>
            <w:r>
              <w:rPr>
                <w:sz w:val="23"/>
                <w:szCs w:val="23"/>
              </w:rPr>
              <w:t xml:space="preserve">  не</w:t>
            </w:r>
            <w:r>
              <w:rPr>
                <w:spacing w:val="-1"/>
                <w:sz w:val="23"/>
                <w:szCs w:val="23"/>
              </w:rPr>
              <w:t xml:space="preserve">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Гарантийный срок эксплуатации, месяцев,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месяцев со дня ввода Объекта в эксплуатацию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Гарантийный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срок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сохраняемости,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лет,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74" w:type="dxa"/>
            <w:gridSpan w:val="2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маркировке, упаковке, транспортировке, перемещению, условиям хранения</w:t>
            </w:r>
          </w:p>
        </w:tc>
        <w:tc>
          <w:tcPr>
            <w:tcW w:w="2591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Маркировка, упаковка и консервация по ГОСТ Р 52725-2021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Упаковка оборудования должна (п. 5.8, ГОСТ Р 52725-2021):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459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соответствовать </w:t>
            </w:r>
            <w:r>
              <w:rPr>
                <w:sz w:val="23"/>
                <w:szCs w:val="23"/>
              </w:rPr>
              <w:t>ГОСТ 23216-78</w:t>
            </w:r>
            <w:r>
              <w:rPr>
                <w:sz w:val="23"/>
                <w:szCs w:val="23"/>
                <w:lang w:val="en-US"/>
              </w:rPr>
              <w:t>, Да/Нет: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459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вид транспортной тары: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459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внутренней упаковки: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Да</w:t>
            </w:r>
          </w:p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ТЭ</w:t>
            </w:r>
          </w:p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ВУ-I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транспортирования оборудования (п. 9. ГОСТ Р 52725-2021), в части: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459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механических внешних воздействующих факторов, по ГОСТ 23216-78: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459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воздействия климатических факторов, ГОСТ 15150-69:</w:t>
            </w:r>
          </w:p>
          <w:p w:rsidR="001C7364" w:rsidRDefault="007A140A">
            <w:pPr>
              <w:pStyle w:val="afe"/>
              <w:numPr>
                <w:ilvl w:val="0"/>
                <w:numId w:val="12"/>
              </w:numPr>
              <w:suppressAutoHyphens w:val="0"/>
              <w:ind w:left="459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перегрузок, не более: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1C7364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Средние (С)</w:t>
            </w:r>
          </w:p>
          <w:p w:rsidR="001C7364" w:rsidRDefault="007A140A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5(ОЖ4)</w:t>
            </w:r>
          </w:p>
          <w:p w:rsidR="001C7364" w:rsidRDefault="007A140A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pStyle w:val="formattex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хранения ограничителей в заводской упаковке в части воздействия климатических факторов по ГОСТ 15150-69, не менее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pStyle w:val="formattex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сохраняемости оборудования в упаковке, год, не более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pStyle w:val="formattext"/>
              <w:spacing w:beforeAutospacing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1C7364" w:rsidRDefault="001C7364">
            <w:pPr>
              <w:pStyle w:val="afe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Комплект поставки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591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Ограничитель перенапряжения 110 кВ с полимерной изоляцией в комплекте с изолирующим основанием, регистратором срабатывания и датчиком тока, У1, в комплекте с опорной </w:t>
            </w:r>
            <w:r>
              <w:rPr>
                <w:sz w:val="23"/>
                <w:szCs w:val="23"/>
              </w:rPr>
              <w:lastRenderedPageBreak/>
              <w:t>оцинкованной металлоконструкцией Н=3200 мм шт.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Устройство мониторинга состояния ОПН компл.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Ограничитель перенапряжения 110 кВ с полимерной изоляцией в комплекте с изолирующим основанием, регистратором срабатывания и датчиком тока, У1 шт.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Групповой комплект ЗИП для ОПН и системы мониторинга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1C7364" w:rsidRDefault="001C7364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Комплект эксплуатационной документации на русском языке. Паспорт с результатами приемосдаточных испытаний. Руководство по монтажу и эксплуатации.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2476BE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2476BE" w:rsidRDefault="002476BE" w:rsidP="002476BE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Доставка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Место поставки/адрес:</w:t>
            </w:r>
          </w:p>
          <w:p w:rsidR="002476BE" w:rsidRDefault="002476BE" w:rsidP="002476BE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2476BE" w:rsidRDefault="002476BE" w:rsidP="002476BE">
            <w:pPr>
              <w:pStyle w:val="afe"/>
              <w:widowControl w:val="0"/>
              <w:numPr>
                <w:ilvl w:val="0"/>
                <w:numId w:val="14"/>
              </w:numPr>
              <w:ind w:left="312" w:hanging="131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2476BE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2476BE" w:rsidRDefault="002476BE" w:rsidP="002476BE">
            <w:pPr>
              <w:pStyle w:val="afe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 xml:space="preserve"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</w:t>
            </w:r>
            <w:r>
              <w:rPr>
                <w:rFonts w:eastAsia="Calibri"/>
                <w:spacing w:val="-1"/>
                <w:sz w:val="23"/>
                <w:szCs w:val="23"/>
              </w:rPr>
              <w:lastRenderedPageBreak/>
              <w:t>которое не было в употреблении, не проходило ремонт, в том числе восстановление, замену</w:t>
            </w:r>
          </w:p>
          <w:p w:rsidR="002476BE" w:rsidRDefault="002476BE" w:rsidP="002476BE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составных частей, восстановление потребительских свойств.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lastRenderedPageBreak/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2476BE" w:rsidRDefault="002476BE" w:rsidP="002476BE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3A11E9">
        <w:trPr>
          <w:jc w:val="center"/>
        </w:trPr>
        <w:tc>
          <w:tcPr>
            <w:tcW w:w="847" w:type="dxa"/>
            <w:shd w:val="clear" w:color="auto" w:fill="E7E6E6" w:themeFill="background2"/>
            <w:vAlign w:val="center"/>
          </w:tcPr>
          <w:p w:rsidR="003A11E9" w:rsidRDefault="003A11E9" w:rsidP="003A11E9">
            <w:pPr>
              <w:pStyle w:val="afe"/>
              <w:numPr>
                <w:ilvl w:val="0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E7E6E6" w:themeFill="background2"/>
          </w:tcPr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сопутствующим услугам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:rsidR="003A11E9" w:rsidRDefault="003A11E9" w:rsidP="003A11E9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3A11E9" w:rsidRDefault="003A11E9" w:rsidP="003A11E9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:rsidR="003A11E9" w:rsidRDefault="003A11E9" w:rsidP="003A11E9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</w:rPr>
            </w:pPr>
          </w:p>
        </w:tc>
      </w:tr>
      <w:tr w:rsidR="003A11E9" w:rsidTr="00396814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</w:tcPr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Входной контроль:</w:t>
            </w:r>
          </w:p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396814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</w:tcPr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Функциональные обязанности:</w:t>
            </w:r>
          </w:p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Согласование графиков выполнения работ;</w:t>
            </w:r>
          </w:p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консультации и сопровождение (надзор) работ, выполняемых специалистами монтажной организации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396814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</w:tcPr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изготовителей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396814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</w:tcPr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396814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</w:tcPr>
          <w:p w:rsidR="003A11E9" w:rsidRDefault="003A11E9" w:rsidP="003A11E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Объем услуг шефмонтажа и Шефналадка должен соответствовать требованиям настоящих ТТ, а также требованиям ГОСТ Р 56203-2015.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Шефперсонал должен иметь: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-заверенные копии документов о прохождении обучения и аттестации по специальности или удостоверения установленного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образца, удостоверения по проверке знаний требований охраны труда;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службе по экологическому технологическому и атомному надзору) в случае выполнения работ на ОПО, объектах энергетики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(тепловые-, электроустановки и сети);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9343F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3A11E9" w:rsidRDefault="003A11E9" w:rsidP="003A11E9">
            <w:pPr>
              <w:pStyle w:val="afe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Шефмонтажные (услуги) Оборудования должны быть выполнены (с обеспечением контроля метрологических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 контрольно-измерительной приборов (далее по тексту – КИП)), согласно требованиям эксплуатационной документации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проведения работ и приёмки оборудования в эксплуатацию.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A11E9" w:rsidRDefault="003A11E9" w:rsidP="003A11E9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A11E9" w:rsidTr="009343FA">
        <w:trPr>
          <w:jc w:val="center"/>
        </w:trPr>
        <w:tc>
          <w:tcPr>
            <w:tcW w:w="847" w:type="dxa"/>
            <w:shd w:val="clear" w:color="auto" w:fill="D9D9D9" w:themeFill="background1" w:themeFillShade="D9"/>
          </w:tcPr>
          <w:p w:rsidR="003A11E9" w:rsidRDefault="003A11E9" w:rsidP="003A11E9">
            <w:pPr>
              <w:pStyle w:val="afe"/>
              <w:widowControl w:val="0"/>
              <w:numPr>
                <w:ilvl w:val="0"/>
                <w:numId w:val="24"/>
              </w:numPr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05" w:type="dxa"/>
            <w:shd w:val="clear" w:color="auto" w:fill="D9D9D9" w:themeFill="background1" w:themeFillShade="D9"/>
          </w:tcPr>
          <w:p w:rsidR="003A11E9" w:rsidRDefault="003A11E9" w:rsidP="003A11E9">
            <w:pPr>
              <w:widowControl w:val="0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составу Технической документации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3A11E9" w:rsidRDefault="003A11E9" w:rsidP="003A11E9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:rsidR="003A11E9" w:rsidRDefault="003A11E9" w:rsidP="003A11E9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3A11E9" w:rsidRDefault="003A11E9" w:rsidP="003A11E9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84" w:type="dxa"/>
            <w:shd w:val="clear" w:color="auto" w:fill="D9D9D9" w:themeFill="background1" w:themeFillShade="D9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3A11E9" w:rsidTr="009343FA">
        <w:trPr>
          <w:jc w:val="center"/>
        </w:trPr>
        <w:tc>
          <w:tcPr>
            <w:tcW w:w="847" w:type="dxa"/>
          </w:tcPr>
          <w:p w:rsidR="003A11E9" w:rsidRDefault="003A11E9" w:rsidP="003A11E9">
            <w:pPr>
              <w:pStyle w:val="afe"/>
              <w:widowControl w:val="0"/>
              <w:numPr>
                <w:ilvl w:val="1"/>
                <w:numId w:val="24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405" w:type="dxa"/>
          </w:tcPr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Техническая в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составе: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- инструкция по транспортированию, разгрузке, хранению, монтажу и вводу в эксплуатацию;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управления, защиты и сигнализации;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сигналов;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Оборудование;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Схемы табличек с паспортными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данными и оперативными наименованиями;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Ведомость ЗИП;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3A11E9" w:rsidRDefault="003A11E9" w:rsidP="003A11E9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669" w:type="dxa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</w:p>
        </w:tc>
        <w:tc>
          <w:tcPr>
            <w:tcW w:w="2591" w:type="dxa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474" w:type="dxa"/>
          </w:tcPr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3A11E9" w:rsidRDefault="003A11E9" w:rsidP="003A11E9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84" w:type="dxa"/>
          </w:tcPr>
          <w:p w:rsidR="003A11E9" w:rsidRDefault="003A11E9" w:rsidP="003A1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1C7364" w:rsidRDefault="001C7364">
      <w:pPr>
        <w:widowControl w:val="0"/>
        <w:tabs>
          <w:tab w:val="left" w:pos="426"/>
        </w:tabs>
        <w:spacing w:before="120" w:after="120"/>
        <w:jc w:val="both"/>
      </w:pPr>
    </w:p>
    <w:p w:rsidR="001C7364" w:rsidRDefault="001C7364">
      <w:pPr>
        <w:widowControl w:val="0"/>
        <w:tabs>
          <w:tab w:val="left" w:pos="426"/>
        </w:tabs>
        <w:spacing w:before="120" w:after="120"/>
        <w:jc w:val="both"/>
      </w:pPr>
    </w:p>
    <w:p w:rsidR="001C7364" w:rsidRPr="002476BE" w:rsidRDefault="007A140A" w:rsidP="002476BE">
      <w:pPr>
        <w:pStyle w:val="22"/>
        <w:rPr>
          <w:lang w:val="ru-RU"/>
        </w:rPr>
      </w:pPr>
      <w:r>
        <w:br w:type="textWrapping" w:clear="all"/>
      </w:r>
    </w:p>
    <w:sectPr w:rsidR="001C7364" w:rsidRPr="002476BE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BE" w:rsidRDefault="002476BE">
      <w:r>
        <w:separator/>
      </w:r>
    </w:p>
  </w:endnote>
  <w:endnote w:type="continuationSeparator" w:id="0">
    <w:p w:rsidR="002476BE" w:rsidRDefault="0024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BE" w:rsidRDefault="002476BE">
      <w:r>
        <w:separator/>
      </w:r>
    </w:p>
  </w:footnote>
  <w:footnote w:type="continuationSeparator" w:id="0">
    <w:p w:rsidR="002476BE" w:rsidRDefault="0024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>
    <w:pPr>
      <w:pStyle w:val="af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19EB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76BE" w:rsidRDefault="002476BE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19EBE2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476BE" w:rsidRDefault="002476BE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233E3C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233E3C"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233E3C">
      <w:rPr>
        <w:noProof/>
      </w:rPr>
      <w:t>22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E" w:rsidRDefault="002476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E16"/>
    <w:multiLevelType w:val="multilevel"/>
    <w:tmpl w:val="0419001F"/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E4F00A2"/>
    <w:multiLevelType w:val="multilevel"/>
    <w:tmpl w:val="1036310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F2B597F"/>
    <w:multiLevelType w:val="multilevel"/>
    <w:tmpl w:val="55C83C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4229FE"/>
    <w:multiLevelType w:val="multilevel"/>
    <w:tmpl w:val="45BA45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C1648"/>
    <w:multiLevelType w:val="multilevel"/>
    <w:tmpl w:val="0419001F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68F7F51"/>
    <w:multiLevelType w:val="multilevel"/>
    <w:tmpl w:val="2E76C6D2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8B31C55"/>
    <w:multiLevelType w:val="multilevel"/>
    <w:tmpl w:val="50C0315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38A13932"/>
    <w:multiLevelType w:val="multilevel"/>
    <w:tmpl w:val="ECD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CF83E4F"/>
    <w:multiLevelType w:val="multilevel"/>
    <w:tmpl w:val="42E84C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EB66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7C87DCB"/>
    <w:multiLevelType w:val="multilevel"/>
    <w:tmpl w:val="5D20FF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940774"/>
    <w:multiLevelType w:val="multilevel"/>
    <w:tmpl w:val="21DC4D1A"/>
    <w:lvl w:ilvl="0">
      <w:start w:val="1"/>
      <w:numFmt w:val="decimal"/>
      <w:pStyle w:val="41"/>
      <w:lvlText w:val=" %1 "/>
      <w:lvlJc w:val="left"/>
      <w:pPr>
        <w:tabs>
          <w:tab w:val="num" w:pos="0"/>
        </w:tabs>
        <w:ind w:left="-207" w:hanging="360"/>
      </w:pPr>
    </w:lvl>
    <w:lvl w:ilvl="1">
      <w:start w:val="1"/>
      <w:numFmt w:val="decimal"/>
      <w:pStyle w:val="21"/>
      <w:lvlText w:val=" %1.%2 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pStyle w:val="31"/>
      <w:lvlText w:val=" %1.%2.%3 "/>
      <w:lvlJc w:val="left"/>
      <w:pPr>
        <w:tabs>
          <w:tab w:val="num" w:pos="1233"/>
        </w:tabs>
        <w:ind w:left="1233" w:hanging="360"/>
      </w:pPr>
    </w:lvl>
    <w:lvl w:ilvl="3">
      <w:start w:val="1"/>
      <w:numFmt w:val="decimal"/>
      <w:lvlText w:val=" %1.%2.%3.%4 "/>
      <w:lvlJc w:val="left"/>
      <w:pPr>
        <w:tabs>
          <w:tab w:val="num" w:pos="1953"/>
        </w:tabs>
        <w:ind w:left="1953" w:hanging="360"/>
      </w:pPr>
    </w:lvl>
    <w:lvl w:ilvl="4">
      <w:start w:val="1"/>
      <w:numFmt w:val="decimal"/>
      <w:lvlText w:val=" %1.%2.%3.%4.%5 "/>
      <w:lvlJc w:val="left"/>
      <w:pPr>
        <w:tabs>
          <w:tab w:val="num" w:pos="2673"/>
        </w:tabs>
        <w:ind w:left="2673" w:hanging="360"/>
      </w:pPr>
    </w:lvl>
    <w:lvl w:ilvl="5">
      <w:start w:val="1"/>
      <w:numFmt w:val="decimal"/>
      <w:lvlText w:val=" %1.%2.%3.%4.%5.%6 "/>
      <w:lvlJc w:val="left"/>
      <w:pPr>
        <w:tabs>
          <w:tab w:val="num" w:pos="3393"/>
        </w:tabs>
        <w:ind w:left="3393" w:hanging="360"/>
      </w:pPr>
    </w:lvl>
    <w:lvl w:ilvl="6">
      <w:start w:val="1"/>
      <w:numFmt w:val="decimal"/>
      <w:lvlText w:val=" %1.%2.%3.%4.%5.%6.%7 "/>
      <w:lvlJc w:val="left"/>
      <w:pPr>
        <w:tabs>
          <w:tab w:val="num" w:pos="4113"/>
        </w:tabs>
        <w:ind w:left="4113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4833"/>
        </w:tabs>
        <w:ind w:left="4833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5553"/>
        </w:tabs>
        <w:ind w:left="5553" w:hanging="360"/>
      </w:pPr>
    </w:lvl>
  </w:abstractNum>
  <w:abstractNum w:abstractNumId="12" w15:restartNumberingAfterBreak="0">
    <w:nsid w:val="4D713F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F6E7810"/>
    <w:multiLevelType w:val="multilevel"/>
    <w:tmpl w:val="7BF83A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C32F11"/>
    <w:multiLevelType w:val="multilevel"/>
    <w:tmpl w:val="AEF6B6F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295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CBF4A3D"/>
    <w:multiLevelType w:val="multilevel"/>
    <w:tmpl w:val="BB16BF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C97395"/>
    <w:multiLevelType w:val="multilevel"/>
    <w:tmpl w:val="F29E203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8" w15:restartNumberingAfterBreak="0">
    <w:nsid w:val="66A063D7"/>
    <w:multiLevelType w:val="multilevel"/>
    <w:tmpl w:val="ECFAB50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632013"/>
    <w:multiLevelType w:val="multilevel"/>
    <w:tmpl w:val="0419001F"/>
    <w:lvl w:ilvl="0">
      <w:start w:val="2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6AC430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6CE67CC6"/>
    <w:multiLevelType w:val="hybridMultilevel"/>
    <w:tmpl w:val="5B424D9C"/>
    <w:lvl w:ilvl="0" w:tplc="6D1AF846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2" w15:restartNumberingAfterBreak="0">
    <w:nsid w:val="6FDD39F2"/>
    <w:multiLevelType w:val="multilevel"/>
    <w:tmpl w:val="43300C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77D507F6"/>
    <w:multiLevelType w:val="hybridMultilevel"/>
    <w:tmpl w:val="DDFC8DA0"/>
    <w:lvl w:ilvl="0" w:tplc="71D8E21C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20"/>
  </w:num>
  <w:num w:numId="10">
    <w:abstractNumId w:val="16"/>
  </w:num>
  <w:num w:numId="11">
    <w:abstractNumId w:val="13"/>
  </w:num>
  <w:num w:numId="12">
    <w:abstractNumId w:val="3"/>
  </w:num>
  <w:num w:numId="13">
    <w:abstractNumId w:val="2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4"/>
  </w:num>
  <w:num w:numId="19">
    <w:abstractNumId w:val="19"/>
  </w:num>
  <w:num w:numId="20">
    <w:abstractNumId w:val="7"/>
  </w:num>
  <w:num w:numId="21">
    <w:abstractNumId w:val="21"/>
  </w:num>
  <w:num w:numId="22">
    <w:abstractNumId w:val="23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64"/>
    <w:rsid w:val="000B3D07"/>
    <w:rsid w:val="001C7364"/>
    <w:rsid w:val="00233E3C"/>
    <w:rsid w:val="002476BE"/>
    <w:rsid w:val="003A11E9"/>
    <w:rsid w:val="00531041"/>
    <w:rsid w:val="006F00D1"/>
    <w:rsid w:val="007A140A"/>
    <w:rsid w:val="00923084"/>
    <w:rsid w:val="009343FA"/>
    <w:rsid w:val="00B51EA2"/>
    <w:rsid w:val="00C81FA1"/>
    <w:rsid w:val="00D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6380"/>
  <w15:docId w15:val="{EED10B45-15E5-4A42-AF42-72AF2EE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Textbody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sid w:val="003879D4"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a">
    <w:name w:val="Ссылка указателя"/>
    <w:qFormat/>
  </w:style>
  <w:style w:type="character" w:customStyle="1" w:styleId="affb">
    <w:name w:val="Маркеры"/>
    <w:qFormat/>
    <w:rPr>
      <w:rFonts w:ascii="OpenSymbol" w:eastAsia="OpenSymbol" w:hAnsi="OpenSymbol" w:cs="OpenSymbol"/>
    </w:rPr>
  </w:style>
  <w:style w:type="character" w:styleId="affc">
    <w:name w:val="Strong"/>
    <w:qFormat/>
    <w:rPr>
      <w:b/>
      <w:bCs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">
    <w:name w:val="Текст выноски Знак"/>
    <w:basedOn w:val="a4"/>
    <w:link w:val="afff0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1">
    <w:name w:val="line number"/>
    <w:qFormat/>
    <w:rsid w:val="008A4CBC"/>
  </w:style>
  <w:style w:type="character" w:customStyle="1" w:styleId="afff2">
    <w:name w:val="Символ нумерации"/>
    <w:qFormat/>
  </w:style>
  <w:style w:type="character" w:customStyle="1" w:styleId="Internetlink">
    <w:name w:val="Internet link"/>
    <w:qFormat/>
    <w:rsid w:val="00BC25EB"/>
    <w:rPr>
      <w:color w:val="000080"/>
      <w:u w:val="single"/>
    </w:rPr>
  </w:style>
  <w:style w:type="paragraph" w:customStyle="1" w:styleId="16">
    <w:name w:val="Заголовок1"/>
    <w:basedOn w:val="Standard"/>
    <w:next w:val="Textbody"/>
    <w:qFormat/>
    <w:rsid w:val="00BC25EB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ff3">
    <w:name w:val="Body Text"/>
    <w:basedOn w:val="a3"/>
    <w:qFormat/>
    <w:rsid w:val="0076353A"/>
    <w:pPr>
      <w:spacing w:after="120"/>
    </w:pPr>
  </w:style>
  <w:style w:type="paragraph" w:styleId="afff4">
    <w:name w:val="List"/>
    <w:basedOn w:val="afff3"/>
  </w:style>
  <w:style w:type="paragraph" w:styleId="afff5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Standard"/>
    <w:qFormat/>
    <w:rsid w:val="00BC25EB"/>
    <w:pPr>
      <w:suppressLineNumbers/>
    </w:pPr>
  </w:style>
  <w:style w:type="paragraph" w:styleId="afff6">
    <w:name w:val="Title"/>
    <w:basedOn w:val="a3"/>
    <w:next w:val="afff3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6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6"/>
    <w:qFormat/>
  </w:style>
  <w:style w:type="paragraph" w:customStyle="1" w:styleId="afff7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8">
    <w:name w:val="Колонтитул"/>
    <w:basedOn w:val="a3"/>
    <w:qFormat/>
  </w:style>
  <w:style w:type="paragraph" w:styleId="aff3">
    <w:name w:val="header"/>
    <w:basedOn w:val="a3"/>
    <w:link w:val="aff2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9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a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b">
    <w:name w:val="Раздел регламента"/>
    <w:basedOn w:val="a3"/>
    <w:qFormat/>
    <w:rsid w:val="00E228FA"/>
  </w:style>
  <w:style w:type="paragraph" w:customStyle="1" w:styleId="afffc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3"/>
    <w:link w:val="afff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d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index heading"/>
    <w:basedOn w:val="16"/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9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Standard"/>
    <w:qFormat/>
    <w:rsid w:val="00BC25EB"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rsid w:val="00BC25EB"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BC25EB"/>
    <w:pPr>
      <w:textAlignment w:val="baseline"/>
    </w:pPr>
    <w:rPr>
      <w:rFonts w:ascii="Liberation Serif" w:eastAsia="Noto Serif CJK SC" w:hAnsi="Liberation Serif" w:cs="Arial Unicode M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afc"/>
    <w:qFormat/>
    <w:rsid w:val="00BC25EB"/>
    <w:pPr>
      <w:spacing w:after="140" w:line="276" w:lineRule="auto"/>
    </w:p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4954751991">
    <w:name w:val="34954751991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E94BD7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1D0B-FC7B-4D44-AFE0-2600A30D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Гусейнов Гусейн Магомедович</cp:lastModifiedBy>
  <cp:revision>5</cp:revision>
  <cp:lastPrinted>2006-07-26T14:04:00Z</cp:lastPrinted>
  <dcterms:created xsi:type="dcterms:W3CDTF">2026-06-26T10:36:00Z</dcterms:created>
  <dcterms:modified xsi:type="dcterms:W3CDTF">2026-06-26T11:23:00Z</dcterms:modified>
  <dc:language>ru-RU</dc:language>
</cp:coreProperties>
</file>