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64" w:rsidRDefault="001C7364">
      <w:pPr>
        <w:keepNext/>
        <w:keepLines/>
        <w:jc w:val="right"/>
        <w:rPr>
          <w:b/>
          <w:bCs/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rPr>
          <w:sz w:val="26"/>
          <w:szCs w:val="26"/>
        </w:rPr>
      </w:pPr>
    </w:p>
    <w:p w:rsidR="001C7364" w:rsidRDefault="001C736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7364" w:rsidRDefault="007A140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1C7364" w:rsidRDefault="007A140A">
      <w:pPr>
        <w:widowControl w:val="0"/>
        <w:tabs>
          <w:tab w:val="left" w:pos="426"/>
        </w:tabs>
        <w:spacing w:before="120" w:after="120"/>
        <w:jc w:val="center"/>
        <w:rPr>
          <w:rStyle w:val="aff"/>
          <w:rFonts w:eastAsia="Calibri"/>
          <w:sz w:val="26"/>
          <w:szCs w:val="26"/>
          <w:shd w:val="clear" w:color="auto" w:fill="auto"/>
        </w:rPr>
        <w:sectPr w:rsidR="001C7364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sz w:val="26"/>
          <w:szCs w:val="26"/>
        </w:rPr>
        <w:t xml:space="preserve">ОКПД 2 </w:t>
      </w:r>
      <w:r>
        <w:rPr>
          <w:rFonts w:eastAsia="Calibri"/>
          <w:color w:val="000000"/>
          <w:sz w:val="26"/>
          <w:szCs w:val="26"/>
        </w:rPr>
        <w:t>27.12.10.130 П</w:t>
      </w:r>
      <w:r>
        <w:rPr>
          <w:color w:val="000000"/>
          <w:sz w:val="26"/>
          <w:szCs w:val="26"/>
        </w:rPr>
        <w:t xml:space="preserve">оставка </w:t>
      </w:r>
      <w:r w:rsidR="00FE1EF9">
        <w:rPr>
          <w:rFonts w:eastAsia="Calibri"/>
          <w:color w:val="000000"/>
          <w:sz w:val="26"/>
          <w:szCs w:val="26"/>
        </w:rPr>
        <w:t>шинной опоры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110 кВ для нужд Дагестанского филиала АО “Гидроремонт-ВКК” в г.Махачкала</w:t>
      </w:r>
    </w:p>
    <w:p w:rsidR="001C7364" w:rsidRDefault="007A140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sz w:val="20"/>
          <w:szCs w:val="20"/>
        </w:rPr>
        <w:id w:val="1069533254"/>
        <w:docPartObj>
          <w:docPartGallery w:val="Table of Contents"/>
          <w:docPartUnique/>
        </w:docPartObj>
      </w:sdtPr>
      <w:sdtContent>
        <w:p w:rsidR="001C7364" w:rsidRDefault="007A140A">
          <w:pPr>
            <w:pStyle w:val="19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a"/>
              <w:rFonts w:eastAsia="Calibri"/>
              <w:webHidden/>
            </w:rPr>
            <w:instrText xml:space="preserve"> TOC \z \o "1-4" \u \h</w:instrText>
          </w:r>
          <w:r>
            <w:rPr>
              <w:rStyle w:val="affa"/>
              <w:rFonts w:eastAsia="Calibri"/>
            </w:rPr>
            <w:fldChar w:fldCharType="separate"/>
          </w:r>
          <w:hyperlink w:anchor="_Toc232082951">
            <w:r>
              <w:rPr>
                <w:rStyle w:val="affa"/>
                <w:rFonts w:eastAsia="Calibri"/>
                <w:webHidden/>
              </w:rPr>
              <w:t>1.</w:t>
            </w:r>
            <w:r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a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_Toc232082951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a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2">
            <w:r w:rsidR="007A140A">
              <w:rPr>
                <w:rStyle w:val="affa"/>
                <w:rFonts w:eastAsia="Calibri"/>
                <w:iCs/>
                <w:webHidden/>
              </w:rPr>
              <w:t>1.1.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Обозначения и сокращения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_Toc232082952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3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3">
            <w:r w:rsidR="007A140A">
              <w:rPr>
                <w:rStyle w:val="affa"/>
                <w:rFonts w:eastAsia="Calibri"/>
                <w:iCs/>
                <w:webHidden/>
              </w:rPr>
              <w:t>1.2.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Наименование закупаемой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_Toc232082953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4">
            <w:r w:rsidR="007A140A">
              <w:rPr>
                <w:rStyle w:val="affa"/>
                <w:rFonts w:eastAsia="Calibri"/>
                <w:iCs/>
                <w:webHidden/>
              </w:rPr>
              <w:t>1.3.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Цель использования закупаемой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_Toc232082954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19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5">
            <w:r w:rsidR="007A140A">
              <w:rPr>
                <w:rStyle w:val="affa"/>
                <w:rFonts w:eastAsia="Calibri"/>
                <w:webHidden/>
              </w:rPr>
              <w:t>2.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  <w:iCs/>
              </w:rPr>
              <w:t>Требования к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_Toc232082955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082956">
            <w:r w:rsidR="007A140A">
              <w:rPr>
                <w:rStyle w:val="affa"/>
                <w:rFonts w:eastAsia="Calibri"/>
                <w:iCs/>
                <w:webHidden/>
              </w:rPr>
              <w:t>2.1.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Требования к объемам и срокам поставки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_Toc232082956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2b"/>
            <w:tabs>
              <w:tab w:val="left" w:pos="84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7">
            <w:r w:rsidR="007A140A">
              <w:rPr>
                <w:rStyle w:val="affa"/>
                <w:rFonts w:eastAsia="Calibri"/>
                <w:webHidden/>
              </w:rPr>
              <w:t>2.1.1.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 xml:space="preserve"> Перечень и объем закупаемой продукции и услуг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_Toc232082957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8">
            <w:r w:rsidR="007A140A">
              <w:rPr>
                <w:rStyle w:val="affa"/>
                <w:rFonts w:eastAsia="Calibri"/>
                <w:webHidden/>
              </w:rPr>
              <w:t>Таблица 1.1 Перечень и объем закупаемой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_Toc232082958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59">
            <w:r w:rsidR="007A140A">
              <w:rPr>
                <w:rStyle w:val="affa"/>
                <w:rFonts w:eastAsia="Calibri"/>
                <w:webHidden/>
              </w:rPr>
              <w:t>Таблица 1.2 Перечень и объем закупаемых сопутствующих услуг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_Toc232082959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60">
            <w:r w:rsidR="007A140A">
              <w:rPr>
                <w:rStyle w:val="affa"/>
                <w:rFonts w:eastAsia="Calibri"/>
                <w:webHidden/>
              </w:rPr>
              <w:t>Таблица 2.1 Требования по срокам поставки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_Toc232082960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61">
            <w:r w:rsidR="007A140A">
              <w:rPr>
                <w:rStyle w:val="affa"/>
                <w:rFonts w:eastAsia="Calibri"/>
                <w:webHidden/>
              </w:rPr>
              <w:t>Таблица 2.2 Требования по срокам оказания услуг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_Toc232082961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4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19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62">
            <w:r w:rsidR="007A140A">
              <w:rPr>
                <w:rStyle w:val="affa"/>
                <w:rFonts w:eastAsia="Calibri"/>
                <w:webHidden/>
              </w:rPr>
              <w:t>3.</w:t>
            </w:r>
            <w:r w:rsidR="007A140A">
              <w:rPr>
                <w:rStyle w:val="aff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7A140A">
              <w:rPr>
                <w:rStyle w:val="affa"/>
                <w:rFonts w:eastAsia="Calibri"/>
              </w:rPr>
              <w:t>Требования к качеству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_Toc232082962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6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80187C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082963">
            <w:r w:rsidR="007A140A">
              <w:rPr>
                <w:rStyle w:val="affa"/>
                <w:rFonts w:eastAsia="Calibri"/>
                <w:webHidden/>
              </w:rPr>
              <w:t>Таблица 3.1 Требования к качеству продукции</w:t>
            </w:r>
            <w:r w:rsidR="007A140A">
              <w:rPr>
                <w:webHidden/>
              </w:rPr>
              <w:fldChar w:fldCharType="begin"/>
            </w:r>
            <w:r w:rsidR="007A140A">
              <w:rPr>
                <w:webHidden/>
              </w:rPr>
              <w:instrText>PAGEREF _Toc232082963 \h</w:instrText>
            </w:r>
            <w:r w:rsidR="007A140A">
              <w:rPr>
                <w:webHidden/>
              </w:rPr>
            </w:r>
            <w:r w:rsidR="007A140A">
              <w:rPr>
                <w:webHidden/>
              </w:rPr>
              <w:fldChar w:fldCharType="separate"/>
            </w:r>
            <w:r w:rsidR="007A140A">
              <w:rPr>
                <w:rStyle w:val="affa"/>
              </w:rPr>
              <w:tab/>
              <w:t>6</w:t>
            </w:r>
            <w:r w:rsidR="007A140A">
              <w:rPr>
                <w:webHidden/>
              </w:rPr>
              <w:fldChar w:fldCharType="end"/>
            </w:r>
          </w:hyperlink>
        </w:p>
        <w:p w:rsidR="001C7364" w:rsidRDefault="007A140A">
          <w:pPr>
            <w:pStyle w:val="2b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a"/>
            </w:rPr>
            <w:fldChar w:fldCharType="end"/>
          </w:r>
        </w:p>
      </w:sdtContent>
    </w:sdt>
    <w:p w:rsidR="001C7364" w:rsidRDefault="001C7364">
      <w:pPr>
        <w:pStyle w:val="19"/>
        <w:tabs>
          <w:tab w:val="right" w:leader="dot" w:pos="9780"/>
        </w:tabs>
        <w:sectPr w:rsidR="001C7364">
          <w:headerReference w:type="even" r:id="rId9"/>
          <w:headerReference w:type="default" r:id="rId10"/>
          <w:headerReference w:type="first" r:id="rId11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1C7364" w:rsidRDefault="001C7364">
      <w:pPr>
        <w:keepNext/>
        <w:keepLines/>
        <w:rPr>
          <w:rFonts w:eastAsia="Calibri"/>
          <w:b/>
          <w:i/>
          <w:sz w:val="24"/>
          <w:szCs w:val="24"/>
        </w:rPr>
      </w:pPr>
    </w:p>
    <w:p w:rsidR="001C7364" w:rsidRDefault="007A140A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232082951"/>
      <w:bookmarkStart w:id="1" w:name="_Toc51339692"/>
      <w:bookmarkStart w:id="2" w:name="_Toc231393045"/>
      <w:r>
        <w:rPr>
          <w:lang w:val="ru-RU"/>
        </w:rPr>
        <w:t>Общие сведения</w:t>
      </w:r>
      <w:bookmarkEnd w:id="0"/>
      <w:bookmarkEnd w:id="1"/>
      <w:bookmarkEnd w:id="2"/>
    </w:p>
    <w:p w:rsidR="001C7364" w:rsidRDefault="007A140A">
      <w:pPr>
        <w:pStyle w:val="4"/>
        <w:numPr>
          <w:ilvl w:val="1"/>
          <w:numId w:val="3"/>
        </w:numPr>
        <w:rPr>
          <w:rStyle w:val="aff"/>
          <w:b/>
          <w:i w:val="0"/>
          <w:shd w:val="clear" w:color="auto" w:fill="auto"/>
        </w:rPr>
      </w:pPr>
      <w:bookmarkStart w:id="3" w:name="_Toc232082952"/>
      <w:bookmarkStart w:id="4" w:name="_Toc46743505"/>
      <w:bookmarkStart w:id="5" w:name="_Toc231393046"/>
      <w:r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 w:rsidR="001C736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Ограничитель перенапряжения нелинейный</w:t>
            </w:r>
          </w:p>
        </w:tc>
      </w:tr>
    </w:tbl>
    <w:p w:rsidR="001C7364" w:rsidRDefault="001C7364">
      <w:pPr>
        <w:keepNext/>
        <w:keepLines/>
        <w:jc w:val="both"/>
        <w:rPr>
          <w:sz w:val="24"/>
          <w:szCs w:val="24"/>
        </w:rPr>
      </w:pPr>
    </w:p>
    <w:p w:rsidR="001C7364" w:rsidRDefault="001C7364">
      <w:pPr>
        <w:keepNext/>
        <w:keepLines/>
        <w:jc w:val="both"/>
        <w:rPr>
          <w:sz w:val="24"/>
          <w:szCs w:val="24"/>
        </w:rPr>
      </w:pPr>
    </w:p>
    <w:p w:rsidR="001C7364" w:rsidRDefault="007A140A">
      <w:pPr>
        <w:keepNext/>
        <w:keepLines/>
        <w:rPr>
          <w:sz w:val="24"/>
          <w:szCs w:val="24"/>
        </w:rPr>
      </w:pPr>
      <w:r>
        <w:br w:type="page"/>
      </w:r>
    </w:p>
    <w:p w:rsidR="001C7364" w:rsidRDefault="007A140A">
      <w:pPr>
        <w:pStyle w:val="4"/>
        <w:numPr>
          <w:ilvl w:val="1"/>
          <w:numId w:val="3"/>
        </w:numPr>
      </w:pPr>
      <w:bookmarkStart w:id="6" w:name="_Toc232082953"/>
      <w:bookmarkStart w:id="7" w:name="_Toc46743506"/>
      <w:bookmarkStart w:id="8" w:name="_Toc231393047"/>
      <w:r>
        <w:lastRenderedPageBreak/>
        <w:t>Наименование закупаемой продукции</w:t>
      </w:r>
      <w:bookmarkEnd w:id="6"/>
      <w:bookmarkEnd w:id="7"/>
      <w:bookmarkEnd w:id="8"/>
    </w:p>
    <w:p w:rsidR="001C7364" w:rsidRDefault="007A140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>
        <w:rPr>
          <w:rFonts w:eastAsia="Calibri"/>
          <w:color w:val="000000"/>
          <w:sz w:val="26"/>
          <w:szCs w:val="26"/>
          <w:lang w:eastAsia="x-none"/>
        </w:rPr>
        <w:t xml:space="preserve">27.12.10.130 Поставка </w:t>
      </w:r>
      <w:r w:rsidR="00321878" w:rsidRPr="00321878">
        <w:rPr>
          <w:rFonts w:eastAsia="Calibri"/>
          <w:color w:val="000000"/>
          <w:sz w:val="26"/>
          <w:szCs w:val="26"/>
        </w:rPr>
        <w:t>шинной опоры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x-none"/>
        </w:rPr>
        <w:t>110 кВ для нужд Дагестанского филиала АО “Гидроремонт-ВКК” в г. Махачкала</w:t>
      </w:r>
    </w:p>
    <w:p w:rsidR="001C7364" w:rsidRDefault="007A140A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Toc46743507"/>
      <w:bookmarkStart w:id="10" w:name="_Toc232082954"/>
      <w:bookmarkStart w:id="11" w:name="_Toc231393048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10"/>
      <w:bookmarkEnd w:id="11"/>
    </w:p>
    <w:p w:rsidR="001C7364" w:rsidRDefault="007A140A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1C7364" w:rsidRDefault="007A140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Toc50125126"/>
      <w:bookmarkStart w:id="13" w:name="_Toc232082955"/>
      <w:bookmarkStart w:id="14" w:name="_Toc51339693"/>
      <w:bookmarkStart w:id="15" w:name="_Toc231392590"/>
      <w:bookmarkStart w:id="16" w:name="_Toc231393049"/>
      <w:bookmarkEnd w:id="12"/>
      <w:r>
        <w:rPr>
          <w:iCs/>
        </w:rPr>
        <w:t>Требования к продукции</w:t>
      </w:r>
      <w:bookmarkEnd w:id="13"/>
      <w:bookmarkEnd w:id="14"/>
      <w:bookmarkEnd w:id="15"/>
      <w:bookmarkEnd w:id="16"/>
    </w:p>
    <w:p w:rsidR="001C7364" w:rsidRDefault="007A140A">
      <w:pPr>
        <w:pStyle w:val="4"/>
        <w:numPr>
          <w:ilvl w:val="1"/>
          <w:numId w:val="3"/>
        </w:numPr>
        <w:rPr>
          <w:lang w:val="ru-RU"/>
        </w:rPr>
      </w:pPr>
      <w:bookmarkStart w:id="17" w:name="_Toc232082956"/>
      <w:bookmarkStart w:id="18" w:name="_Toc231392591"/>
      <w:bookmarkStart w:id="19" w:name="_Toc231393050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  <w:bookmarkEnd w:id="18"/>
      <w:bookmarkEnd w:id="19"/>
    </w:p>
    <w:p w:rsidR="001C7364" w:rsidRDefault="007A140A">
      <w:pPr>
        <w:pStyle w:val="22"/>
        <w:spacing w:after="0"/>
        <w:jc w:val="center"/>
      </w:pPr>
      <w:bookmarkStart w:id="20" w:name="_Toc232082957"/>
      <w:r>
        <w:t>2.1.1.</w:t>
      </w:r>
      <w:r>
        <w:tab/>
        <w:t xml:space="preserve"> Перечень и объем закупаемой продукции и услуг</w:t>
      </w:r>
      <w:bookmarkEnd w:id="20"/>
    </w:p>
    <w:p w:rsidR="001C7364" w:rsidRDefault="007A140A">
      <w:pPr>
        <w:pStyle w:val="22"/>
        <w:rPr>
          <w:lang w:val="ru-RU"/>
        </w:rPr>
      </w:pPr>
      <w:bookmarkStart w:id="21" w:name="_Toc51339695"/>
      <w:bookmarkStart w:id="22" w:name="_Toc232082958"/>
      <w:bookmarkStart w:id="23" w:name="_Toc231392525"/>
      <w:bookmarkStart w:id="24" w:name="_Toc231392593"/>
      <w:bookmarkStart w:id="25" w:name="_Toc231393052"/>
      <w:r>
        <w:t xml:space="preserve">Таблица </w:t>
      </w:r>
      <w:r>
        <w:rPr>
          <w:lang w:val="ru-RU"/>
        </w:rPr>
        <w:t>1.1</w:t>
      </w:r>
      <w:r>
        <w:t xml:space="preserve"> </w:t>
      </w:r>
      <w:r>
        <w:rPr>
          <w:lang w:val="ru-RU"/>
        </w:rPr>
        <w:t xml:space="preserve">Перечень </w:t>
      </w:r>
      <w:bookmarkEnd w:id="21"/>
      <w:r>
        <w:rPr>
          <w:lang w:val="ru-RU"/>
        </w:rPr>
        <w:t>и объем закупаемой продукции</w:t>
      </w:r>
      <w:bookmarkEnd w:id="22"/>
      <w:bookmarkEnd w:id="23"/>
      <w:bookmarkEnd w:id="24"/>
      <w:bookmarkEnd w:id="25"/>
    </w:p>
    <w:tbl>
      <w:tblPr>
        <w:tblStyle w:val="affffc"/>
        <w:tblW w:w="992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91"/>
        <w:gridCol w:w="6384"/>
        <w:gridCol w:w="1428"/>
        <w:gridCol w:w="1517"/>
      </w:tblGrid>
      <w:tr w:rsidR="001C7364" w:rsidTr="00321878">
        <w:tc>
          <w:tcPr>
            <w:tcW w:w="591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1C7364" w:rsidRDefault="007A140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C7364" w:rsidTr="00321878">
        <w:tc>
          <w:tcPr>
            <w:tcW w:w="591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C7364" w:rsidRDefault="007A140A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1C7364" w:rsidRDefault="007A14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21878" w:rsidTr="00321878">
        <w:tc>
          <w:tcPr>
            <w:tcW w:w="591" w:type="dxa"/>
          </w:tcPr>
          <w:p w:rsidR="00321878" w:rsidRDefault="00321878" w:rsidP="00321878">
            <w:pPr>
              <w:pStyle w:val="afe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1878" w:rsidRPr="007A140A" w:rsidRDefault="00321878" w:rsidP="00321878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7A140A">
              <w:rPr>
                <w:color w:val="000000" w:themeColor="text1"/>
                <w:sz w:val="24"/>
                <w:szCs w:val="24"/>
                <w:lang w:val="en-US"/>
              </w:rPr>
              <w:t>Шинная опора 110 кВ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1878" w:rsidRPr="007A140A" w:rsidRDefault="00321878" w:rsidP="00321878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7A140A">
              <w:rPr>
                <w:color w:val="2C2D2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1878" w:rsidRPr="007A140A" w:rsidRDefault="00321878" w:rsidP="00321878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7A140A">
              <w:rPr>
                <w:color w:val="2C2D2E"/>
                <w:sz w:val="24"/>
                <w:szCs w:val="24"/>
                <w:lang w:val="en-US"/>
              </w:rPr>
              <w:t>3</w:t>
            </w:r>
          </w:p>
        </w:tc>
      </w:tr>
      <w:tr w:rsidR="00321878" w:rsidTr="00321878">
        <w:tc>
          <w:tcPr>
            <w:tcW w:w="591" w:type="dxa"/>
          </w:tcPr>
          <w:p w:rsidR="00321878" w:rsidRDefault="00321878" w:rsidP="00321878">
            <w:pPr>
              <w:pStyle w:val="afe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1878" w:rsidRPr="007A140A" w:rsidRDefault="00321878" w:rsidP="00321878">
            <w:pPr>
              <w:widowContro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7A140A">
              <w:rPr>
                <w:color w:val="000000" w:themeColor="text1"/>
                <w:sz w:val="24"/>
                <w:szCs w:val="24"/>
                <w:lang w:val="en-US"/>
              </w:rPr>
              <w:t>Конструкторская документация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1878" w:rsidRPr="007A140A" w:rsidRDefault="00321878" w:rsidP="00321878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 w:rsidRPr="007A140A">
              <w:rPr>
                <w:color w:val="2C2D2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21878" w:rsidRPr="007A140A" w:rsidRDefault="00321878" w:rsidP="00321878">
            <w:pPr>
              <w:widowControl w:val="0"/>
              <w:jc w:val="center"/>
              <w:rPr>
                <w:color w:val="2C2D2E"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3</w:t>
            </w:r>
          </w:p>
        </w:tc>
      </w:tr>
    </w:tbl>
    <w:p w:rsidR="001C7364" w:rsidRDefault="001C7364">
      <w:pPr>
        <w:rPr>
          <w:lang w:eastAsia="x-none"/>
        </w:rPr>
      </w:pPr>
    </w:p>
    <w:p w:rsidR="001C7364" w:rsidRDefault="007A140A">
      <w:pPr>
        <w:pStyle w:val="22"/>
      </w:pPr>
      <w:bookmarkStart w:id="26" w:name="__RefHeading___Toc773828_1425808007"/>
      <w:bookmarkStart w:id="27" w:name="_Toc50125126_Копия_1"/>
      <w:bookmarkStart w:id="28" w:name="_Toc51339697"/>
      <w:bookmarkStart w:id="29" w:name="_Toc50125127"/>
      <w:bookmarkStart w:id="30" w:name="_Toc232082960"/>
      <w:bookmarkStart w:id="31" w:name="_Toc231830838"/>
      <w:bookmarkStart w:id="32" w:name="_Toc231392527"/>
      <w:bookmarkStart w:id="33" w:name="_Toc231392595"/>
      <w:bookmarkStart w:id="34" w:name="_Toc231393054"/>
      <w:bookmarkEnd w:id="26"/>
      <w:bookmarkEnd w:id="27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35" w:name="_Hlk50465284"/>
      <w:r>
        <w:t xml:space="preserve">Требования по срокам </w:t>
      </w:r>
      <w:bookmarkEnd w:id="28"/>
      <w:bookmarkEnd w:id="29"/>
      <w:bookmarkEnd w:id="35"/>
      <w:r>
        <w:rPr>
          <w:lang w:val="ru-RU"/>
        </w:rPr>
        <w:t>поставки продукции</w:t>
      </w:r>
      <w:bookmarkEnd w:id="30"/>
      <w:bookmarkEnd w:id="31"/>
      <w:bookmarkEnd w:id="32"/>
      <w:bookmarkEnd w:id="33"/>
      <w:bookmarkEnd w:id="34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1C7364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1; 3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1C7364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7A140A">
            <w:pPr>
              <w:widowControl w:val="0"/>
              <w:rPr>
                <w:sz w:val="24"/>
                <w:szCs w:val="24"/>
              </w:rPr>
            </w:pPr>
            <w:r w:rsidRPr="007A140A">
              <w:rPr>
                <w:sz w:val="24"/>
                <w:szCs w:val="24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4"/>
                <w:szCs w:val="24"/>
                <w:lang w:val="en-US"/>
              </w:rPr>
            </w:pPr>
            <w:r w:rsidRPr="007A140A">
              <w:rPr>
                <w:sz w:val="24"/>
                <w:szCs w:val="24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4"/>
                <w:szCs w:val="24"/>
              </w:rPr>
            </w:pPr>
            <w:r w:rsidRPr="007A140A">
              <w:rPr>
                <w:sz w:val="24"/>
                <w:szCs w:val="24"/>
              </w:rPr>
              <w:t>По истечении 4 мес. с даты заключения</w:t>
            </w:r>
          </w:p>
        </w:tc>
      </w:tr>
    </w:tbl>
    <w:p w:rsidR="001C7364" w:rsidRDefault="001C7364">
      <w:pPr>
        <w:rPr>
          <w:b/>
          <w:sz w:val="24"/>
          <w:szCs w:val="24"/>
        </w:rPr>
      </w:pPr>
    </w:p>
    <w:p w:rsidR="001C7364" w:rsidRDefault="007A140A">
      <w:pPr>
        <w:pStyle w:val="22"/>
      </w:pPr>
      <w:bookmarkStart w:id="36" w:name="__RefHeading___Toc773832_1425808007"/>
      <w:bookmarkStart w:id="37" w:name="_Toc231830839"/>
      <w:bookmarkStart w:id="38" w:name="_Toc232082961"/>
      <w:bookmarkEnd w:id="36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2</w:t>
      </w:r>
      <w:r>
        <w:t xml:space="preserve"> Требования по срокам </w:t>
      </w:r>
      <w:bookmarkEnd w:id="37"/>
      <w:r>
        <w:t>оказания услуг</w:t>
      </w:r>
      <w:bookmarkEnd w:id="38"/>
      <w:r>
        <w:rPr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4"/>
        <w:gridCol w:w="2557"/>
        <w:gridCol w:w="2977"/>
        <w:gridCol w:w="3260"/>
      </w:tblGrid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7A14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Default="007A140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1C7364">
            <w:pPr>
              <w:pStyle w:val="afe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Перечень услуг согласно п.п 1.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С даты отгрузки первой партии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  <w:lang w:val="en-US"/>
              </w:rPr>
              <w:t>До завершения монтажных работ</w:t>
            </w:r>
          </w:p>
        </w:tc>
      </w:tr>
      <w:tr w:rsidR="001C736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Default="001C7364">
            <w:pPr>
              <w:pStyle w:val="afe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Перечень услуг согласно п.п 2.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</w:rPr>
              <w:t>С момента готовности оборудования к пусконаладочным работам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4" w:rsidRPr="007A140A" w:rsidRDefault="007A140A">
            <w:pPr>
              <w:widowControl w:val="0"/>
              <w:rPr>
                <w:sz w:val="22"/>
                <w:szCs w:val="22"/>
              </w:rPr>
            </w:pPr>
            <w:r w:rsidRPr="007A140A">
              <w:rPr>
                <w:sz w:val="22"/>
                <w:szCs w:val="22"/>
                <w:lang w:val="en-US"/>
              </w:rPr>
              <w:t>До завершения пусконаладочных работ</w:t>
            </w:r>
          </w:p>
        </w:tc>
      </w:tr>
    </w:tbl>
    <w:p w:rsidR="001C7364" w:rsidRDefault="001C7364">
      <w:pPr>
        <w:sectPr w:rsidR="001C7364">
          <w:headerReference w:type="default" r:id="rId12"/>
          <w:headerReference w:type="first" r:id="rId13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1C7364" w:rsidRDefault="001C7364">
      <w:pPr>
        <w:rPr>
          <w:b/>
          <w:sz w:val="24"/>
          <w:szCs w:val="24"/>
        </w:rPr>
      </w:pPr>
    </w:p>
    <w:p w:rsidR="001C7364" w:rsidRPr="00926EA7" w:rsidRDefault="00926EA7" w:rsidP="00926EA7">
      <w:pPr>
        <w:spacing w:after="120"/>
        <w:outlineLvl w:val="0"/>
        <w:rPr>
          <w:b/>
          <w:sz w:val="24"/>
          <w:szCs w:val="24"/>
        </w:rPr>
      </w:pPr>
      <w:bookmarkStart w:id="39" w:name="_Toc232082962"/>
      <w:r w:rsidRPr="00926EA7">
        <w:rPr>
          <w:b/>
          <w:sz w:val="24"/>
          <w:szCs w:val="24"/>
        </w:rPr>
        <w:t xml:space="preserve">2.2. </w:t>
      </w:r>
      <w:r w:rsidR="007A140A" w:rsidRPr="00926EA7">
        <w:rPr>
          <w:b/>
          <w:sz w:val="24"/>
          <w:szCs w:val="24"/>
        </w:rPr>
        <w:t>Требования к качеству продукции</w:t>
      </w:r>
      <w:bookmarkEnd w:id="39"/>
    </w:p>
    <w:p w:rsidR="00926EA7" w:rsidRPr="00926EA7" w:rsidRDefault="00926EA7" w:rsidP="00926EA7">
      <w:pPr>
        <w:widowControl w:val="0"/>
        <w:tabs>
          <w:tab w:val="left" w:pos="426"/>
        </w:tabs>
        <w:spacing w:after="120"/>
        <w:jc w:val="both"/>
        <w:rPr>
          <w:rFonts w:eastAsia="Calibri"/>
          <w:b/>
          <w:sz w:val="24"/>
          <w:szCs w:val="24"/>
          <w:lang w:eastAsia="x-none"/>
        </w:rPr>
      </w:pPr>
      <w:bookmarkStart w:id="40" w:name="_Toc232082964"/>
      <w:r w:rsidRPr="00926EA7">
        <w:rPr>
          <w:b/>
          <w:sz w:val="24"/>
          <w:szCs w:val="24"/>
        </w:rPr>
        <w:t xml:space="preserve">2.2.1. </w:t>
      </w:r>
      <w:r w:rsidRPr="00926EA7">
        <w:rPr>
          <w:b/>
          <w:sz w:val="24"/>
          <w:szCs w:val="24"/>
        </w:rPr>
        <w:t xml:space="preserve">Таблица 3. Требования к </w:t>
      </w:r>
      <w:bookmarkEnd w:id="40"/>
      <w:r w:rsidRPr="00926EA7">
        <w:rPr>
          <w:b/>
          <w:sz w:val="24"/>
          <w:szCs w:val="24"/>
        </w:rPr>
        <w:t>качеству продукции</w:t>
      </w:r>
    </w:p>
    <w:p w:rsidR="001C7364" w:rsidRDefault="007A140A" w:rsidP="00926EA7">
      <w:pPr>
        <w:widowControl w:val="0"/>
        <w:tabs>
          <w:tab w:val="left" w:pos="426"/>
        </w:tabs>
        <w:spacing w:after="120"/>
        <w:jc w:val="both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 xml:space="preserve">Наименование продукции (Перечень продукции согласно Таблице 1.1): </w:t>
      </w:r>
      <w:r>
        <w:rPr>
          <w:rFonts w:eastAsia="Calibri"/>
          <w:b/>
          <w:color w:val="000000"/>
          <w:sz w:val="24"/>
          <w:szCs w:val="24"/>
          <w:lang w:eastAsia="x-none"/>
        </w:rPr>
        <w:t xml:space="preserve">ОКПД2 27.12.10.130 Поставка </w:t>
      </w:r>
      <w:r w:rsidR="00FE1EF9" w:rsidRPr="00FE1EF9">
        <w:rPr>
          <w:rFonts w:eastAsia="Calibri"/>
          <w:b/>
          <w:color w:val="000000"/>
          <w:sz w:val="24"/>
          <w:szCs w:val="24"/>
          <w:lang w:eastAsia="x-none"/>
        </w:rPr>
        <w:t>шинной опоры</w:t>
      </w:r>
      <w:r>
        <w:rPr>
          <w:rFonts w:eastAsia="Calibri"/>
          <w:b/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>110 кВ для нужд Дагестанского филиала АО “Гидроремонт-ВКК” в г. Махачкала</w:t>
      </w:r>
      <w:bookmarkStart w:id="41" w:name="_GoBack"/>
      <w:bookmarkEnd w:id="41"/>
    </w:p>
    <w:tbl>
      <w:tblPr>
        <w:tblStyle w:val="affffc"/>
        <w:tblW w:w="15070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4501"/>
        <w:gridCol w:w="3179"/>
        <w:gridCol w:w="1846"/>
        <w:gridCol w:w="2783"/>
        <w:gridCol w:w="2117"/>
      </w:tblGrid>
      <w:tr w:rsidR="001C7364" w:rsidTr="00B51EA2">
        <w:trPr>
          <w:tblHeader/>
          <w:jc w:val="center"/>
        </w:trPr>
        <w:tc>
          <w:tcPr>
            <w:tcW w:w="644" w:type="dxa"/>
            <w:vMerge w:val="restart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4501" w:type="dxa"/>
            <w:vMerge w:val="restart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79" w:type="dxa"/>
            <w:vMerge w:val="restart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  <w:tc>
          <w:tcPr>
            <w:tcW w:w="4629" w:type="dxa"/>
            <w:gridSpan w:val="2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Способ подтверждения участником соответствия требованиям</w:t>
            </w:r>
          </w:p>
        </w:tc>
        <w:tc>
          <w:tcPr>
            <w:tcW w:w="2117" w:type="dxa"/>
            <w:vMerge w:val="restart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Предложение участника по характеристикам и параметрам</w:t>
            </w:r>
          </w:p>
        </w:tc>
      </w:tr>
      <w:tr w:rsidR="001C7364" w:rsidTr="00B51EA2">
        <w:trPr>
          <w:tblHeader/>
          <w:jc w:val="center"/>
        </w:trPr>
        <w:tc>
          <w:tcPr>
            <w:tcW w:w="644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  <w:tc>
          <w:tcPr>
            <w:tcW w:w="4501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  <w:tc>
          <w:tcPr>
            <w:tcW w:w="3179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  <w:tc>
          <w:tcPr>
            <w:tcW w:w="1846" w:type="dxa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Согласие с требованием/ Указание характеристик</w:t>
            </w:r>
          </w:p>
        </w:tc>
        <w:tc>
          <w:tcPr>
            <w:tcW w:w="2783" w:type="dxa"/>
            <w:vAlign w:val="center"/>
          </w:tcPr>
          <w:p w:rsidR="001C7364" w:rsidRDefault="007A140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Предоставление подтверждающего документа на этапе закупки</w:t>
            </w:r>
          </w:p>
        </w:tc>
        <w:tc>
          <w:tcPr>
            <w:tcW w:w="2117" w:type="dxa"/>
            <w:vMerge/>
          </w:tcPr>
          <w:p w:rsidR="001C7364" w:rsidRDefault="001C7364">
            <w:pPr>
              <w:rPr>
                <w:sz w:val="23"/>
                <w:szCs w:val="23"/>
              </w:rPr>
            </w:pPr>
          </w:p>
        </w:tc>
      </w:tr>
      <w:tr w:rsidR="001C7364" w:rsidTr="00B51EA2">
        <w:trPr>
          <w:tblHeader/>
          <w:jc w:val="center"/>
        </w:trPr>
        <w:tc>
          <w:tcPr>
            <w:tcW w:w="644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501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79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846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783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17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</w:tcPr>
          <w:p w:rsidR="001C7364" w:rsidRDefault="007A140A">
            <w:pPr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Основные параметры</w:t>
            </w:r>
          </w:p>
        </w:tc>
        <w:tc>
          <w:tcPr>
            <w:tcW w:w="317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B51EA2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B51EA2" w:rsidRDefault="00B51EA2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51EA2" w:rsidRPr="00B51EA2" w:rsidRDefault="00B51EA2" w:rsidP="00B51EA2">
            <w:pPr>
              <w:pStyle w:val="afe"/>
              <w:widowControl w:val="0"/>
              <w:numPr>
                <w:ilvl w:val="0"/>
                <w:numId w:val="21"/>
              </w:numPr>
              <w:contextualSpacing w:val="0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Сертификат происхождения товара по форме СТ-1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B51EA2" w:rsidRDefault="00B51EA2" w:rsidP="00B51EA2">
            <w:pPr>
              <w:jc w:val="center"/>
              <w:rPr>
                <w:sz w:val="23"/>
                <w:szCs w:val="23"/>
              </w:rPr>
            </w:pPr>
          </w:p>
        </w:tc>
      </w:tr>
      <w:tr w:rsidR="00B51EA2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B51EA2" w:rsidRDefault="00B51EA2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rPr>
                <w:sz w:val="22"/>
                <w:szCs w:val="22"/>
              </w:rPr>
            </w:pPr>
            <w:r w:rsidRPr="00B51EA2">
              <w:rPr>
                <w:rFonts w:eastAsia="Calibri"/>
                <w:sz w:val="22"/>
                <w:szCs w:val="22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51EA2" w:rsidRPr="00B51EA2" w:rsidRDefault="00B51EA2" w:rsidP="00B51EA2">
            <w:pPr>
              <w:pStyle w:val="afe"/>
              <w:widowControl w:val="0"/>
              <w:numPr>
                <w:ilvl w:val="0"/>
                <w:numId w:val="22"/>
              </w:numPr>
              <w:contextualSpacing w:val="0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Сертификат (Декларация) о соответствии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B51EA2" w:rsidRDefault="00B51EA2" w:rsidP="00B51EA2">
            <w:pPr>
              <w:jc w:val="center"/>
              <w:rPr>
                <w:sz w:val="23"/>
                <w:szCs w:val="23"/>
              </w:rPr>
            </w:pPr>
          </w:p>
        </w:tc>
      </w:tr>
      <w:tr w:rsidR="00B51EA2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B51EA2" w:rsidRDefault="00B51EA2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B51EA2">
              <w:rPr>
                <w:rFonts w:eastAsia="Calibri"/>
                <w:sz w:val="22"/>
                <w:szCs w:val="22"/>
              </w:rPr>
              <w:t>Основное и вспомогательное оборудование, входящее в объем поставки, должно быть сертифицировано в соответствии с законодательством РФ и соответствовать настоящим техническим заданием и требованиям, действующих на территории России норм, правил и стандартов. Основное и вспомогательное оборудование, входящее в объем поставки, должно обладать патентной чистотой.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B51EA2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B51EA2">
              <w:rPr>
                <w:sz w:val="22"/>
                <w:szCs w:val="22"/>
                <w:lang w:val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51EA2" w:rsidRPr="00B51EA2" w:rsidRDefault="00B51EA2" w:rsidP="00B51EA2">
            <w:pPr>
              <w:pStyle w:val="afe"/>
              <w:widowControl w:val="0"/>
              <w:numPr>
                <w:ilvl w:val="0"/>
                <w:numId w:val="23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51EA2" w:rsidRDefault="00B51EA2" w:rsidP="00B51EA2">
            <w:pPr>
              <w:jc w:val="center"/>
              <w:rPr>
                <w:sz w:val="23"/>
                <w:szCs w:val="23"/>
              </w:rPr>
            </w:pPr>
          </w:p>
        </w:tc>
      </w:tr>
      <w:tr w:rsidR="00B51EA2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B51EA2" w:rsidRDefault="00B51EA2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B51EA2">
              <w:rPr>
                <w:rFonts w:eastAsia="Calibri"/>
                <w:sz w:val="22"/>
                <w:szCs w:val="22"/>
              </w:rPr>
              <w:t xml:space="preserve">Передать Покупателю оригиналы </w:t>
            </w:r>
            <w:r w:rsidRPr="00B51EA2">
              <w:rPr>
                <w:rFonts w:eastAsia="Calibri"/>
                <w:sz w:val="22"/>
                <w:szCs w:val="22"/>
              </w:rPr>
              <w:lastRenderedPageBreak/>
              <w:t>документов на Оборудование, необходимых для подтверждения условия вклада отдельных элементов в степень локализации генерирующего объекта «Нихалойская ГЭС». Перечень документов определён в Приложении No 1 и No 2 к приказу Минпромторга Российской Федерации от 14.10.2024 No 4723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B51EA2">
              <w:rPr>
                <w:sz w:val="22"/>
                <w:szCs w:val="22"/>
                <w:lang w:val="en-US"/>
              </w:rPr>
              <w:lastRenderedPageBreak/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B51EA2">
              <w:rPr>
                <w:sz w:val="22"/>
                <w:szCs w:val="22"/>
                <w:lang w:val="en-US"/>
              </w:rPr>
              <w:t xml:space="preserve">Согласие с </w:t>
            </w:r>
            <w:r w:rsidRPr="00B51EA2">
              <w:rPr>
                <w:sz w:val="22"/>
                <w:szCs w:val="22"/>
                <w:lang w:val="en-US"/>
              </w:rPr>
              <w:lastRenderedPageBreak/>
              <w:t>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51EA2" w:rsidRPr="00B51EA2" w:rsidRDefault="00B51EA2" w:rsidP="00B51EA2">
            <w:pPr>
              <w:pStyle w:val="afe"/>
              <w:widowControl w:val="0"/>
              <w:numPr>
                <w:ilvl w:val="0"/>
                <w:numId w:val="23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51EA2" w:rsidRDefault="00B51EA2" w:rsidP="00B51EA2">
            <w:pPr>
              <w:jc w:val="center"/>
              <w:rPr>
                <w:sz w:val="23"/>
                <w:szCs w:val="23"/>
              </w:rPr>
            </w:pPr>
          </w:p>
        </w:tc>
      </w:tr>
      <w:tr w:rsidR="00B51EA2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B51EA2" w:rsidRDefault="00B51EA2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B51EA2">
              <w:rPr>
                <w:rFonts w:eastAsia="Calibri"/>
                <w:sz w:val="22"/>
                <w:szCs w:val="22"/>
              </w:rPr>
              <w:t>Соблюдение условий и требований по определению степени вклада, поставляемого на Объект Оборудования, в локализацию генерирующего объекта «Нихалойская ГЭС», в соответствии с требованиями постановления Правительства РФ от 28.12.2023 No 2359.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</w:rPr>
            </w:pPr>
            <w:r w:rsidRPr="00B51EA2">
              <w:rPr>
                <w:sz w:val="22"/>
                <w:szCs w:val="22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51EA2" w:rsidRPr="00B51EA2" w:rsidRDefault="00B51EA2" w:rsidP="00B51EA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B51EA2">
              <w:rPr>
                <w:sz w:val="22"/>
                <w:szCs w:val="22"/>
                <w:lang w:val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51EA2" w:rsidRPr="00B51EA2" w:rsidRDefault="00B51EA2" w:rsidP="00B51EA2">
            <w:pPr>
              <w:pStyle w:val="afe"/>
              <w:widowControl w:val="0"/>
              <w:numPr>
                <w:ilvl w:val="0"/>
                <w:numId w:val="23"/>
              </w:numPr>
              <w:ind w:left="312" w:hanging="131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B51EA2" w:rsidRDefault="00B51EA2" w:rsidP="00B51EA2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Условное обозначение оборудования (Тип, марка, артикул)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</w:t>
            </w:r>
            <w:r>
              <w:rPr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происхождения Оборудования</w:t>
            </w:r>
          </w:p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 код по ОКСМ/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 краткое наименование страны мира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</w:t>
            </w:r>
            <w:r>
              <w:rPr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Сертификат (Декларация) о соответствии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Тип конструкции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Опорная с фарфоровой изоляцией, для крепления проводов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Количество поставляемого оборудования, шт</w:t>
            </w:r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suppressAutoHyphens w:val="0"/>
              <w:ind w:left="312"/>
              <w:contextualSpacing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Номинальное напряжение, кВ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Наибольшее рабочее напряжение, кВ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Номинальная частота, Гц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электрической прочности изоляции по ГОСТ 1516.3 –96</w:t>
            </w:r>
          </w:p>
        </w:tc>
        <w:tc>
          <w:tcPr>
            <w:tcW w:w="317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Испытательное напряжение полного грозового импульса, кВ не менее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Кратковременное (одноминутное) испытательное напряжение промышленной частоты 50 Гц, кВ: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 сухом состоянии;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под дождем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1C736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Испытательное переменное напряжение изолятора в загрязненном и увлажненном состоянии, не менее, кВ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Удельная длина пути утечки внешней изоляции по ГОСТ 9920, см/кВ, не менее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2,25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trHeight w:val="1368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Уровень радиопомех при   1,1 х Uн.р/√3 не должен превышать, дБ. 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При этом на изоляторах не должно быть видимой короны.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Требования безопасности</w:t>
            </w:r>
          </w:p>
        </w:tc>
        <w:tc>
          <w:tcPr>
            <w:tcW w:w="317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Шинные опоры должны соответствовать требованиям: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 Т Р 52034-2023, ГОСТ 12.2.007.3-75, ГОСТ 1516.3-96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 и дата выдачи Российского сертификата безопасности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Контактная площадка для подсоединения заземляющего проводника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конструкции, изготовлению и материалам:</w:t>
            </w:r>
          </w:p>
        </w:tc>
        <w:tc>
          <w:tcPr>
            <w:tcW w:w="317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конструкции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Опорная,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крепления одного провода, с шинодержателем и с опорной металлоконструкцией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внешней изоляции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Фарфор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 фарфора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Шинные опоры поставляются с металлической, оцинкованной методом горячего цинкования, конструкцией высотой Н=4000 мм для совместной установки с ОПН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Нормированный механический разрушающий момент при приложении изгибающего усилия к верхнему фланцу по ГОСТ Р 52034-2023, кН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качеству поверхности керамических (фарфоровых) изоляторов 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В соответствии с </w:t>
            </w:r>
          </w:p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ГОСТ 13873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Шинная опора поставляется с шинодержателем для одного провода типа АС сечением 120/19 мм</w:t>
            </w:r>
            <w:r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Габаритно-установочный чертеж шинной опоры с опорной конструкцией Н=4000 мм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Представить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 шинной опоры, кг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 опорной конструкции Н=4000мм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Табличка с надписями завода изготовителя В соответствие с ГОСТ Р 52034-2023. из </w:t>
            </w:r>
            <w:r>
              <w:rPr>
                <w:sz w:val="23"/>
                <w:szCs w:val="23"/>
              </w:rPr>
              <w:lastRenderedPageBreak/>
              <w:t>нержавеющей стали, термостойкая краска (стойкая к воздействию солнечных лучей)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680" w:type="dxa"/>
            <w:gridSpan w:val="2"/>
            <w:shd w:val="clear" w:color="auto" w:fill="E7E6E6" w:themeFill="background2"/>
            <w:vAlign w:val="center"/>
          </w:tcPr>
          <w:p w:rsidR="001C7364" w:rsidRDefault="007A140A">
            <w:pPr>
              <w:rPr>
                <w:sz w:val="23"/>
                <w:szCs w:val="23"/>
                <w:highlight w:val="green"/>
              </w:rPr>
            </w:pPr>
            <w:r>
              <w:rPr>
                <w:b/>
                <w:sz w:val="23"/>
                <w:szCs w:val="23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Климатическое исполнение ГОСТ 15150-69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размещения по ГОСТ 15150-69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плюс</w:t>
            </w:r>
            <w:r>
              <w:rPr>
                <w:sz w:val="23"/>
                <w:szCs w:val="23"/>
              </w:rPr>
              <w:t xml:space="preserve"> 4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минус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45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Степень загрязнения изоляции оборудования по ГОСТ 9920–89</w:t>
            </w:r>
          </w:p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(I – легкая/II – средняя/III – сильная/IV - очень сильная), не менее: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II - средняя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Оборудование должно нормально работать при следующих условиях:</w:t>
            </w:r>
          </w:p>
          <w:p w:rsidR="001C7364" w:rsidRDefault="007A140A">
            <w:pPr>
              <w:pStyle w:val="afe"/>
              <w:numPr>
                <w:ilvl w:val="0"/>
                <w:numId w:val="11"/>
              </w:numPr>
              <w:suppressAutoHyphens w:val="0"/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толщина стенки гололёда, мм, не менее:</w:t>
            </w:r>
          </w:p>
          <w:p w:rsidR="001C7364" w:rsidRDefault="007A140A">
            <w:pPr>
              <w:pStyle w:val="afe"/>
              <w:numPr>
                <w:ilvl w:val="0"/>
                <w:numId w:val="11"/>
              </w:numPr>
              <w:suppressAutoHyphens w:val="0"/>
              <w:ind w:left="323" w:hanging="283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допустимая скорость ветра при наличии/ отсутствии гололёда, м/с, не менее: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15/ 40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Допустимая высота установки над уровнем моря, м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Сейсмостойкость, баллов по шкале MSK-64, не менее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Протокол/ Акт испытаний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  <w:lang w:val="en-US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Требования</w:t>
            </w:r>
            <w:r>
              <w:rPr>
                <w:b/>
                <w:bCs/>
                <w:sz w:val="23"/>
                <w:szCs w:val="23"/>
              </w:rPr>
              <w:t xml:space="preserve"> по надежности</w:t>
            </w:r>
          </w:p>
        </w:tc>
        <w:tc>
          <w:tcPr>
            <w:tcW w:w="317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</w:t>
            </w:r>
            <w:r>
              <w:rPr>
                <w:spacing w:val="-1"/>
                <w:sz w:val="23"/>
                <w:szCs w:val="23"/>
              </w:rPr>
              <w:t>службы</w:t>
            </w:r>
            <w:r>
              <w:rPr>
                <w:sz w:val="23"/>
                <w:szCs w:val="23"/>
              </w:rPr>
              <w:t xml:space="preserve"> до </w:t>
            </w:r>
            <w:r>
              <w:rPr>
                <w:spacing w:val="-1"/>
                <w:sz w:val="23"/>
                <w:szCs w:val="23"/>
              </w:rPr>
              <w:t>списания,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лет</w:t>
            </w:r>
            <w:r>
              <w:rPr>
                <w:sz w:val="23"/>
                <w:szCs w:val="23"/>
              </w:rPr>
              <w:t xml:space="preserve">  не</w:t>
            </w:r>
            <w:r>
              <w:rPr>
                <w:spacing w:val="-1"/>
                <w:sz w:val="23"/>
                <w:szCs w:val="23"/>
              </w:rPr>
              <w:t xml:space="preserve"> менее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FFFFFF" w:themeFill="background1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FFFFFF" w:themeFill="background1"/>
            <w:vAlign w:val="center"/>
          </w:tcPr>
          <w:p w:rsidR="001C7364" w:rsidRDefault="007A140A">
            <w:pPr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Гарантийный срок эксплуатации, месяцев, не менее</w:t>
            </w:r>
          </w:p>
        </w:tc>
        <w:tc>
          <w:tcPr>
            <w:tcW w:w="3179" w:type="dxa"/>
            <w:shd w:val="clear" w:color="auto" w:fill="FFFFFF" w:themeFill="background1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 месяцев со дня ввода Объекта в эксплуатацию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FFFFFF" w:themeFill="background1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Срок службы до среднего (капитального) ремонта, лет, не менее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Указать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Указание</w:t>
            </w:r>
          </w:p>
          <w:p w:rsidR="001C7364" w:rsidRDefault="007A140A">
            <w:pPr>
              <w:jc w:val="center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spacing w:val="-1"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680" w:type="dxa"/>
            <w:gridSpan w:val="2"/>
            <w:shd w:val="clear" w:color="auto" w:fill="E7E6E6" w:themeFill="background2"/>
            <w:vAlign w:val="center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Маркировка, упаковка и консервация по ГОСТ 23216-78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датчика ускорений с фиксацией времени событий на транспортной упаковке для контроля условий транспортировки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Таможенная очистка и доставка до места назначения (площадка строительства) </w:t>
            </w:r>
            <w:r>
              <w:rPr>
                <w:sz w:val="23"/>
                <w:szCs w:val="23"/>
              </w:rPr>
              <w:lastRenderedPageBreak/>
              <w:t>осуществляется за счет подрядчика и включено в стоимость оборудования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надписи должны быть выполнены на русском языке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хранения по ГОСТ 15150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8ОЖ3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транспортирования согласно ГОСТ 23216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Средние (С)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сохраняемости, не менее, лет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характеристик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эксплуатации, обеспечению и утилизации</w:t>
            </w:r>
          </w:p>
        </w:tc>
        <w:tc>
          <w:tcPr>
            <w:tcW w:w="3179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Эксплуатация, монтаж шинных опор должны соответствовать требованиям Правил технической эксплуатации электрических сетей, Правил организации технического обслуживания и ремонта объектов электроэнергетики, Правил устройств электроустановок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</w:t>
            </w:r>
            <w:r>
              <w:rPr>
                <w:sz w:val="23"/>
                <w:szCs w:val="23"/>
              </w:rPr>
              <w:lastRenderedPageBreak/>
              <w:t>окружающей среды после окончания срока службы оборудования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680" w:type="dxa"/>
            <w:gridSpan w:val="2"/>
            <w:shd w:val="clear" w:color="auto" w:fill="E7E6E6" w:themeFill="background2"/>
            <w:vAlign w:val="center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Шинная опора 110 кВ с фарфоровой изоляцией для крепления одного провода, УХЛ1, сейсмостойкость 9 баллов по шкале MSK-64 в комплекте с шинодержателем для одного провода типа АС сечением 12/19 мм</w:t>
            </w:r>
            <w:r>
              <w:rPr>
                <w:rFonts w:eastAsia="Calibri"/>
                <w:sz w:val="23"/>
                <w:szCs w:val="23"/>
                <w:vertAlign w:val="superscript"/>
              </w:rPr>
              <w:t>2</w:t>
            </w:r>
            <w:r>
              <w:rPr>
                <w:rFonts w:eastAsia="Calibri"/>
                <w:sz w:val="23"/>
                <w:szCs w:val="23"/>
              </w:rPr>
              <w:t xml:space="preserve"> , с оцинкованной опорной металлоконструкцией высотой H=4000мм, компл. для совместной установки с ОПН-110 кВ шт.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jc w:val="center"/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Эксплуатационная документация (паспорт, руководство по эксплуатации шинных опор, протоколы приёмо-сдаточных испытаний, габаритный чертеж и т.д.) на русском языке предоставляется при поставке оборудования, на электронном носителе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электронном носителе, компл.</w:t>
            </w:r>
          </w:p>
          <w:p w:rsidR="001C7364" w:rsidRDefault="007A140A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бумажном носителе, компл.</w:t>
            </w:r>
          </w:p>
        </w:tc>
        <w:tc>
          <w:tcPr>
            <w:tcW w:w="3179" w:type="dxa"/>
            <w:shd w:val="clear" w:color="auto" w:fill="auto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1C7364">
            <w:pPr>
              <w:jc w:val="center"/>
              <w:rPr>
                <w:sz w:val="23"/>
                <w:szCs w:val="23"/>
              </w:rPr>
            </w:pP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</w:tcPr>
          <w:p w:rsidR="001C7364" w:rsidRDefault="007A140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Габаритный и установочный чертежи шинной опоры и опорной металлической конструкции с указанием размеров и весовых характеристик, а также нагрузки на фундамент с опорной конструкцией Н=4000 мм;</w:t>
            </w:r>
          </w:p>
        </w:tc>
        <w:tc>
          <w:tcPr>
            <w:tcW w:w="3179" w:type="dxa"/>
            <w:shd w:val="clear" w:color="auto" w:fill="auto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trHeight w:val="109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Техническое описание и инструкция по эксплуатации шинных опор, включающая документацию по плановому ремонту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trHeight w:val="94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Инструкция по транспортированию, разгрузке, хранению, монтажу и вводу в эксплуатацию шинных опор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trHeight w:val="94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Доставка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Место поставки/адрес:</w:t>
            </w:r>
          </w:p>
          <w:p w:rsidR="001C7364" w:rsidRDefault="007A14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1C7364">
            <w:pPr>
              <w:pStyle w:val="afe"/>
              <w:widowControl w:val="0"/>
              <w:numPr>
                <w:ilvl w:val="0"/>
                <w:numId w:val="14"/>
              </w:numPr>
              <w:ind w:left="312" w:hanging="131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trHeight w:val="94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1C7364" w:rsidRDefault="007A140A">
            <w:pPr>
              <w:widowControl w:val="0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составных частей, восстановление потребительских свойств.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  <w:shd w:val="clear" w:color="auto" w:fill="E7E6E6" w:themeFill="background2"/>
            <w:vAlign w:val="center"/>
          </w:tcPr>
          <w:p w:rsidR="001C7364" w:rsidRDefault="001C7364" w:rsidP="005F1F5D">
            <w:pPr>
              <w:pStyle w:val="afe"/>
              <w:numPr>
                <w:ilvl w:val="0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680" w:type="dxa"/>
            <w:gridSpan w:val="2"/>
            <w:shd w:val="clear" w:color="auto" w:fill="E7E6E6" w:themeFill="background2"/>
          </w:tcPr>
          <w:p w:rsidR="001C7364" w:rsidRDefault="007A140A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  <w:vAlign w:val="center"/>
          </w:tcPr>
          <w:p w:rsidR="001C7364" w:rsidRDefault="007A140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-//-</w:t>
            </w:r>
          </w:p>
        </w:tc>
      </w:tr>
      <w:tr w:rsidR="001C7364" w:rsidTr="00D44C4E">
        <w:trPr>
          <w:trHeight w:val="4338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1C7364" w:rsidRDefault="001C7364" w:rsidP="005F1F5D">
            <w:pPr>
              <w:pStyle w:val="afe"/>
              <w:numPr>
                <w:ilvl w:val="1"/>
                <w:numId w:val="24"/>
              </w:numPr>
              <w:suppressAutoHyphens w:val="0"/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1C7364" w:rsidRDefault="007A140A">
            <w:pPr>
              <w:tabs>
                <w:tab w:val="left" w:pos="6435"/>
                <w:tab w:val="left" w:pos="787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 всем неоговоренном шинные опоры должны соответствовать требованиям следующей нормативной документации: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Р 2.601-2019 Единая система конструкторской документации (ЕСКД). Эксплуатационные документы;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Р 2.610-2019 Единая система конструкторской документации. Правила выполнения эксплуатационных документов;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Р 52034-23. Изоляторы опорные из керамики и стекла на напряжение свыше 1000 В. Общие технические условия;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12.2.007.0-75 Система стандартов безопасности труда. Изделия электротехнические. Общие требования безопасности.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12.2.003-91 Система стандартов безопасности труда. Оборудование производственное. Общие требования безопасности;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1516.3-96 Электрооборудование переменного тока на напряжение от 1 до 750 кВ. Требования к электрической прочности изоляции;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15150-69 Машины, приборы и другие технические изделия. Исполне</w:t>
            </w:r>
            <w:r>
              <w:rPr>
                <w:sz w:val="23"/>
                <w:szCs w:val="23"/>
              </w:rPr>
              <w:lastRenderedPageBreak/>
              <w:t>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9920-89 Электроустановки переменного тока на напряжение от 3 до 750 кВ. Длина пути утечки внешней изоляции;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ГОСТ 13873 Изоляторы керамические. Требования к качеству поверхности;</w:t>
            </w:r>
          </w:p>
          <w:p w:rsidR="001C7364" w:rsidRDefault="007A140A" w:rsidP="00D44C4E">
            <w:pPr>
              <w:pStyle w:val="afe"/>
              <w:numPr>
                <w:ilvl w:val="0"/>
                <w:numId w:val="10"/>
              </w:numPr>
              <w:tabs>
                <w:tab w:val="left" w:pos="6435"/>
                <w:tab w:val="left" w:pos="7875"/>
              </w:tabs>
              <w:suppressAutoHyphens w:val="0"/>
              <w:ind w:left="233" w:hanging="2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ГОСТ 23216 Изделия электротехнические. Хранение, транспортирование, временная противокоррозионная защита, упаковка. Общие требования и методы испытаний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1C7364" w:rsidRDefault="007A14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1C7364" w:rsidRDefault="007A140A">
            <w:pPr>
              <w:pStyle w:val="afe"/>
              <w:ind w:left="312"/>
              <w:contextualSpacing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-//-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1C7364" w:rsidRDefault="001C736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C7364" w:rsidTr="00D44C4E">
        <w:trPr>
          <w:jc w:val="center"/>
        </w:trPr>
        <w:tc>
          <w:tcPr>
            <w:tcW w:w="644" w:type="dxa"/>
            <w:shd w:val="clear" w:color="auto" w:fill="E7E6E6" w:themeFill="background2"/>
          </w:tcPr>
          <w:p w:rsidR="001C7364" w:rsidRDefault="001C7364" w:rsidP="00D44C4E">
            <w:pPr>
              <w:pStyle w:val="afe"/>
              <w:widowControl w:val="0"/>
              <w:numPr>
                <w:ilvl w:val="0"/>
                <w:numId w:val="25"/>
              </w:numPr>
              <w:contextualSpacing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501" w:type="dxa"/>
            <w:shd w:val="clear" w:color="auto" w:fill="E7E6E6" w:themeFill="background2"/>
          </w:tcPr>
          <w:p w:rsidR="001C7364" w:rsidRDefault="007A140A">
            <w:pPr>
              <w:widowControl w:val="0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составу Технической документации</w:t>
            </w:r>
          </w:p>
        </w:tc>
        <w:tc>
          <w:tcPr>
            <w:tcW w:w="3179" w:type="dxa"/>
            <w:shd w:val="clear" w:color="auto" w:fill="E7E6E6" w:themeFill="background2"/>
          </w:tcPr>
          <w:p w:rsidR="001C7364" w:rsidRDefault="007A140A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1846" w:type="dxa"/>
            <w:shd w:val="clear" w:color="auto" w:fill="E7E6E6" w:themeFill="background2"/>
          </w:tcPr>
          <w:p w:rsidR="001C7364" w:rsidRDefault="007A140A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783" w:type="dxa"/>
            <w:shd w:val="clear" w:color="auto" w:fill="E7E6E6" w:themeFill="background2"/>
          </w:tcPr>
          <w:p w:rsidR="001C7364" w:rsidRDefault="007A140A">
            <w:pPr>
              <w:widowControl w:val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17" w:type="dxa"/>
            <w:shd w:val="clear" w:color="auto" w:fill="E7E6E6" w:themeFill="background2"/>
          </w:tcPr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C7364" w:rsidTr="00B51EA2">
        <w:trPr>
          <w:jc w:val="center"/>
        </w:trPr>
        <w:tc>
          <w:tcPr>
            <w:tcW w:w="644" w:type="dxa"/>
          </w:tcPr>
          <w:p w:rsidR="001C7364" w:rsidRDefault="001C7364" w:rsidP="00D44C4E">
            <w:pPr>
              <w:pStyle w:val="afe"/>
              <w:widowControl w:val="0"/>
              <w:numPr>
                <w:ilvl w:val="1"/>
                <w:numId w:val="25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1" w:type="dxa"/>
          </w:tcPr>
          <w:p w:rsidR="001C7364" w:rsidRDefault="007A140A">
            <w:pPr>
              <w:widowControl w:val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Техническая в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>составе: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- инструкция по транспортированию, разгрузке, хранению, монтажу и вводу в эксплуатацию;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управления, защиты и сигнализации;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сигналов;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Оборудование;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- Схемы табличек с паспортными данными и оперативными наименованиями;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Ведомость ЗИП;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1C7364" w:rsidRDefault="007A140A" w:rsidP="00D44C4E">
            <w:pPr>
              <w:widowControl w:val="0"/>
              <w:ind w:firstLine="233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3179" w:type="dxa"/>
          </w:tcPr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7A140A">
            <w:pPr>
              <w:widowControl w:val="0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</w:p>
        </w:tc>
        <w:tc>
          <w:tcPr>
            <w:tcW w:w="1846" w:type="dxa"/>
          </w:tcPr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1C7364" w:rsidRDefault="007A140A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2783" w:type="dxa"/>
          </w:tcPr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1C7364">
            <w:pPr>
              <w:widowControl w:val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  <w:p w:rsidR="001C7364" w:rsidRDefault="007A140A">
            <w:pPr>
              <w:widowControl w:val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117" w:type="dxa"/>
          </w:tcPr>
          <w:p w:rsidR="001C7364" w:rsidRDefault="001C736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1C7364" w:rsidRDefault="007A140A">
      <w:pPr>
        <w:rPr>
          <w:lang w:eastAsia="x-none"/>
        </w:rPr>
      </w:pPr>
      <w:r>
        <w:lastRenderedPageBreak/>
        <w:br w:type="textWrapping" w:clear="all"/>
      </w:r>
    </w:p>
    <w:sectPr w:rsidR="001C7364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7C" w:rsidRDefault="0080187C">
      <w:r>
        <w:separator/>
      </w:r>
    </w:p>
  </w:endnote>
  <w:endnote w:type="continuationSeparator" w:id="0">
    <w:p w:rsidR="0080187C" w:rsidRDefault="0080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7C" w:rsidRDefault="0080187C">
      <w:r>
        <w:separator/>
      </w:r>
    </w:p>
  </w:footnote>
  <w:footnote w:type="continuationSeparator" w:id="0">
    <w:p w:rsidR="0080187C" w:rsidRDefault="0080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>
    <w:pPr>
      <w:pStyle w:val="af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19EB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0187C" w:rsidRDefault="0080187C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19EBE2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0187C" w:rsidRDefault="0080187C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26EA7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26EA7"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26EA7">
      <w:rPr>
        <w:noProof/>
      </w:rPr>
      <w:t>18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7C" w:rsidRDefault="0080187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E16"/>
    <w:multiLevelType w:val="multilevel"/>
    <w:tmpl w:val="0419001F"/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E4F00A2"/>
    <w:multiLevelType w:val="multilevel"/>
    <w:tmpl w:val="1036310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F2B597F"/>
    <w:multiLevelType w:val="multilevel"/>
    <w:tmpl w:val="55C83C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4229FE"/>
    <w:multiLevelType w:val="multilevel"/>
    <w:tmpl w:val="45BA458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C1648"/>
    <w:multiLevelType w:val="multilevel"/>
    <w:tmpl w:val="0419001F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8B31C55"/>
    <w:multiLevelType w:val="multilevel"/>
    <w:tmpl w:val="50C0315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37AC0F6E"/>
    <w:multiLevelType w:val="multilevel"/>
    <w:tmpl w:val="FED025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8A13932"/>
    <w:multiLevelType w:val="multilevel"/>
    <w:tmpl w:val="ECD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CF83E4F"/>
    <w:multiLevelType w:val="multilevel"/>
    <w:tmpl w:val="42E84C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EB66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7C87DCB"/>
    <w:multiLevelType w:val="multilevel"/>
    <w:tmpl w:val="5D20FF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940774"/>
    <w:multiLevelType w:val="multilevel"/>
    <w:tmpl w:val="21DC4D1A"/>
    <w:lvl w:ilvl="0">
      <w:start w:val="1"/>
      <w:numFmt w:val="decimal"/>
      <w:pStyle w:val="41"/>
      <w:lvlText w:val=" %1 "/>
      <w:lvlJc w:val="left"/>
      <w:pPr>
        <w:tabs>
          <w:tab w:val="num" w:pos="0"/>
        </w:tabs>
        <w:ind w:left="-207" w:hanging="360"/>
      </w:pPr>
    </w:lvl>
    <w:lvl w:ilvl="1">
      <w:start w:val="1"/>
      <w:numFmt w:val="decimal"/>
      <w:pStyle w:val="21"/>
      <w:lvlText w:val=" %1.%2 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pStyle w:val="31"/>
      <w:lvlText w:val=" %1.%2.%3 "/>
      <w:lvlJc w:val="left"/>
      <w:pPr>
        <w:tabs>
          <w:tab w:val="num" w:pos="1233"/>
        </w:tabs>
        <w:ind w:left="1233" w:hanging="360"/>
      </w:pPr>
    </w:lvl>
    <w:lvl w:ilvl="3">
      <w:start w:val="1"/>
      <w:numFmt w:val="decimal"/>
      <w:lvlText w:val=" %1.%2.%3.%4 "/>
      <w:lvlJc w:val="left"/>
      <w:pPr>
        <w:tabs>
          <w:tab w:val="num" w:pos="1953"/>
        </w:tabs>
        <w:ind w:left="1953" w:hanging="360"/>
      </w:pPr>
    </w:lvl>
    <w:lvl w:ilvl="4">
      <w:start w:val="1"/>
      <w:numFmt w:val="decimal"/>
      <w:lvlText w:val=" %1.%2.%3.%4.%5 "/>
      <w:lvlJc w:val="left"/>
      <w:pPr>
        <w:tabs>
          <w:tab w:val="num" w:pos="2673"/>
        </w:tabs>
        <w:ind w:left="2673" w:hanging="360"/>
      </w:pPr>
    </w:lvl>
    <w:lvl w:ilvl="5">
      <w:start w:val="1"/>
      <w:numFmt w:val="decimal"/>
      <w:lvlText w:val=" %1.%2.%3.%4.%5.%6 "/>
      <w:lvlJc w:val="left"/>
      <w:pPr>
        <w:tabs>
          <w:tab w:val="num" w:pos="3393"/>
        </w:tabs>
        <w:ind w:left="3393" w:hanging="360"/>
      </w:pPr>
    </w:lvl>
    <w:lvl w:ilvl="6">
      <w:start w:val="1"/>
      <w:numFmt w:val="decimal"/>
      <w:lvlText w:val=" %1.%2.%3.%4.%5.%6.%7 "/>
      <w:lvlJc w:val="left"/>
      <w:pPr>
        <w:tabs>
          <w:tab w:val="num" w:pos="4113"/>
        </w:tabs>
        <w:ind w:left="4113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4833"/>
        </w:tabs>
        <w:ind w:left="4833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5553"/>
        </w:tabs>
        <w:ind w:left="5553" w:hanging="360"/>
      </w:pPr>
    </w:lvl>
  </w:abstractNum>
  <w:abstractNum w:abstractNumId="12" w15:restartNumberingAfterBreak="0">
    <w:nsid w:val="4D713F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F6E7810"/>
    <w:multiLevelType w:val="multilevel"/>
    <w:tmpl w:val="7BF83A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300684"/>
    <w:multiLevelType w:val="multilevel"/>
    <w:tmpl w:val="6A2A6806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3C32F11"/>
    <w:multiLevelType w:val="multilevel"/>
    <w:tmpl w:val="AEF6B6F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295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5CBF4A3D"/>
    <w:multiLevelType w:val="multilevel"/>
    <w:tmpl w:val="BB16BF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C97395"/>
    <w:multiLevelType w:val="multilevel"/>
    <w:tmpl w:val="F29E203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9" w15:restartNumberingAfterBreak="0">
    <w:nsid w:val="66A063D7"/>
    <w:multiLevelType w:val="multilevel"/>
    <w:tmpl w:val="ECFAB50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A632013"/>
    <w:multiLevelType w:val="multilevel"/>
    <w:tmpl w:val="0419001F"/>
    <w:lvl w:ilvl="0">
      <w:start w:val="2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6AC430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CE67CC6"/>
    <w:multiLevelType w:val="hybridMultilevel"/>
    <w:tmpl w:val="5B424D9C"/>
    <w:lvl w:ilvl="0" w:tplc="6D1AF846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3" w15:restartNumberingAfterBreak="0">
    <w:nsid w:val="6FDD39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77D507F6"/>
    <w:multiLevelType w:val="hybridMultilevel"/>
    <w:tmpl w:val="DDFC8DA0"/>
    <w:lvl w:ilvl="0" w:tplc="71D8E21C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16"/>
  </w:num>
  <w:num w:numId="7">
    <w:abstractNumId w:val="9"/>
  </w:num>
  <w:num w:numId="8">
    <w:abstractNumId w:val="12"/>
  </w:num>
  <w:num w:numId="9">
    <w:abstractNumId w:val="21"/>
  </w:num>
  <w:num w:numId="10">
    <w:abstractNumId w:val="17"/>
  </w:num>
  <w:num w:numId="11">
    <w:abstractNumId w:val="13"/>
  </w:num>
  <w:num w:numId="12">
    <w:abstractNumId w:val="3"/>
  </w:num>
  <w:num w:numId="13">
    <w:abstractNumId w:val="23"/>
  </w:num>
  <w:num w:numId="14">
    <w:abstractNumId w:val="10"/>
  </w:num>
  <w:num w:numId="15">
    <w:abstractNumId w:val="19"/>
  </w:num>
  <w:num w:numId="16">
    <w:abstractNumId w:val="8"/>
  </w:num>
  <w:num w:numId="17">
    <w:abstractNumId w:val="0"/>
  </w:num>
  <w:num w:numId="18">
    <w:abstractNumId w:val="4"/>
  </w:num>
  <w:num w:numId="19">
    <w:abstractNumId w:val="20"/>
  </w:num>
  <w:num w:numId="20">
    <w:abstractNumId w:val="7"/>
  </w:num>
  <w:num w:numId="21">
    <w:abstractNumId w:val="22"/>
  </w:num>
  <w:num w:numId="22">
    <w:abstractNumId w:val="24"/>
  </w:num>
  <w:num w:numId="23">
    <w:abstractNumId w:val="15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64"/>
    <w:rsid w:val="001C7364"/>
    <w:rsid w:val="00321878"/>
    <w:rsid w:val="005F1F5D"/>
    <w:rsid w:val="006B2BEB"/>
    <w:rsid w:val="006F00D1"/>
    <w:rsid w:val="007A140A"/>
    <w:rsid w:val="0080187C"/>
    <w:rsid w:val="00926EA7"/>
    <w:rsid w:val="009343FA"/>
    <w:rsid w:val="009728A6"/>
    <w:rsid w:val="009F5D85"/>
    <w:rsid w:val="00A010FF"/>
    <w:rsid w:val="00B14428"/>
    <w:rsid w:val="00B51EA2"/>
    <w:rsid w:val="00D41CA5"/>
    <w:rsid w:val="00D44C4E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6F42"/>
  <w15:docId w15:val="{EED10B45-15E5-4A42-AF42-72AF2EE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Textbody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sid w:val="003879D4"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a">
    <w:name w:val="Ссылка указателя"/>
    <w:qFormat/>
  </w:style>
  <w:style w:type="character" w:customStyle="1" w:styleId="affb">
    <w:name w:val="Маркеры"/>
    <w:qFormat/>
    <w:rPr>
      <w:rFonts w:ascii="OpenSymbol" w:eastAsia="OpenSymbol" w:hAnsi="OpenSymbol" w:cs="OpenSymbol"/>
    </w:rPr>
  </w:style>
  <w:style w:type="character" w:styleId="affc">
    <w:name w:val="Strong"/>
    <w:qFormat/>
    <w:rPr>
      <w:b/>
      <w:bCs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">
    <w:name w:val="Текст выноски Знак"/>
    <w:basedOn w:val="a4"/>
    <w:link w:val="afff0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1">
    <w:name w:val="line number"/>
    <w:qFormat/>
    <w:rsid w:val="008A4CBC"/>
  </w:style>
  <w:style w:type="character" w:customStyle="1" w:styleId="afff2">
    <w:name w:val="Символ нумерации"/>
    <w:qFormat/>
  </w:style>
  <w:style w:type="character" w:customStyle="1" w:styleId="Internetlink">
    <w:name w:val="Internet link"/>
    <w:qFormat/>
    <w:rsid w:val="00BC25EB"/>
    <w:rPr>
      <w:color w:val="000080"/>
      <w:u w:val="single"/>
    </w:rPr>
  </w:style>
  <w:style w:type="paragraph" w:customStyle="1" w:styleId="16">
    <w:name w:val="Заголовок1"/>
    <w:basedOn w:val="Standard"/>
    <w:next w:val="Textbody"/>
    <w:qFormat/>
    <w:rsid w:val="00BC25EB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ff3">
    <w:name w:val="Body Text"/>
    <w:basedOn w:val="a3"/>
    <w:qFormat/>
    <w:rsid w:val="0076353A"/>
    <w:pPr>
      <w:spacing w:after="120"/>
    </w:pPr>
  </w:style>
  <w:style w:type="paragraph" w:styleId="afff4">
    <w:name w:val="List"/>
    <w:basedOn w:val="afff3"/>
  </w:style>
  <w:style w:type="paragraph" w:styleId="afff5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Standard"/>
    <w:qFormat/>
    <w:rsid w:val="00BC25EB"/>
    <w:pPr>
      <w:suppressLineNumbers/>
    </w:pPr>
  </w:style>
  <w:style w:type="paragraph" w:styleId="afff6">
    <w:name w:val="Title"/>
    <w:basedOn w:val="a3"/>
    <w:next w:val="afff3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6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6"/>
    <w:qFormat/>
  </w:style>
  <w:style w:type="paragraph" w:customStyle="1" w:styleId="afff7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8">
    <w:name w:val="Колонтитул"/>
    <w:basedOn w:val="a3"/>
    <w:qFormat/>
  </w:style>
  <w:style w:type="paragraph" w:styleId="aff3">
    <w:name w:val="header"/>
    <w:basedOn w:val="a3"/>
    <w:link w:val="aff2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9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a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b">
    <w:name w:val="Раздел регламента"/>
    <w:basedOn w:val="a3"/>
    <w:qFormat/>
    <w:rsid w:val="00E228FA"/>
  </w:style>
  <w:style w:type="paragraph" w:customStyle="1" w:styleId="afffc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3"/>
    <w:link w:val="afff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d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index heading"/>
    <w:basedOn w:val="16"/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9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Standard"/>
    <w:qFormat/>
    <w:rsid w:val="00BC25EB"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rsid w:val="00BC25EB"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BC25EB"/>
    <w:pPr>
      <w:textAlignment w:val="baseline"/>
    </w:pPr>
    <w:rPr>
      <w:rFonts w:ascii="Liberation Serif" w:eastAsia="Noto Serif CJK SC" w:hAnsi="Liberation Serif" w:cs="Arial Unicode M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afc"/>
    <w:qFormat/>
    <w:rsid w:val="00BC25EB"/>
    <w:pPr>
      <w:spacing w:after="140" w:line="276" w:lineRule="auto"/>
    </w:p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4954751991">
    <w:name w:val="34954751991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E94BD7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C97D-0388-4E7E-8CDD-90F2CF3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Гусейнов Гусейн Магомедович</cp:lastModifiedBy>
  <cp:revision>6</cp:revision>
  <cp:lastPrinted>2006-07-26T14:04:00Z</cp:lastPrinted>
  <dcterms:created xsi:type="dcterms:W3CDTF">2026-06-26T07:46:00Z</dcterms:created>
  <dcterms:modified xsi:type="dcterms:W3CDTF">2026-06-26T11:23:00Z</dcterms:modified>
  <dc:language>ru-RU</dc:language>
</cp:coreProperties>
</file>