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header4.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9"/>
          <w:tab w:val="left" w:pos="6926" w:leader="none"/>
        </w:tabs>
        <w:jc w:val="center"/>
        <w:rPr>
          <w:b/>
          <w:bCs/>
          <w:sz w:val="24"/>
          <w:szCs w:val="24"/>
        </w:rPr>
      </w:pPr>
      <w:r>
        <w:rPr>
          <w:b/>
          <w:bCs/>
          <w:sz w:val="24"/>
          <w:szCs w:val="24"/>
        </w:rPr>
        <w:t>ПРОЕКТ ДОГОВОРА</w:t>
      </w:r>
    </w:p>
    <w:p>
      <w:pPr>
        <w:pStyle w:val="Normal"/>
        <w:widowControl/>
        <w:jc w:val="center"/>
        <w:rPr>
          <w:b/>
          <w:bCs/>
          <w:sz w:val="24"/>
          <w:szCs w:val="24"/>
        </w:rPr>
      </w:pPr>
      <w:r>
        <w:rPr>
          <w:rFonts w:ascii="Times New Roman;serif" w:hAnsi="Times New Roman;serif"/>
          <w:b/>
          <w:bCs/>
          <w:color w:val="000000"/>
          <w:sz w:val="24"/>
          <w:szCs w:val="24"/>
          <w:shd w:fill="auto" w:val="clear"/>
        </w:rPr>
        <w:t xml:space="preserve">Поставка </w:t>
      </w:r>
      <w:r>
        <w:rPr>
          <w:rFonts w:ascii="Times New Roman;serif" w:hAnsi="Times New Roman;serif"/>
          <w:b/>
          <w:bCs/>
          <w:color w:val="000000"/>
          <w:sz w:val="24"/>
          <w:szCs w:val="24"/>
          <w:shd w:fill="auto" w:val="clear"/>
        </w:rPr>
        <w:t>подшипников</w:t>
      </w:r>
      <w:r>
        <w:rPr>
          <w:b/>
          <w:bCs/>
          <w:sz w:val="24"/>
          <w:szCs w:val="24"/>
        </w:rPr>
        <w:t xml:space="preserve"> для филиала ПАО "РусГидро"-"Зейская</w:t>
      </w:r>
    </w:p>
    <w:p>
      <w:pPr>
        <w:pStyle w:val="Normal"/>
        <w:shd w:val="clear" w:color="auto" w:fill="FFFFFF"/>
        <w:tabs>
          <w:tab w:val="clear" w:pos="709"/>
          <w:tab w:val="left" w:pos="6926" w:leader="none"/>
        </w:tabs>
        <w:jc w:val="center"/>
        <w:rPr>
          <w:b/>
          <w:sz w:val="24"/>
          <w:szCs w:val="24"/>
        </w:rPr>
      </w:pPr>
      <w:r>
        <w:rPr>
          <w:b/>
          <w:sz w:val="24"/>
          <w:szCs w:val="24"/>
        </w:rPr>
      </w:r>
    </w:p>
    <w:p>
      <w:pPr>
        <w:pStyle w:val="Normal"/>
        <w:shd w:val="clear" w:color="auto" w:fill="FFFFFF"/>
        <w:tabs>
          <w:tab w:val="clear" w:pos="709"/>
          <w:tab w:val="left" w:pos="6926" w:leader="none"/>
        </w:tabs>
        <w:jc w:val="center"/>
        <w:rPr>
          <w:b/>
          <w:sz w:val="24"/>
          <w:szCs w:val="24"/>
        </w:rPr>
      </w:pPr>
      <w:r>
        <w:rPr>
          <w:b/>
          <w:sz w:val="24"/>
          <w:szCs w:val="24"/>
        </w:rPr>
      </w:r>
    </w:p>
    <w:p>
      <w:pPr>
        <w:pStyle w:val="Normal"/>
        <w:shd w:val="clear" w:color="auto" w:fill="FFFFFF"/>
        <w:tabs>
          <w:tab w:val="clear" w:pos="709"/>
          <w:tab w:val="left" w:pos="6926" w:leader="none"/>
        </w:tabs>
        <w:jc w:val="center"/>
        <w:rPr>
          <w:b/>
          <w:sz w:val="24"/>
          <w:szCs w:val="24"/>
        </w:rPr>
      </w:pPr>
      <w:r>
        <w:rPr>
          <w:b/>
          <w:sz w:val="24"/>
          <w:szCs w:val="24"/>
        </w:rPr>
      </w:r>
    </w:p>
    <w:p>
      <w:pPr>
        <w:pStyle w:val="Normal"/>
        <w:shd w:val="clear" w:color="auto" w:fill="FFFFFF"/>
        <w:rPr>
          <w:b/>
          <w:bCs/>
          <w:sz w:val="24"/>
          <w:szCs w:val="24"/>
        </w:rPr>
      </w:pPr>
      <w:r>
        <w:rPr>
          <w:b/>
          <w:bCs/>
          <w:sz w:val="24"/>
          <w:szCs w:val="24"/>
        </w:rPr>
      </w:r>
    </w:p>
    <w:p>
      <w:pPr>
        <w:pStyle w:val="Normal"/>
        <w:shd w:val="clear" w:color="auto" w:fill="FFFFFF"/>
        <w:tabs>
          <w:tab w:val="clear" w:pos="709"/>
          <w:tab w:val="right" w:pos="9639" w:leader="none"/>
        </w:tabs>
        <w:jc w:val="right"/>
        <w:rPr>
          <w:bCs/>
          <w:sz w:val="24"/>
          <w:szCs w:val="24"/>
        </w:rPr>
      </w:pPr>
      <w:r>
        <w:rPr>
          <w:bCs/>
          <w:sz w:val="24"/>
          <w:szCs w:val="24"/>
        </w:rPr>
        <w:t>г. Зея</w:t>
        <w:tab/>
        <w:t xml:space="preserve">   «___» _________ 20__ г.</w:t>
      </w:r>
    </w:p>
    <w:p>
      <w:pPr>
        <w:pStyle w:val="Normal"/>
        <w:shd w:val="clear" w:color="auto" w:fill="FFFFFF"/>
        <w:tabs>
          <w:tab w:val="clear" w:pos="709"/>
          <w:tab w:val="right" w:pos="9639" w:leader="none"/>
        </w:tabs>
        <w:jc w:val="right"/>
        <w:rPr>
          <w:bCs/>
          <w:sz w:val="24"/>
          <w:szCs w:val="24"/>
        </w:rPr>
      </w:pPr>
      <w:r>
        <w:rPr>
          <w:bCs/>
          <w:sz w:val="24"/>
          <w:szCs w:val="24"/>
        </w:rPr>
      </w:r>
    </w:p>
    <w:p>
      <w:pPr>
        <w:pStyle w:val="Normal"/>
        <w:ind w:firstLine="709"/>
        <w:jc w:val="both"/>
        <w:rPr>
          <w:sz w:val="24"/>
          <w:szCs w:val="24"/>
        </w:rPr>
      </w:pPr>
      <w:r>
        <w:rPr>
          <w:b/>
          <w:sz w:val="24"/>
          <w:szCs w:val="24"/>
        </w:rPr>
        <w:t xml:space="preserve">Публичное акционерное общество «Федеральная гидрогенерирующая </w:t>
        <w:br/>
        <w:t xml:space="preserve">компания – РусГидро» </w:t>
      </w:r>
      <w:r>
        <w:rPr>
          <w:sz w:val="24"/>
          <w:szCs w:val="24"/>
        </w:rPr>
        <w:t>(ПАО «РусГидро»)</w:t>
      </w:r>
      <w:r>
        <w:rPr>
          <w:spacing w:val="2"/>
          <w:sz w:val="24"/>
          <w:szCs w:val="24"/>
        </w:rPr>
        <w:t xml:space="preserve"> (далее – </w:t>
      </w:r>
      <w:r>
        <w:rPr>
          <w:sz w:val="24"/>
          <w:szCs w:val="24"/>
        </w:rPr>
        <w:t>«Покупатель»), в лице _____________________</w:t>
      </w:r>
      <w:r>
        <w:rPr>
          <w:spacing w:val="4"/>
          <w:sz w:val="24"/>
          <w:szCs w:val="24"/>
        </w:rPr>
        <w:t xml:space="preserve">, действующего на основании ________, с одной стороны, </w:t>
        <w:br/>
        <w:t>и</w:t>
      </w:r>
      <w:r>
        <w:rPr>
          <w:spacing w:val="10"/>
          <w:sz w:val="24"/>
          <w:szCs w:val="24"/>
        </w:rPr>
        <w:t xml:space="preserve"> </w:t>
      </w:r>
      <w:r>
        <w:rPr>
          <w:b/>
          <w:spacing w:val="10"/>
          <w:sz w:val="24"/>
          <w:szCs w:val="24"/>
        </w:rPr>
        <w:t>____________________</w:t>
      </w:r>
      <w:r>
        <w:rPr>
          <w:bCs/>
          <w:sz w:val="24"/>
          <w:szCs w:val="24"/>
        </w:rPr>
        <w:t xml:space="preserve"> </w:t>
      </w:r>
      <w:r>
        <w:rPr>
          <w:sz w:val="24"/>
          <w:szCs w:val="24"/>
        </w:rPr>
        <w:t xml:space="preserve">(далее – «Поставщик»), в лице _________________________, действующего на основании ___________________, с другой стороны, </w:t>
      </w:r>
    </w:p>
    <w:p>
      <w:pPr>
        <w:pStyle w:val="Normal"/>
        <w:ind w:firstLine="709"/>
        <w:jc w:val="both"/>
        <w:rPr>
          <w:spacing w:val="10"/>
          <w:sz w:val="24"/>
          <w:szCs w:val="24"/>
        </w:rPr>
      </w:pPr>
      <w:r>
        <w:rPr>
          <w:sz w:val="24"/>
          <w:szCs w:val="24"/>
        </w:rPr>
        <w:t xml:space="preserve">совместно в дальнейшем именуемые «Стороны», а по отдельности – «Сторона», </w:t>
        <w:br/>
      </w:r>
      <w:r>
        <w:rPr>
          <w:sz w:val="24"/>
          <w:szCs w:val="24"/>
          <w:shd w:fill="auto" w:val="clear"/>
          <w:lang w:eastAsia="en-US"/>
        </w:rPr>
        <w:t xml:space="preserve">по результатам проведенной Покупателем закупочной процедуры по лоту № ____________ и на основании протокола __________ от «___» _________ г. №_______, </w:t>
      </w:r>
      <w:r>
        <w:rPr>
          <w:sz w:val="24"/>
          <w:szCs w:val="24"/>
          <w:shd w:fill="auto" w:val="clear"/>
        </w:rPr>
        <w:t>заключили настоящий договор поставки (далее – «Договор») о нижеследующем:</w:t>
      </w:r>
    </w:p>
    <w:p>
      <w:pPr>
        <w:pStyle w:val="Normal"/>
        <w:shd w:val="clear" w:color="auto" w:fill="FFFFFF"/>
        <w:rPr>
          <w:bCs/>
          <w:sz w:val="24"/>
          <w:szCs w:val="24"/>
          <w:lang w:val="x-none"/>
        </w:rPr>
      </w:pPr>
      <w:r>
        <w:rPr>
          <w:bCs/>
          <w:sz w:val="24"/>
          <w:szCs w:val="24"/>
          <w:lang w:val="x-none"/>
        </w:rPr>
      </w:r>
    </w:p>
    <w:p>
      <w:pPr>
        <w:pStyle w:val="Normal"/>
        <w:shd w:val="clear" w:color="auto" w:fill="FFFFFF"/>
        <w:jc w:val="center"/>
        <w:rPr>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 xml:space="preserve">Термины и определения, приведенные в настоящем разделе, предназначены </w:t>
        <w:br/>
        <w:t>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«Банковская гарантия»</w:t>
      </w:r>
      <w:r>
        <w:rPr>
          <w:sz w:val="24"/>
          <w:szCs w:val="24"/>
          <w:lang w:eastAsia="en-US"/>
        </w:rPr>
        <w:t xml:space="preserve"> – независимая гарантия, выданная в обеспечение исполнения Поставщиком обязательств по Договору согласованным с Покупателем банком (гарантом), которая регулируется Унифицированными правилами для гарантий </w:t>
        <w:br/>
        <w:t>по требованию, включая типовые формы (URDG 758) (публикация Международной торговой палаты № 758),</w:t>
      </w:r>
      <w:r>
        <w:rPr>
          <w:sz w:val="24"/>
          <w:szCs w:val="24"/>
        </w:rPr>
        <w:t xml:space="preserve"> </w:t>
      </w:r>
      <w:r>
        <w:rPr>
          <w:sz w:val="24"/>
          <w:szCs w:val="24"/>
          <w:lang w:eastAsia="en-US"/>
        </w:rPr>
        <w:t>в той мере, в какой указанные правила не противоречат законодательству Российской Федерации и условиям настоящего Договора.</w:t>
      </w:r>
    </w:p>
    <w:p>
      <w:pPr>
        <w:pStyle w:val="ListParagraph"/>
        <w:shd w:val="clear" w:color="auto" w:fill="FFFFFF"/>
        <w:tabs>
          <w:tab w:val="clear" w:pos="709"/>
          <w:tab w:val="left" w:pos="567" w:leader="none"/>
          <w:tab w:val="left" w:pos="1134" w:leader="none"/>
        </w:tabs>
        <w:overflowPunct w:val="false"/>
        <w:ind w:left="0" w:firstLine="708"/>
        <w:jc w:val="both"/>
        <w:textAlignment w:val="baseline"/>
        <w:rPr>
          <w:sz w:val="24"/>
          <w:szCs w:val="24"/>
          <w:lang w:eastAsia="en-US"/>
        </w:rPr>
      </w:pPr>
      <w:r>
        <w:rPr>
          <w:b/>
          <w:sz w:val="24"/>
          <w:szCs w:val="24"/>
          <w:lang w:eastAsia="en-US"/>
        </w:rPr>
        <w:t>«Гарантийный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shd w:val="clear" w:color="auto" w:fill="FFFFFF"/>
        <w:tabs>
          <w:tab w:val="clear" w:pos="709"/>
          <w:tab w:val="left" w:pos="0" w:leader="none"/>
        </w:tabs>
        <w:overflowPunct w:val="false"/>
        <w:ind w:left="0"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 xml:space="preserve">от 25.12.1998 № 132, подписываемый Сторонами после завершения приемки Товара </w:t>
        <w:br/>
        <w:t>по количеству, качеству и комплектности.</w:t>
      </w:r>
    </w:p>
    <w:p>
      <w:pPr>
        <w:pStyle w:val="ListParagraph"/>
        <w:shd w:val="clear" w:color="auto" w:fill="FFFFFF"/>
        <w:tabs>
          <w:tab w:val="clear" w:pos="709"/>
          <w:tab w:val="left" w:pos="0" w:leader="none"/>
        </w:tabs>
        <w:overflowPunct w:val="false"/>
        <w:ind w:left="0" w:firstLine="709"/>
        <w:jc w:val="both"/>
        <w:textAlignment w:val="baseline"/>
        <w:rPr>
          <w:b/>
          <w:sz w:val="24"/>
          <w:szCs w:val="24"/>
          <w:lang w:eastAsia="en-US"/>
        </w:rPr>
      </w:pPr>
      <w:r>
        <w:rPr>
          <w:b/>
          <w:bCs/>
          <w:sz w:val="24"/>
          <w:szCs w:val="24"/>
        </w:rPr>
        <w:t>«Национальный режим»</w:t>
      </w:r>
      <w:r>
        <w:rPr>
          <w:bCs/>
          <w:sz w:val="24"/>
          <w:szCs w:val="24"/>
        </w:rPr>
        <w:t xml:space="preserve"> - установленные законодательством Российской Федерации условия, обеспечивающие предоставление (или непредоставление) для происходящей из иностранного государства продукции прав участия в закупке, равных с правами для продукции российского происхождения.</w:t>
      </w:r>
      <w:r>
        <w:rPr>
          <w:b/>
          <w:sz w:val="24"/>
          <w:szCs w:val="24"/>
          <w:lang w:eastAsia="en-US"/>
        </w:rPr>
        <w:t xml:space="preserve"> </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Российской Федерации (далее – ГК РФ) в случаях, установленных Договором. </w:t>
      </w:r>
    </w:p>
    <w:p>
      <w:pPr>
        <w:pStyle w:val="Heading3"/>
        <w:keepNext w:val="false"/>
        <w:tabs>
          <w:tab w:val="clear" w:pos="709"/>
          <w:tab w:val="left" w:pos="0" w:leader="none"/>
        </w:tabs>
        <w:overflowPunct w:val="false"/>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«Применимое право»</w:t>
      </w:r>
      <w:r>
        <w:rPr>
          <w:rFonts w:ascii="Times New Roman" w:hAnsi="Times New Roman"/>
          <w:b w:val="false"/>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9"/>
        <w:jc w:val="both"/>
        <w:rPr>
          <w:sz w:val="24"/>
          <w:szCs w:val="24"/>
          <w:lang w:eastAsia="en-US"/>
        </w:rPr>
      </w:pPr>
      <w:r>
        <w:rPr>
          <w:b/>
          <w:sz w:val="24"/>
          <w:szCs w:val="24"/>
          <w:lang w:eastAsia="en-US"/>
        </w:rPr>
        <w:t>«Проектная документация»</w:t>
      </w:r>
      <w:r>
        <w:rPr>
          <w:sz w:val="24"/>
          <w:szCs w:val="24"/>
          <w:lang w:eastAsia="en-US"/>
        </w:rPr>
        <w:t xml:space="preserve"> – совокупность текстовых и графических (в виде карт (схем)) документов и материалов, определяющих архитектурные, функционально-технологические, конструктивные и инженерно-технические решения для обеспечения строительства, реконструкции, модернизации, технического перевооружения объектов капитального строительства, их частей. </w:t>
      </w:r>
    </w:p>
    <w:p>
      <w:pPr>
        <w:pStyle w:val="Normal"/>
        <w:ind w:firstLine="709"/>
        <w:jc w:val="both"/>
        <w:rPr>
          <w:sz w:val="24"/>
          <w:szCs w:val="24"/>
          <w:lang w:eastAsia="en-US"/>
        </w:rPr>
      </w:pPr>
      <w:r>
        <w:rPr>
          <w:sz w:val="24"/>
          <w:szCs w:val="24"/>
          <w:lang w:eastAsia="en-US"/>
        </w:rPr>
        <w:t xml:space="preserve">Состав разделов Проектной документации определяется Применимым правом. </w:t>
      </w:r>
    </w:p>
    <w:p>
      <w:pPr>
        <w:pStyle w:val="Normal"/>
        <w:ind w:firstLine="709"/>
        <w:jc w:val="both"/>
        <w:rPr>
          <w:b/>
          <w:sz w:val="24"/>
          <w:szCs w:val="24"/>
          <w:lang w:eastAsia="en-US"/>
        </w:rPr>
      </w:pPr>
      <w:r>
        <w:rPr>
          <w:sz w:val="24"/>
          <w:szCs w:val="24"/>
          <w:lang w:eastAsia="en-US"/>
        </w:rPr>
        <w:t>В состав Проектной документации может включаться также иная документация, необходимая для выполнения работ и эксплуатации объекта капитального строительства, разработанная, в том числе, на основании Технического задания Покупателя.</w:t>
      </w:r>
    </w:p>
    <w:p>
      <w:pPr>
        <w:pStyle w:val="Normal"/>
        <w:ind w:firstLine="708"/>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widowControl w:val="false"/>
        <w:tabs>
          <w:tab w:val="clear" w:pos="709"/>
          <w:tab w:val="left" w:pos="567" w:leader="none"/>
        </w:tabs>
        <w:overflowPunct w:val="false"/>
        <w:spacing w:before="0" w:after="0"/>
        <w:ind w:firstLine="708"/>
        <w:jc w:val="both"/>
        <w:textAlignment w:val="baseline"/>
        <w:rPr>
          <w:highlight w:val="none"/>
          <w:shd w:fill="auto" w:val="clear"/>
        </w:rPr>
      </w:pPr>
      <w:r>
        <w:rPr>
          <w:rFonts w:eastAsia="Times New Roman" w:cs="Times New Roman" w:ascii="Times New Roman" w:hAnsi="Times New Roman"/>
          <w:b/>
          <w:color w:val="000000"/>
          <w:kern w:val="0"/>
          <w:sz w:val="24"/>
          <w:szCs w:val="24"/>
          <w:shd w:fill="auto" w:val="clear"/>
          <w:lang w:val="ru-RU" w:eastAsia="en-US" w:bidi="ar-SA"/>
        </w:rPr>
        <w:t xml:space="preserve">«Универсальный передаточный документ», «УПД» </w:t>
      </w:r>
      <w:r>
        <w:rPr>
          <w:rFonts w:eastAsia="Times New Roman" w:cs="Times New Roman" w:ascii="Times New Roman" w:hAnsi="Times New Roman"/>
          <w:b w:val="false"/>
          <w:color w:val="000000"/>
          <w:kern w:val="0"/>
          <w:sz w:val="24"/>
          <w:szCs w:val="24"/>
          <w:shd w:fill="auto" w:val="clear"/>
          <w:lang w:val="ru-RU" w:eastAsia="en-US" w:bidi="ar-SA"/>
        </w:rPr>
        <w:t>–</w:t>
      </w:r>
      <w:r>
        <w:rPr>
          <w:rFonts w:eastAsia="Times New Roman" w:cs="Times New Roman" w:ascii="Times New Roman" w:hAnsi="Times New Roman"/>
          <w:b/>
          <w:color w:val="000000"/>
          <w:kern w:val="0"/>
          <w:sz w:val="24"/>
          <w:szCs w:val="24"/>
          <w:shd w:fill="auto" w:val="clear"/>
          <w:lang w:val="ru-RU" w:eastAsia="en-US" w:bidi="ar-SA"/>
        </w:rPr>
        <w:t xml:space="preserve"> </w:t>
      </w:r>
      <w:r>
        <w:rPr>
          <w:rFonts w:eastAsia="Times New Roman" w:cs="Times New Roman" w:ascii="Times New Roman" w:hAnsi="Times New Roman"/>
          <w:b w:val="false"/>
          <w:color w:val="000000"/>
          <w:kern w:val="0"/>
          <w:sz w:val="24"/>
          <w:szCs w:val="24"/>
          <w:shd w:fill="auto" w:val="clear"/>
          <w:lang w:val="ru-RU" w:eastAsia="en-US" w:bidi="ar-SA"/>
        </w:rPr>
        <w:t>форма документа, рекомендованная для применения письмом ФНС России от 21.10.2013 № ММВ-20-3/96@ (объединяет реквизиты счета-фактуры и первичного документа о передаче товаров, работ, услуг)</w:t>
      </w:r>
      <w:r>
        <w:rPr>
          <w:rFonts w:eastAsia="Times New Roman" w:cs="Times New Roman" w:ascii="Times New Roman" w:hAnsi="Times New Roman"/>
          <w:b w:val="false"/>
          <w:bCs w:val="false"/>
          <w:color w:val="000000"/>
          <w:kern w:val="0"/>
          <w:sz w:val="24"/>
          <w:szCs w:val="24"/>
          <w:shd w:fill="auto" w:val="clear"/>
          <w:lang w:val="ru-RU" w:eastAsia="en-US" w:bidi="ar-SA"/>
        </w:rPr>
        <w:t>.</w:t>
      </w:r>
    </w:p>
    <w:p>
      <w:pPr>
        <w:pStyle w:val="Heading3"/>
        <w:tabs>
          <w:tab w:val="clear" w:pos="709"/>
          <w:tab w:val="left" w:pos="0" w:leader="none"/>
        </w:tabs>
        <w:overflowPunct w:val="false"/>
        <w:spacing w:before="0" w:after="0"/>
        <w:ind w:firstLine="708"/>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false"/>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w:t>
        <w:br/>
        <w:t xml:space="preserve">и причитающееся ему вознаграждение, а также инфляционные риски на весь период действия Договора. </w:t>
      </w:r>
    </w:p>
    <w:p>
      <w:pPr>
        <w:pStyle w:val="Normal"/>
        <w:shd w:val="clear" w:color="auto" w:fill="FFFFFF"/>
        <w:ind w:firstLine="709"/>
        <w:jc w:val="center"/>
        <w:rPr>
          <w:bCs/>
          <w:sz w:val="24"/>
          <w:szCs w:val="24"/>
          <w:highlight w:val="none"/>
          <w:shd w:fill="auto" w:val="clear"/>
        </w:rPr>
      </w:pPr>
      <w:r>
        <w:rPr>
          <w:bCs/>
          <w:sz w:val="24"/>
          <w:szCs w:val="24"/>
          <w:shd w:fill="auto" w:val="clear"/>
        </w:rPr>
      </w:r>
    </w:p>
    <w:p>
      <w:pPr>
        <w:pStyle w:val="Normal"/>
        <w:numPr>
          <w:ilvl w:val="0"/>
          <w:numId w:val="2"/>
        </w:numPr>
        <w:shd w:val="clear" w:color="auto" w:fill="FFFFFF"/>
        <w:tabs>
          <w:tab w:val="clear" w:pos="709"/>
          <w:tab w:val="left" w:pos="284" w:leader="none"/>
        </w:tabs>
        <w:ind w:left="0" w:hanging="0"/>
        <w:jc w:val="center"/>
        <w:rPr>
          <w:highlight w:val="none"/>
          <w:shd w:fill="auto" w:val="clear"/>
        </w:rPr>
      </w:pPr>
      <w:r>
        <w:rPr>
          <w:b/>
          <w:bCs/>
          <w:sz w:val="24"/>
          <w:szCs w:val="24"/>
          <w:shd w:fill="auto" w:val="clear"/>
        </w:rPr>
        <w:t>Предмет Договора</w:t>
      </w:r>
    </w:p>
    <w:p>
      <w:pPr>
        <w:pStyle w:val="Normal"/>
        <w:numPr>
          <w:ilvl w:val="1"/>
          <w:numId w:val="2"/>
        </w:numPr>
        <w:shd w:val="clear" w:color="auto" w:fill="FFFFFF"/>
        <w:tabs>
          <w:tab w:val="clear" w:pos="709"/>
          <w:tab w:val="left" w:pos="1134" w:leader="none"/>
        </w:tabs>
        <w:ind w:left="0" w:firstLine="709"/>
        <w:jc w:val="both"/>
        <w:rPr>
          <w:highlight w:val="none"/>
          <w:shd w:fill="auto" w:val="clear"/>
        </w:rPr>
      </w:pPr>
      <w:r>
        <w:rPr>
          <w:bCs/>
          <w:sz w:val="24"/>
          <w:szCs w:val="24"/>
          <w:shd w:fill="auto" w:val="clear"/>
        </w:rPr>
        <w:t xml:space="preserve">Поставщик обязуется в порядке и сроки, установленные Договором, передать </w:t>
        <w:br/>
        <w:t>в собственность Покупателю</w:t>
      </w:r>
      <w:r>
        <w:rPr>
          <w:rFonts w:eastAsia="Calibri"/>
          <w:bCs/>
          <w:sz w:val="24"/>
          <w:szCs w:val="24"/>
          <w:shd w:fill="auto" w:val="clear"/>
          <w:lang w:eastAsia="en-US"/>
        </w:rPr>
        <w:t xml:space="preserve"> </w:t>
      </w:r>
      <w:r>
        <w:rPr>
          <w:rFonts w:eastAsia="Calibri"/>
          <w:b/>
          <w:bCs/>
          <w:i w:val="false"/>
          <w:iCs w:val="false"/>
          <w:sz w:val="24"/>
          <w:szCs w:val="24"/>
          <w:shd w:fill="auto" w:val="clear"/>
          <w:lang w:eastAsia="en-US"/>
        </w:rPr>
        <w:t>подшипники</w:t>
      </w:r>
      <w:r>
        <w:rPr>
          <w:bCs/>
          <w:sz w:val="24"/>
          <w:szCs w:val="24"/>
          <w:shd w:fill="auto" w:val="clear"/>
        </w:rPr>
        <w:t xml:space="preserve"> (далее – «Товар») в соответствии со Спецификацией (Приложение № 1 к Договору) и Техническими требованиями (Приложение № 2 к Договору), а Покупатель обязуется принять Товар и уплатить Цену Договора.</w:t>
      </w:r>
    </w:p>
    <w:p>
      <w:pPr>
        <w:pStyle w:val="Normal"/>
        <w:numPr>
          <w:ilvl w:val="1"/>
          <w:numId w:val="2"/>
        </w:numPr>
        <w:shd w:val="clear" w:color="auto" w:fill="FFFFFF"/>
        <w:tabs>
          <w:tab w:val="clear" w:pos="709"/>
          <w:tab w:val="left" w:pos="0" w:leader="none"/>
          <w:tab w:val="left" w:pos="1134" w:leader="none"/>
        </w:tabs>
        <w:ind w:left="0" w:firstLine="709"/>
        <w:jc w:val="both"/>
        <w:rPr>
          <w:highlight w:val="none"/>
          <w:shd w:fill="auto" w:val="clear"/>
        </w:rPr>
      </w:pPr>
      <w:r>
        <w:rPr>
          <w:bCs/>
          <w:sz w:val="24"/>
          <w:szCs w:val="24"/>
          <w:shd w:fill="auto" w:val="clear"/>
        </w:rPr>
        <w:t>Поставка Товара по Договору осуществляется для нужд филиала ПАО «РусГидро»-«Зейская ГЭС».</w:t>
      </w:r>
    </w:p>
    <w:p>
      <w:pPr>
        <w:pStyle w:val="Normal"/>
        <w:numPr>
          <w:ilvl w:val="1"/>
          <w:numId w:val="2"/>
        </w:numPr>
        <w:shd w:val="clear" w:color="auto" w:fill="FFFFFF"/>
        <w:tabs>
          <w:tab w:val="clear" w:pos="709"/>
          <w:tab w:val="left" w:pos="0" w:leader="none"/>
          <w:tab w:val="left" w:pos="1134" w:leader="none"/>
        </w:tabs>
        <w:ind w:left="0" w:firstLine="709"/>
        <w:jc w:val="both"/>
        <w:rPr>
          <w:highlight w:val="none"/>
          <w:shd w:fill="auto" w:val="clear"/>
        </w:rPr>
      </w:pPr>
      <w:r>
        <w:rPr>
          <w:bCs/>
          <w:sz w:val="24"/>
          <w:szCs w:val="24"/>
          <w:shd w:fill="auto" w:val="clear"/>
        </w:rPr>
        <w:t>Место поставки Товара: 676244, Амурская область, г. Зея, склад филиала ПАО «РусГидро»-«Зейская ГЭС»</w:t>
      </w:r>
      <w:r>
        <w:rPr>
          <w:sz w:val="24"/>
          <w:szCs w:val="24"/>
          <w:shd w:fill="auto" w:val="clear"/>
        </w:rPr>
        <w:t xml:space="preserve"> (далее – «Место поставки»).</w:t>
      </w:r>
    </w:p>
    <w:p>
      <w:pPr>
        <w:pStyle w:val="Normal"/>
        <w:numPr>
          <w:ilvl w:val="1"/>
          <w:numId w:val="2"/>
        </w:numPr>
        <w:shd w:val="clear" w:color="auto" w:fill="FFFFFF"/>
        <w:tabs>
          <w:tab w:val="clear" w:pos="709"/>
          <w:tab w:val="left" w:pos="0" w:leader="none"/>
          <w:tab w:val="left" w:pos="540" w:leader="none"/>
          <w:tab w:val="left" w:pos="1134" w:leader="none"/>
        </w:tabs>
        <w:ind w:left="0" w:firstLine="709"/>
        <w:jc w:val="both"/>
        <w:rPr>
          <w:highlight w:val="none"/>
          <w:shd w:fill="auto" w:val="clear"/>
        </w:rPr>
      </w:pPr>
      <w:r>
        <w:rPr>
          <w:bCs/>
          <w:sz w:val="24"/>
          <w:szCs w:val="24"/>
          <w:shd w:fill="auto" w:val="clear"/>
        </w:rPr>
        <w:t>Срок поставки Товара: «</w:t>
      </w:r>
      <w:r>
        <w:rPr>
          <w:bCs/>
          <w:sz w:val="24"/>
          <w:szCs w:val="24"/>
          <w:shd w:fill="auto" w:val="clear"/>
        </w:rPr>
        <w:t>28</w:t>
      </w:r>
      <w:r>
        <w:rPr>
          <w:bCs/>
          <w:sz w:val="24"/>
          <w:szCs w:val="24"/>
          <w:shd w:fill="auto" w:val="clear"/>
        </w:rPr>
        <w:t>» мая 2027 г.</w:t>
      </w:r>
    </w:p>
    <w:p>
      <w:pPr>
        <w:pStyle w:val="Normal"/>
        <w:shd w:val="clear" w:color="auto" w:fill="FFFFFF"/>
        <w:tabs>
          <w:tab w:val="clear" w:pos="709"/>
          <w:tab w:val="left" w:pos="540" w:leader="none"/>
        </w:tabs>
        <w:ind w:left="1134" w:hanging="0"/>
        <w:jc w:val="both"/>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Цена Договора и порядок расчетов</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sz w:val="24"/>
          <w:szCs w:val="24"/>
        </w:rPr>
        <w:t xml:space="preserve">Цена Договора в соответствии со Спецификацией (Приложение № 1 к Договору) </w:t>
      </w:r>
      <w:r>
        <w:rPr>
          <w:bCs/>
          <w:sz w:val="24"/>
          <w:szCs w:val="24"/>
        </w:rPr>
        <w:t xml:space="preserve">является </w:t>
      </w:r>
      <w:r>
        <w:rPr>
          <w:bCs/>
          <w:sz w:val="24"/>
          <w:szCs w:val="24"/>
          <w:shd w:fill="auto" w:val="clear"/>
        </w:rPr>
        <w:t xml:space="preserve">твердой и составляет </w:t>
      </w:r>
      <w:r>
        <w:rPr>
          <w:sz w:val="24"/>
          <w:szCs w:val="24"/>
          <w:shd w:fill="auto" w:val="clear"/>
        </w:rPr>
        <w:t>_______</w:t>
      </w:r>
      <w:r>
        <w:rPr>
          <w:bCs/>
          <w:sz w:val="24"/>
          <w:szCs w:val="24"/>
          <w:shd w:fill="auto" w:val="clear"/>
        </w:rPr>
        <w:t xml:space="preserve"> (</w:t>
      </w:r>
      <w:r>
        <w:rPr>
          <w:sz w:val="24"/>
          <w:szCs w:val="24"/>
          <w:shd w:fill="auto" w:val="clear"/>
        </w:rPr>
        <w:t>__________________</w:t>
      </w:r>
      <w:r>
        <w:rPr>
          <w:bCs/>
          <w:sz w:val="24"/>
          <w:szCs w:val="24"/>
          <w:shd w:fill="auto" w:val="clear"/>
        </w:rPr>
        <w:t xml:space="preserve">) рублей </w:t>
      </w:r>
      <w:r>
        <w:rPr>
          <w:sz w:val="24"/>
          <w:szCs w:val="24"/>
          <w:shd w:fill="auto" w:val="clear"/>
        </w:rPr>
        <w:t>___</w:t>
      </w:r>
      <w:r>
        <w:rPr>
          <w:bCs/>
          <w:sz w:val="24"/>
          <w:szCs w:val="24"/>
          <w:shd w:fill="auto" w:val="clear"/>
        </w:rPr>
        <w:t xml:space="preserve"> </w:t>
      </w:r>
      <w:r>
        <w:rPr>
          <w:bCs/>
          <w:sz w:val="24"/>
          <w:szCs w:val="24"/>
        </w:rPr>
        <w:t>копеек без учета НДС, при этом НДС исчисляется дополнительно по ставке, установленной ст. 164 Налогового кодекса Российской Федерации.</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Цена Договора включает в себя прибыль Поставщика, а также все расходы </w:t>
        <w:br/>
        <w:t xml:space="preserve">и затраты Поставщика на: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Производство и / или приобретение Товара.</w:t>
      </w:r>
    </w:p>
    <w:p>
      <w:pPr>
        <w:pStyle w:val="ListParagraph"/>
        <w:numPr>
          <w:ilvl w:val="2"/>
          <w:numId w:val="12"/>
        </w:numPr>
        <w:shd w:val="clear" w:color="auto" w:fill="FFFFFF"/>
        <w:tabs>
          <w:tab w:val="clear" w:pos="709"/>
          <w:tab w:val="left" w:pos="1418" w:leader="none"/>
        </w:tabs>
        <w:ind w:left="0" w:firstLine="709"/>
        <w:jc w:val="both"/>
        <w:rPr>
          <w:bCs/>
          <w:sz w:val="24"/>
          <w:szCs w:val="24"/>
        </w:rPr>
      </w:pPr>
      <w:r>
        <w:rPr>
          <w:bCs/>
          <w:sz w:val="24"/>
          <w:szCs w:val="24"/>
        </w:rPr>
        <w:t xml:space="preserve">Транспортировку Товара до Места поставки, погрузку, разгрузку, стоимость тары и упаковки, лицензий, необходимых для использования Товара (если применимо).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Заработную плату, накладные и командировочные расходы, перемещение </w:t>
        <w:br/>
        <w:t xml:space="preserve">и размещение персонала Поставщика.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Все прочие затраты и расходы Поставщика, связанные с поставкой Товара </w:t>
        <w:br/>
        <w:t xml:space="preserve">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shd w:val="clear" w:color="auto" w:fill="FFFFFF"/>
        <w:tabs>
          <w:tab w:val="clear" w:pos="709"/>
          <w:tab w:val="left" w:pos="568" w:leader="none"/>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numPr>
          <w:ilvl w:val="1"/>
          <w:numId w:val="2"/>
        </w:numPr>
        <w:shd w:val="clear" w:color="auto" w:fill="FFFFFF"/>
        <w:tabs>
          <w:tab w:val="clear" w:pos="709"/>
          <w:tab w:val="left" w:pos="0" w:leader="none"/>
          <w:tab w:val="left" w:pos="1134" w:leader="none"/>
        </w:tabs>
        <w:ind w:left="0" w:firstLine="709"/>
        <w:jc w:val="both"/>
        <w:rPr>
          <w:sz w:val="24"/>
          <w:szCs w:val="24"/>
        </w:rPr>
      </w:pPr>
      <w:r>
        <w:rPr>
          <w:sz w:val="24"/>
          <w:szCs w:val="24"/>
        </w:rPr>
        <w:t xml:space="preserve">Оплата по Договору осуществляется Покупателем в следующем порядке: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Авансовый платеж за Товар в размере 30 % (тридцати процентов) от стоимости Товара без учёта НДС, кроме того НДС по ставке, установленной статьёй 164 НК РФ на дату выплаты авансового платежа, выплачивается Поставщику в течение 15 (пятнадцати) календарных дней с даты заключения Договора, при условии получения Покупателем счета, выставленного Поставщиком, и с учетом пункта 2.4.3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Последующие платежи в размере разницы между стоимостью Товара без учета НДС, кроме того НДС по ставке, установленной статьей 164 НК РФ на дату подписания Сторонами накладной ТОРГ-12/УПД, и суммой ранее уплаченного авансового платежа, выплачиваются Поставщику в течение 7 (семи)/20(двадцати) рабочих дней с даты подписания Сторонами накладной ТОРГ-12/УПД, на основании счета, выставленного Поставщиком, и с учетом пункта 2.4.3.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bookmarkStart w:id="0" w:name="_Ref373242894"/>
      <w:r>
        <w:rPr>
          <w:bCs/>
          <w:sz w:val="24"/>
          <w:szCs w:val="24"/>
        </w:rPr>
        <w:t xml:space="preserve">Покупатель вправе не выплачивать предварительную оплату (аванс), расторгнуть Договор в одностороннем внесудебном порядке и предъявить требование </w:t>
        <w:br/>
        <w:t xml:space="preserve">о возмещении убытков в случае, если Поставщик не </w:t>
      </w:r>
      <w:r>
        <w:rPr>
          <w:sz w:val="24"/>
          <w:szCs w:val="24"/>
        </w:rPr>
        <w:t>предоставил</w:t>
      </w:r>
      <w:r>
        <w:rPr>
          <w:bCs/>
          <w:sz w:val="24"/>
          <w:szCs w:val="24"/>
        </w:rPr>
        <w:t xml:space="preserve"> финансового обеспечения исполнения обязательств, предусмотренного пунктом 2.5.1 Договора, в установленный срок и при этом не приступил к исполнению обязательств по Договору.</w:t>
      </w:r>
      <w:bookmarkEnd w:id="0"/>
      <w:r>
        <w:rPr>
          <w:bCs/>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Поставщик обязан представить Покупателю счета-фактуры/УПД,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счета-фактуры/УПД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2"/>
        </w:numPr>
        <w:tabs>
          <w:tab w:val="clear" w:pos="709"/>
          <w:tab w:val="left" w:pos="1134" w:leader="none"/>
        </w:tabs>
        <w:ind w:left="0" w:firstLine="709"/>
        <w:jc w:val="both"/>
        <w:rPr>
          <w:sz w:val="24"/>
          <w:szCs w:val="24"/>
        </w:rPr>
      </w:pPr>
      <w:r>
        <w:rPr>
          <w:sz w:val="24"/>
          <w:szCs w:val="24"/>
        </w:rPr>
        <w:t xml:space="preserve">Поставщик обязан подписать акты сверки взаимных расчетов, направленные Покупателем в 2 (двух) экземплярах, и вернуть 1 (один) экземпляр Покупателю в течение </w:t>
        <w:br/>
        <w:t>5 (пяти) рабочих дней с даты получения экземпляров актов сверки расчетов от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 w:val="left" w:pos="1276" w:leader="none"/>
        </w:tabs>
        <w:ind w:left="0" w:firstLine="709"/>
        <w:jc w:val="both"/>
        <w:rPr>
          <w:sz w:val="24"/>
          <w:szCs w:val="24"/>
        </w:rPr>
      </w:pPr>
      <w:r>
        <w:rPr>
          <w:sz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Pr>
          <w:iCs/>
          <w:sz w:val="24"/>
          <w:szCs w:val="24"/>
        </w:rPr>
        <w:t>Поставщика перед Покупателем</w:t>
      </w:r>
      <w:r>
        <w:rPr>
          <w:sz w:val="24"/>
        </w:rPr>
        <w:t xml:space="preserve">, в том числе (включая, но не ограничиваясь), суммы неотработанного аванса по Договору, суммы неустоек (пени, штрафы) </w:t>
        <w:br/>
        <w:t>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Normal"/>
        <w:ind w:firstLine="709"/>
        <w:jc w:val="both"/>
        <w:rPr>
          <w:sz w:val="24"/>
          <w:szCs w:val="24"/>
        </w:rPr>
      </w:pPr>
      <w:r>
        <w:rPr>
          <w:sz w:val="24"/>
        </w:rPr>
        <w:t>Покупатель направляет Поставщику уведомление о проведении сальдо взаимных обязательств Сторон по Договору.</w:t>
      </w:r>
    </w:p>
    <w:p>
      <w:pPr>
        <w:pStyle w:val="Normal"/>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Порядок поставки и приемки Товара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sz w:val="24"/>
          <w:szCs w:val="24"/>
        </w:rPr>
        <w:t>Поставка Товара осуществляется в Место поставки, указанное в пункте 1.3 Договора.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Качество, комплектность, количество и ассортимент поставляемого по Договору Товара должны соответствовать Проектной </w:t>
      </w:r>
      <w:r>
        <w:rPr>
          <w:sz w:val="24"/>
          <w:szCs w:val="24"/>
        </w:rPr>
        <w:t>документации</w:t>
      </w:r>
      <w:r>
        <w:rPr>
          <w:bCs/>
          <w:sz w:val="24"/>
          <w:szCs w:val="24"/>
        </w:rPr>
        <w:t>, требованиям Договора и Покупателя,</w:t>
      </w:r>
      <w:r>
        <w:rPr>
          <w:b/>
          <w:bCs/>
          <w:sz w:val="24"/>
          <w:szCs w:val="24"/>
        </w:rPr>
        <w:t xml:space="preserve"> </w:t>
      </w:r>
      <w:r>
        <w:rPr>
          <w:bCs/>
          <w:sz w:val="24"/>
          <w:szCs w:val="24"/>
        </w:rPr>
        <w:t xml:space="preserve">в том числе указанным в Спецификации (Приложение № 1 к Договору), </w:t>
        <w:br/>
        <w:t>а также Применимого права.</w:t>
      </w:r>
    </w:p>
    <w:p>
      <w:pPr>
        <w:pStyle w:val="ListParagraph"/>
        <w:widowControl/>
        <w:shd w:val="clear" w:color="auto" w:fill="FFFFFF"/>
        <w:tabs>
          <w:tab w:val="clear" w:pos="709"/>
          <w:tab w:val="left" w:pos="1276" w:leader="none"/>
        </w:tabs>
        <w:ind w:left="0" w:firstLine="709"/>
        <w:jc w:val="both"/>
        <w:rPr>
          <w:bCs/>
          <w:sz w:val="24"/>
          <w:szCs w:val="24"/>
        </w:rPr>
      </w:pPr>
      <w:r>
        <w:rPr>
          <w:bCs/>
          <w:sz w:val="24"/>
          <w:szCs w:val="24"/>
        </w:rPr>
        <w:t>Поставщик не вправе производить замену Товара на иной Товар, если это приведет к несоблюдению защитных мер, установленных законодательством о Национальном режиме.</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sz w:val="24"/>
          <w:szCs w:val="24"/>
        </w:rPr>
        <w:t>Поставляемый</w:t>
      </w:r>
      <w:r>
        <w:rPr>
          <w:bCs/>
          <w:sz w:val="24"/>
          <w:szCs w:val="24"/>
        </w:rPr>
        <w:t xml:space="preserve">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w:t>
        <w:br/>
        <w:t>и не обременен правами третьих лиц.</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sz w:val="24"/>
          <w:szCs w:val="24"/>
        </w:rPr>
        <w:t>Одновременно</w:t>
      </w:r>
      <w:r>
        <w:rPr>
          <w:bCs/>
          <w:sz w:val="24"/>
          <w:szCs w:val="24"/>
        </w:rPr>
        <w:t xml:space="preserve"> с передачей Товара Поставщик обязан передать Покупателю оригиналы следующих относящихся к Товару документов: </w:t>
      </w:r>
    </w:p>
    <w:p>
      <w:pPr>
        <w:pStyle w:val="Normal"/>
        <w:numPr>
          <w:ilvl w:val="0"/>
          <w:numId w:val="4"/>
        </w:numPr>
        <w:tabs>
          <w:tab w:val="clear" w:pos="709"/>
          <w:tab w:val="left" w:pos="1418" w:leader="none"/>
        </w:tabs>
        <w:ind w:left="0" w:firstLine="709"/>
        <w:jc w:val="both"/>
        <w:rPr>
          <w:sz w:val="24"/>
          <w:szCs w:val="24"/>
        </w:rPr>
      </w:pPr>
      <w:r>
        <w:rPr>
          <w:sz w:val="24"/>
          <w:szCs w:val="24"/>
        </w:rPr>
        <w:t>сертификат качества в</w:t>
      </w:r>
      <w:r>
        <w:rPr>
          <w:sz w:val="24"/>
          <w:szCs w:val="24"/>
          <w:shd w:fill="auto" w:val="clear"/>
        </w:rPr>
        <w:t xml:space="preserve"> __(____) экз.;</w:t>
      </w:r>
    </w:p>
    <w:p>
      <w:pPr>
        <w:pStyle w:val="Normal"/>
        <w:numPr>
          <w:ilvl w:val="0"/>
          <w:numId w:val="4"/>
        </w:numPr>
        <w:tabs>
          <w:tab w:val="clear" w:pos="709"/>
          <w:tab w:val="left" w:pos="1418" w:leader="none"/>
        </w:tabs>
        <w:ind w:left="0" w:firstLine="709"/>
        <w:jc w:val="both"/>
        <w:rPr>
          <w:highlight w:val="none"/>
          <w:shd w:fill="auto" w:val="clear"/>
        </w:rPr>
      </w:pPr>
      <w:r>
        <w:rPr>
          <w:sz w:val="24"/>
          <w:szCs w:val="24"/>
          <w:shd w:fill="auto" w:val="clear"/>
        </w:rPr>
        <w:t>технический паспорт на русском языке в __(____) экз.;</w:t>
      </w:r>
    </w:p>
    <w:p>
      <w:pPr>
        <w:pStyle w:val="Normal"/>
        <w:numPr>
          <w:ilvl w:val="0"/>
          <w:numId w:val="4"/>
        </w:numPr>
        <w:tabs>
          <w:tab w:val="clear" w:pos="709"/>
          <w:tab w:val="left" w:pos="1418" w:leader="none"/>
        </w:tabs>
        <w:ind w:left="0" w:firstLine="709"/>
        <w:jc w:val="both"/>
        <w:rPr>
          <w:highlight w:val="none"/>
          <w:shd w:fill="auto" w:val="clear"/>
        </w:rPr>
      </w:pPr>
      <w:r>
        <w:rPr>
          <w:sz w:val="24"/>
          <w:szCs w:val="24"/>
          <w:shd w:fill="auto" w:val="clear"/>
        </w:rPr>
        <w:t>инструкция по эксплуатации на русском языке в __(____) экз.;</w:t>
      </w:r>
    </w:p>
    <w:p>
      <w:pPr>
        <w:pStyle w:val="Normal"/>
        <w:numPr>
          <w:ilvl w:val="0"/>
          <w:numId w:val="4"/>
        </w:numPr>
        <w:tabs>
          <w:tab w:val="clear" w:pos="709"/>
          <w:tab w:val="left" w:pos="1418" w:leader="none"/>
        </w:tabs>
        <w:ind w:left="0" w:firstLine="709"/>
        <w:jc w:val="both"/>
        <w:rPr>
          <w:highlight w:val="none"/>
          <w:shd w:fill="auto" w:val="clear"/>
        </w:rPr>
      </w:pPr>
      <w:r>
        <w:rPr>
          <w:sz w:val="24"/>
          <w:szCs w:val="24"/>
          <w:shd w:fill="auto" w:val="clear"/>
        </w:rPr>
        <w:t>упаковочный лист в __(____) экз.;</w:t>
      </w:r>
    </w:p>
    <w:p>
      <w:pPr>
        <w:pStyle w:val="Normal"/>
        <w:numPr>
          <w:ilvl w:val="0"/>
          <w:numId w:val="3"/>
        </w:numPr>
        <w:tabs>
          <w:tab w:val="clear" w:pos="709"/>
          <w:tab w:val="left" w:pos="1418" w:leader="none"/>
        </w:tabs>
        <w:ind w:left="0" w:firstLine="709"/>
        <w:jc w:val="both"/>
        <w:rPr>
          <w:highlight w:val="none"/>
          <w:shd w:fill="auto" w:val="clear"/>
        </w:rPr>
      </w:pPr>
      <w:r>
        <w:rPr>
          <w:sz w:val="24"/>
          <w:szCs w:val="24"/>
          <w:shd w:fill="auto" w:val="clear"/>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numPr>
          <w:ilvl w:val="0"/>
          <w:numId w:val="3"/>
        </w:numPr>
        <w:tabs>
          <w:tab w:val="clear" w:pos="709"/>
          <w:tab w:val="left" w:pos="1418" w:leader="none"/>
        </w:tabs>
        <w:ind w:left="0" w:firstLine="709"/>
        <w:jc w:val="both"/>
        <w:rPr>
          <w:highlight w:val="none"/>
          <w:shd w:fill="auto" w:val="clear"/>
        </w:rPr>
      </w:pPr>
      <w:r>
        <w:rPr>
          <w:sz w:val="24"/>
          <w:szCs w:val="24"/>
          <w:shd w:fill="auto" w:val="clear"/>
        </w:rPr>
        <w:t>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__(____) экз.;</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shd w:fill="auto" w:val="clear"/>
        </w:rPr>
        <w:t xml:space="preserve">Накладная ТОРГ-12/УПД в __(____) </w:t>
      </w:r>
      <w:r>
        <w:rPr>
          <w:sz w:val="24"/>
          <w:szCs w:val="24"/>
        </w:rPr>
        <w:t>экз.</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w:t>
      </w:r>
      <w:r>
        <w:rPr>
          <w:sz w:val="24"/>
          <w:szCs w:val="24"/>
        </w:rPr>
        <w:t>своего</w:t>
      </w:r>
      <w:r>
        <w:rPr>
          <w:bCs/>
          <w:sz w:val="24"/>
          <w:szCs w:val="24"/>
        </w:rPr>
        <w:t xml:space="preserve"> представителя, уполномоченного надлежащим образом оформленной доверенностью на передачу Товара Покупателю, подписание Акта рекламации. </w:t>
        <w:br/>
        <w:t xml:space="preserve">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w:t>
        <w:br/>
        <w:t xml:space="preserve">по Договору. Стороны будут рассматривать неявку представителя Поставщика </w:t>
        <w:br/>
        <w:t xml:space="preserve">как просрочку поставки. </w:t>
      </w:r>
    </w:p>
    <w:p>
      <w:pPr>
        <w:pStyle w:val="ListParagraph"/>
        <w:shd w:val="clear" w:color="auto" w:fill="FFFFFF"/>
        <w:tabs>
          <w:tab w:val="clear" w:pos="709"/>
          <w:tab w:val="left" w:pos="1134" w:leader="none"/>
          <w:tab w:val="left" w:pos="1418" w:leader="none"/>
        </w:tabs>
        <w:ind w:left="0" w:firstLine="709"/>
        <w:jc w:val="both"/>
        <w:rPr>
          <w:bCs/>
          <w:sz w:val="24"/>
          <w:szCs w:val="24"/>
        </w:rPr>
      </w:pPr>
      <w:r>
        <w:rPr>
          <w:bCs/>
          <w:sz w:val="24"/>
          <w:szCs w:val="24"/>
        </w:rPr>
        <w:t>Оригинал доверенности представителя Поставщика подлежит передаче Покупателю.</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В </w:t>
      </w:r>
      <w:r>
        <w:rPr>
          <w:sz w:val="24"/>
          <w:szCs w:val="24"/>
        </w:rPr>
        <w:t>случае</w:t>
      </w:r>
      <w:r>
        <w:rPr>
          <w:bCs/>
          <w:sz w:val="24"/>
          <w:szCs w:val="24"/>
        </w:rPr>
        <w:t xml:space="preserve"> неявки представителя Поставщика и / или его отказа от подписания Акта рекламации при приемке Товара, составленный и подписанный Покупателем </w:t>
        <w:br/>
        <w:t>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bookmarkStart w:id="1" w:name="_Ref361408474"/>
      <w:r>
        <w:rPr>
          <w:sz w:val="24"/>
          <w:szCs w:val="24"/>
        </w:rPr>
        <w:t>Товар</w:t>
      </w:r>
      <w:r>
        <w:rPr>
          <w:bCs/>
          <w:sz w:val="24"/>
          <w:szCs w:val="24"/>
        </w:rPr>
        <w:t xml:space="preserve">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1"/>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w:t>
        <w:br/>
        <w:t xml:space="preserve">в сопроводительных документах).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Отдельные требования к упаковке и маркировке негабаритного Товара, </w:t>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br/>
        <w:t xml:space="preserve">не подлежат.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Погрузка, доставка, разгрузка </w:t>
      </w:r>
      <w:r>
        <w:rPr>
          <w:bCs/>
          <w:sz w:val="24"/>
          <w:szCs w:val="24"/>
        </w:rPr>
        <w:t>осуществляется</w:t>
      </w:r>
      <w:r>
        <w:rPr>
          <w:sz w:val="24"/>
          <w:szCs w:val="24"/>
        </w:rPr>
        <w:t xml:space="preserve"> Поставщиком. Стоимость погрузки, доставки, разгрузки включена в стоимость Товара.</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bookmarkStart w:id="2" w:name="_Ref361396594"/>
      <w:r>
        <w:rPr>
          <w:sz w:val="24"/>
          <w:szCs w:val="24"/>
        </w:rPr>
        <w:t xml:space="preserve">Датой поставки Товара является дата подписания Сторонами Накладной </w:t>
        <w:br/>
        <w:t>ТОРГ-12/УПД.</w:t>
      </w:r>
      <w:bookmarkEnd w:id="2"/>
      <w:r>
        <w:rPr>
          <w:sz w:val="24"/>
          <w:szCs w:val="24"/>
        </w:rPr>
        <w:t xml:space="preserve">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w:t>
      </w:r>
      <w:r>
        <w:rPr>
          <w:sz w:val="24"/>
          <w:szCs w:val="24"/>
          <w:shd w:fill="auto" w:val="clear"/>
        </w:rPr>
        <w:t xml:space="preserve">15 (пятнадцати) календарных дней с даты выявления указанных нарушений представить Покупателю необходимые принадлежности и / или документы, </w:t>
        <w:br/>
        <w:t xml:space="preserve">а также восполнить недопоставку Товара в срок, письменно согласованный с Покупателем. </w:t>
      </w:r>
    </w:p>
    <w:p>
      <w:pPr>
        <w:pStyle w:val="ListParagraph"/>
        <w:shd w:val="clear" w:color="auto" w:fill="FFFFFF"/>
        <w:tabs>
          <w:tab w:val="clear" w:pos="709"/>
          <w:tab w:val="left" w:pos="1418" w:leader="none"/>
        </w:tabs>
        <w:ind w:left="0" w:firstLine="709"/>
        <w:jc w:val="both"/>
        <w:rPr>
          <w:highlight w:val="none"/>
          <w:shd w:fill="auto" w:val="clear"/>
        </w:rPr>
      </w:pPr>
      <w:bookmarkStart w:id="3" w:name="_Ref361408232"/>
      <w:r>
        <w:rPr>
          <w:sz w:val="24"/>
          <w:szCs w:val="24"/>
          <w:shd w:fill="auto" w:val="clear"/>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3"/>
      <w:r>
        <w:rPr>
          <w:sz w:val="24"/>
          <w:szCs w:val="24"/>
          <w:shd w:fill="auto" w:val="clear"/>
        </w:rPr>
        <w:t xml:space="preserve">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shd w:fill="auto" w:val="clear"/>
        </w:rPr>
        <w:t xml:space="preserve">Приемка Товара со вскрытием тары и упаковки производится Покупателем </w:t>
        <w:br/>
        <w:t>в присутствии представителя Поставщика в течение 15 (пятнадцати)</w:t>
      </w:r>
      <w:r>
        <w:rPr>
          <w:sz w:val="24"/>
          <w:szCs w:val="24"/>
        </w:rPr>
        <w:t xml:space="preserve"> рабочих дней </w:t>
        <w:br/>
        <w:t>с даты подписания Покупателем транспортных документов. В случае отсутствия замечаний Покупатель подписывает Накладную ТОРГ-12/УПД.</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 xml:space="preserve">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w:t>
        <w:br/>
        <w:t>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 xml:space="preserve">Покупатель вправе не производить любые платежи, предусмотренные Договором, </w:t>
        <w:br/>
        <w:t xml:space="preserve">до исполнения Поставщиком своих обязательств по Договору, при этом Покупатель </w:t>
        <w:br/>
        <w:t>не считается просрочившим.</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(ранее полученный авансовый платеж), </w:t>
        <w:br/>
        <w:t>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9"/>
          <w:tab w:val="left" w:pos="1283" w:leader="none"/>
          <w:tab w:val="left" w:pos="1851" w:leader="none"/>
        </w:tabs>
        <w:ind w:firstLine="709"/>
        <w:jc w:val="both"/>
        <w:rPr>
          <w:sz w:val="24"/>
          <w:szCs w:val="24"/>
        </w:rPr>
      </w:pPr>
      <w:r>
        <w:rPr>
          <w:sz w:val="24"/>
          <w:szCs w:val="24"/>
        </w:rPr>
        <w:t xml:space="preserve">Если Поставщик не вывезет Товар в указанный срок, Покупатель вправе самостоятельно возвратить Товар Поставщику. Расходы, понесенные Покупателем в связи </w:t>
        <w:br/>
        <w:t>с возвратом Товара, подлежат возмещению Поставщиком.</w:t>
      </w:r>
    </w:p>
    <w:p>
      <w:pPr>
        <w:pStyle w:val="ListParagraph"/>
        <w:widowControl/>
        <w:numPr>
          <w:ilvl w:val="1"/>
          <w:numId w:val="2"/>
        </w:numPr>
        <w:shd w:val="clear" w:color="auto" w:fill="FFFFFF"/>
        <w:tabs>
          <w:tab w:val="clear" w:pos="709"/>
          <w:tab w:val="left" w:pos="1276" w:leader="none"/>
        </w:tabs>
        <w:ind w:left="0" w:firstLine="709"/>
        <w:jc w:val="both"/>
        <w:rPr>
          <w:b/>
          <w:color w:val="000000"/>
          <w:sz w:val="24"/>
          <w:szCs w:val="24"/>
        </w:rPr>
      </w:pPr>
      <w:r>
        <w:rPr>
          <w:sz w:val="24"/>
          <w:szCs w:val="24"/>
        </w:rPr>
        <w:t xml:space="preserve">По иным вопросам, касающимся приемки Товара по количеству, качеству </w:t>
        <w:br/>
        <w:t xml:space="preserve">и комплектности в части, не противоречащей законодательству Российской Федерации </w:t>
        <w:br/>
        <w:t>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sz w:val="24"/>
          <w:szCs w:val="24"/>
        </w:rPr>
        <w:t xml:space="preserve">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ТОРГ-12/УПД.</w:t>
      </w:r>
    </w:p>
    <w:p>
      <w:pPr>
        <w:pStyle w:val="Normal"/>
        <w:shd w:val="clear" w:color="auto" w:fill="FFFFFF"/>
        <w:jc w:val="both"/>
        <w:rPr>
          <w:sz w:val="24"/>
          <w:szCs w:val="24"/>
        </w:rPr>
      </w:pPr>
      <w:r>
        <w:rPr>
          <w:sz w:val="24"/>
          <w:szCs w:val="24"/>
        </w:rPr>
      </w:r>
    </w:p>
    <w:p>
      <w:pPr>
        <w:pStyle w:val="ListParagraph"/>
        <w:numPr>
          <w:ilvl w:val="0"/>
          <w:numId w:val="2"/>
        </w:numPr>
        <w:shd w:val="clear" w:color="auto" w:fill="FFFFFF"/>
        <w:tabs>
          <w:tab w:val="clear" w:pos="709"/>
          <w:tab w:val="left" w:pos="284" w:leader="none"/>
        </w:tabs>
        <w:ind w:left="0" w:hanging="0"/>
        <w:jc w:val="center"/>
        <w:rPr>
          <w:b/>
          <w:sz w:val="24"/>
          <w:szCs w:val="24"/>
        </w:rPr>
      </w:pPr>
      <w:r>
        <w:rPr>
          <w:b/>
          <w:sz w:val="24"/>
          <w:szCs w:val="24"/>
        </w:rPr>
        <w:t>Гарантийный срок</w:t>
      </w:r>
    </w:p>
    <w:p>
      <w:pPr>
        <w:pStyle w:val="ListParagraph"/>
        <w:numPr>
          <w:ilvl w:val="1"/>
          <w:numId w:val="2"/>
        </w:numPr>
        <w:tabs>
          <w:tab w:val="left" w:pos="709" w:leader="none"/>
          <w:tab w:val="left" w:pos="1134" w:leader="none"/>
        </w:tabs>
        <w:ind w:left="0" w:firstLine="709"/>
        <w:jc w:val="both"/>
        <w:rPr>
          <w:sz w:val="24"/>
          <w:szCs w:val="24"/>
        </w:rPr>
      </w:pPr>
      <w:r>
        <w:rPr>
          <w:sz w:val="24"/>
          <w:szCs w:val="24"/>
        </w:rPr>
        <w:t>Гарантийный срок на Товар, поставленный по Договору, составляет</w:t>
      </w:r>
      <w:r>
        <w:rPr>
          <w:sz w:val="24"/>
          <w:szCs w:val="24"/>
          <w:shd w:fill="auto" w:val="clear"/>
        </w:rPr>
        <w:t xml:space="preserve"> ____ (______) месяцев и начинает течь с даты подписания Сторонами Накладной ТОРГ-12/У</w:t>
      </w:r>
      <w:r>
        <w:rPr>
          <w:sz w:val="24"/>
          <w:szCs w:val="24"/>
        </w:rPr>
        <w:t>ПД.</w:t>
      </w:r>
      <w:r>
        <w:rPr/>
        <w:t xml:space="preserve"> </w:t>
      </w:r>
      <w:r>
        <w:rPr>
          <w:sz w:val="24"/>
          <w:szCs w:val="24"/>
        </w:rPr>
        <w:t xml:space="preserve">Гарантийный срок может быть продлен в соответствии с условиями Договора. </w:t>
      </w:r>
    </w:p>
    <w:p>
      <w:pPr>
        <w:pStyle w:val="ListParagraph"/>
        <w:tabs>
          <w:tab w:val="clear" w:pos="709"/>
          <w:tab w:val="left" w:pos="1134" w:leader="none"/>
          <w:tab w:val="left" w:pos="1851" w:leader="none"/>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w:t>
        <w:br/>
        <w:t xml:space="preserve">к Товару, и Применимого права, возможность эксплуатации (использования) Товара </w:t>
        <w:br/>
        <w:t xml:space="preserve">в соответствии с его целевым назначением, а также несет безусловную ответственность </w:t>
        <w:br/>
        <w:t xml:space="preserve">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w:t>
        <w:br/>
        <w:t xml:space="preserve">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w:t>
        <w:br/>
        <w:t>и будет признан Сторонами действительным.</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4" w:name="OLE_LINK5"/>
      <w:bookmarkStart w:id="5" w:name="OLE_LINK6"/>
      <w:r>
        <w:rPr>
          <w:sz w:val="24"/>
          <w:szCs w:val="24"/>
        </w:rPr>
        <w:t>Покупателем в соответствии с пунктом 4.3 Договора</w:t>
      </w:r>
      <w:bookmarkEnd w:id="4"/>
      <w:bookmarkEnd w:id="5"/>
      <w:r>
        <w:rPr>
          <w:sz w:val="24"/>
          <w:szCs w:val="24"/>
        </w:rPr>
        <w:t xml:space="preserve">, путем замены или ремонта Товара. </w:t>
      </w:r>
    </w:p>
    <w:p>
      <w:pPr>
        <w:pStyle w:val="Normal"/>
        <w:shd w:val="clear" w:color="auto" w:fill="FFFFFF"/>
        <w:ind w:firstLine="709"/>
        <w:jc w:val="both"/>
        <w:rPr>
          <w:sz w:val="24"/>
          <w:szCs w:val="24"/>
        </w:rPr>
      </w:pPr>
      <w:r>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w:t>
        <w:br/>
        <w:t xml:space="preserve">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Поставщик обязан предоставить Покупателю копию(-и) заключения(-ий) </w:t>
        <w:br/>
        <w:t xml:space="preserve">о подтверждении производства Товара на территории Российской Федерации, </w:t>
        <w:br/>
        <w:t>выданного(-ых) Минпромторгом России в соответствии с постановлением Правительства Российской Федерации от 17.07.2015 № 719 «О подтверждении производства промышленной продукции на территории Российской Федерации» не позднее 6 (шести) месяцев после окончания установленного Договором срока поставки Товара</w:t>
      </w:r>
      <w:r>
        <w:rPr>
          <w:rStyle w:val="FootnoteReference"/>
          <w:sz w:val="24"/>
          <w:szCs w:val="24"/>
        </w:rPr>
        <w:footnoteReference w:id="2"/>
      </w:r>
      <w:r>
        <w:rPr>
          <w:sz w:val="24"/>
          <w:szCs w:val="24"/>
        </w:rPr>
        <w:t>.</w:t>
      </w:r>
    </w:p>
    <w:p>
      <w:pPr>
        <w:pStyle w:val="Normal"/>
        <w:shd w:val="clear" w:color="auto" w:fill="FFFFFF"/>
        <w:tabs>
          <w:tab w:val="clear" w:pos="709"/>
          <w:tab w:val="left" w:pos="1190" w:leader="none"/>
        </w:tabs>
        <w:jc w:val="both"/>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Банковские гарантии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Банковская гарантия, предоставляемая Поставщиком Покупателю по Договору, должна соответствовать следующим требованиям:</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Банковская гарантия должна быть безотзывной и безусловной (гарантия </w:t>
        <w:br/>
        <w:t>по первому требованию).</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Бенефициар по Банковской гарантии – Покупатель, принципал – Поставщик.</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Сумма Банковской гарантии – выражена в валюте расчетов по Договору.</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Сумма Банковской гарантии возврата авансового платежа – не менее </w:t>
        <w:br/>
        <w:t xml:space="preserve">100 (ста) процентов от размера уплачиваемой по Договору предварительной оплаты (аванса) </w:t>
        <w:br/>
        <w:t xml:space="preserve">в совокупной сумме с учетом ранее выплаченных Поставщику и непогашенных (незачтенных) авансовых платежей.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Банковская гарантия должна предусматривать, что для истребования суммы обеспечения Покупатель направляет Банку-Гаранту только письменное требование </w:t>
        <w:br/>
        <w:t>о предъявлении суммы обеспечения к оплате</w:t>
      </w:r>
      <w:r>
        <w:rPr>
          <w:sz w:val="24"/>
          <w:szCs w:val="24"/>
        </w:rPr>
        <w:t xml:space="preserve"> </w:t>
      </w:r>
      <w:r>
        <w:rPr>
          <w:bCs/>
          <w:sz w:val="24"/>
          <w:szCs w:val="24"/>
        </w:rPr>
        <w:t xml:space="preserve">как полностью, так и частично, с указанием </w:t>
        <w:br/>
        <w:t>на существо допущенных Поставщиком нарушений, в том числе в случаях:</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отказа Поставщика от исполнения обязательств по Договору, в том числе одностороннего отказа от Договора;</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отказа Поставщика от возврата неотработанного аванса при досрочном прекращении Договора / признании Договора недействительным;</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нарушения Поставщиком срока</w:t>
      </w:r>
      <w:r>
        <w:rPr>
          <w:sz w:val="24"/>
          <w:szCs w:val="24"/>
        </w:rPr>
        <w:t xml:space="preserve"> </w:t>
      </w:r>
      <w:r>
        <w:rPr>
          <w:bCs/>
          <w:sz w:val="24"/>
          <w:szCs w:val="24"/>
        </w:rPr>
        <w:t>поставки Товара, установленного пунктом 1.4 Договора более, чем на 60 (шестьдесят) календарных дней;</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введения арбитражным судом процедуры несостоятельности (банкротства)</w:t>
      </w:r>
      <w:r>
        <w:rPr>
          <w:sz w:val="24"/>
          <w:szCs w:val="24"/>
        </w:rPr>
        <w:t xml:space="preserve"> </w:t>
        <w:br/>
      </w:r>
      <w:r>
        <w:rPr>
          <w:bCs/>
          <w:sz w:val="24"/>
          <w:szCs w:val="24"/>
        </w:rPr>
        <w:t>в отношении Поставщика;</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 xml:space="preserve">непредоставления Поставщиком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банковской гарантии в части увеличения срока ее действия на новый период, в случаях если срок исполнения обязательств Поставщиком </w:t>
        <w:br/>
        <w:t>по Договору превышает срок действия банковской гарантии либо срок исполнения обязательств продлен;</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sz w:val="24"/>
          <w:szCs w:val="24"/>
        </w:rPr>
        <w:t>признания Договора недействительным по причинам отсутствия необходимых корпоративных одобрений у Поставщика;</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 xml:space="preserve">установления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br/>
        <w:t xml:space="preserve">а также недостоверности, неточности или неполноты заверений Поставщика </w:t>
        <w:br/>
        <w:t>об обстоятельствах, указанных в разделе 12 Договора, и имеющих существенное значение для его заключения и исполнения.</w:t>
      </w:r>
    </w:p>
    <w:p>
      <w:pPr>
        <w:pStyle w:val="ListParagraph"/>
        <w:shd w:val="clear" w:color="auto" w:fill="FFFFFF"/>
        <w:tabs>
          <w:tab w:val="clear" w:pos="709"/>
          <w:tab w:val="left" w:pos="0" w:leader="none"/>
          <w:tab w:val="left" w:pos="1418" w:leader="none"/>
        </w:tabs>
        <w:ind w:left="0" w:firstLine="709"/>
        <w:jc w:val="both"/>
        <w:rPr>
          <w:sz w:val="24"/>
          <w:szCs w:val="24"/>
        </w:rPr>
      </w:pPr>
      <w:r>
        <w:rPr>
          <w:sz w:val="24"/>
          <w:szCs w:val="24"/>
        </w:rPr>
        <w:t>Вместе с требованием о предъявлении суммы обеспечения к оплате Покупатель направляет Банку-Гаранту копию Банковской гарантии.</w:t>
      </w:r>
    </w:p>
    <w:p>
      <w:pPr>
        <w:pStyle w:val="Normal"/>
        <w:widowControl/>
        <w:shd w:val="clear" w:color="auto" w:fill="FFFFFF"/>
        <w:tabs>
          <w:tab w:val="clear" w:pos="709"/>
          <w:tab w:val="left" w:pos="1418" w:leader="none"/>
          <w:tab w:val="left" w:pos="1855" w:leader="none"/>
        </w:tabs>
        <w:ind w:firstLine="709"/>
        <w:jc w:val="both"/>
        <w:rPr>
          <w:bCs/>
          <w:sz w:val="24"/>
        </w:rPr>
      </w:pPr>
      <w:r>
        <w:rPr>
          <w:bCs/>
          <w:sz w:val="24"/>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Покупателя, подтверждающего факт осуществления Покупателем авансового платежа, с отметкой банка об исполнении.</w:t>
      </w:r>
    </w:p>
    <w:p>
      <w:pPr>
        <w:pStyle w:val="ListParagraph"/>
        <w:widowControl/>
        <w:numPr>
          <w:ilvl w:val="0"/>
          <w:numId w:val="0"/>
        </w:numPr>
        <w:shd w:val="clear" w:color="auto" w:fill="FFFFFF"/>
        <w:tabs>
          <w:tab w:val="clear" w:pos="709"/>
          <w:tab w:val="left" w:pos="1418" w:leader="none"/>
        </w:tabs>
        <w:suppressAutoHyphens w:val="true"/>
        <w:bidi w:val="0"/>
        <w:spacing w:lineRule="auto" w:line="240" w:before="0" w:after="0"/>
        <w:ind w:left="0" w:firstLine="709"/>
        <w:contextualSpacing/>
        <w:jc w:val="both"/>
        <w:rPr>
          <w:bCs/>
        </w:rPr>
      </w:pPr>
      <w:r>
        <w:rPr>
          <w:rFonts w:eastAsia="Times New Roman" w:cs="Times New Roman"/>
          <w:bCs/>
          <w:color w:val="000000"/>
          <w:kern w:val="0"/>
          <w:sz w:val="24"/>
          <w:szCs w:val="24"/>
          <w:shd w:fill="auto" w:val="clear"/>
          <w:lang w:val="ru-RU" w:eastAsia="ru-RU" w:bidi="ar-SA"/>
        </w:rPr>
        <w:t xml:space="preserve">Банковской гарантией возврата предварительной оплаты (аванса) / надлежащего исполнения обязательств / гарантийных обязательств по Договору должно быть предусмотрено условие о праве Бенефициара направлять требование об уплате денежной суммы по Банковской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 </w:t>
      </w:r>
    </w:p>
    <w:p>
      <w:pPr>
        <w:pStyle w:val="Normal"/>
        <w:spacing w:lineRule="auto" w:line="240" w:before="0" w:after="0"/>
        <w:ind w:firstLine="709"/>
        <w:jc w:val="both"/>
        <w:rPr>
          <w:rFonts w:ascii="Times New Roman" w:hAnsi="Times New Roman" w:eastAsia="Times New Roman" w:cs="Times New Roman"/>
          <w:bCs/>
          <w:color w:val="auto"/>
          <w:kern w:val="0"/>
          <w:sz w:val="24"/>
          <w:szCs w:val="24"/>
          <w:highlight w:val="none"/>
          <w:shd w:fill="FFFF00" w:val="clear"/>
          <w:lang w:val="ru-RU" w:eastAsia="ru-RU" w:bidi="ar-SA"/>
        </w:rPr>
      </w:pPr>
      <w:r>
        <w:rPr>
          <w:rFonts w:eastAsia="Times New Roman" w:cs="Times New Roman"/>
          <w:bCs/>
          <w:color w:val="000000"/>
          <w:kern w:val="0"/>
          <w:sz w:val="24"/>
          <w:szCs w:val="24"/>
          <w:shd w:fill="auto" w:val="clear"/>
          <w:lang w:val="ru-RU" w:eastAsia="ru-RU" w:bidi="ar-SA"/>
        </w:rPr>
        <w:t xml:space="preserve">Выбор формы направления такого требования осуществляется Бенефициаром самостоятельно. </w:t>
      </w:r>
      <w:r>
        <w:rPr>
          <w:bCs/>
          <w:sz w:val="24"/>
          <w:szCs w:val="24"/>
        </w:rPr>
        <w:t>Платеж по Банковской гарантии – осуществляется Банком-Гарантом в течение 10 (десяти) рабочих дней после обращения Покупателя.</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Срок окончания действия Банковской гарантии – не ранее 70 (семидесяти) календарных дней после наступления даты поставки Товара.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Внесение изменений и дополнений в Договор в период срока действия Банковской гарантии не освобождает Банк-Гарант от обязательств перед Покупателем </w:t>
        <w:br/>
        <w:t>по Банковской гарантии.</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pPr>
        <w:pStyle w:val="ListParagraph"/>
        <w:widowControl/>
        <w:numPr>
          <w:ilvl w:val="2"/>
          <w:numId w:val="2"/>
        </w:numPr>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Банковская гарантия не должна содержать условий или требований, противоречащих требованиям, указанным в пунктах 5.1.1 – 5.1.8 Договора, или делающих такие требования неисполнимыми.</w:t>
      </w:r>
    </w:p>
    <w:p>
      <w:pPr>
        <w:pStyle w:val="ListParagraph"/>
        <w:widowControl/>
        <w:numPr>
          <w:ilvl w:val="2"/>
          <w:numId w:val="2"/>
        </w:numPr>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xml:space="preserve">Банковские гарантии, предусмотренные настоящим разделом Договора, предоставляются (по выбору Заказчика): </w:t>
      </w:r>
    </w:p>
    <w:p>
      <w:pPr>
        <w:pStyle w:val="ListParagraph"/>
        <w:widowControl/>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в электронной форме с использованием программно-аппаратных средств информационной системы электронного документооборота общего пользования путем ее подписания усиленной квалифицированной электронной подписью уполномоченного представителя Банка-гаранта / иным способом предусмотренным законодательством Российской Федерации; либо</w:t>
      </w:r>
    </w:p>
    <w:p>
      <w:pPr>
        <w:pStyle w:val="ListParagraph"/>
        <w:widowControl/>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в оригинале на бумажном носителе.</w:t>
      </w:r>
    </w:p>
    <w:p>
      <w:pPr>
        <w:pStyle w:val="Normal"/>
        <w:widowControl/>
        <w:numPr>
          <w:ilvl w:val="1"/>
          <w:numId w:val="2"/>
        </w:numPr>
        <w:tabs>
          <w:tab w:val="clear" w:pos="709"/>
          <w:tab w:val="left" w:pos="0" w:leader="none"/>
          <w:tab w:val="left" w:pos="1134" w:leader="none"/>
        </w:tabs>
        <w:ind w:left="0" w:firstLine="709"/>
        <w:jc w:val="both"/>
        <w:rPr>
          <w:bCs/>
          <w:sz w:val="24"/>
          <w:szCs w:val="24"/>
        </w:rPr>
      </w:pPr>
      <w:r>
        <w:rPr>
          <w:bCs/>
          <w:sz w:val="24"/>
          <w:szCs w:val="24"/>
        </w:rPr>
        <w:t>Банк-Гарант, выдавший Банковскую гарантию, должен соответствовать критериям, установленным в Приложении № 3 к Договору.</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Банковская гарантия возвращается Банку-Гаранту или Поставщику после прекращения ее действия в течение 10 (десяти) рабочих дней с даты получения Покупателем соответствующего письменного уведомления.</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Сумма Банковской гарантии возврата авансового платежа по согласованию </w:t>
        <w:br/>
        <w:t>с Покупателем может быть уменьшена пропорционально сумме выполненных Поставщиком обязательств по Договору при условии подтверждения их выполнения.</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В случае увеличения Цены Договора или продления срока выполнения Поставщиком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В случаях</w:t>
      </w:r>
      <w:r>
        <w:rPr>
          <w:bCs/>
          <w:sz w:val="24"/>
          <w:szCs w:val="24"/>
          <w:lang w:val="en-US"/>
        </w:rPr>
        <w:t>:</w:t>
      </w:r>
      <w:r>
        <w:rPr>
          <w:bCs/>
          <w:sz w:val="24"/>
          <w:szCs w:val="24"/>
        </w:rPr>
        <w:t xml:space="preserve"> </w:t>
      </w:r>
    </w:p>
    <w:p>
      <w:pPr>
        <w:pStyle w:val="ListParagraph"/>
        <w:widowControl/>
        <w:numPr>
          <w:ilvl w:val="1"/>
          <w:numId w:val="7"/>
        </w:numPr>
        <w:shd w:val="clear" w:color="auto" w:fill="FFFFFF"/>
        <w:tabs>
          <w:tab w:val="clear" w:pos="709"/>
          <w:tab w:val="left" w:pos="0" w:leader="none"/>
        </w:tabs>
        <w:ind w:left="0" w:firstLine="709"/>
        <w:jc w:val="both"/>
        <w:rPr>
          <w:bCs/>
          <w:sz w:val="24"/>
          <w:szCs w:val="24"/>
        </w:rPr>
      </w:pPr>
      <w:r>
        <w:rPr>
          <w:bCs/>
          <w:sz w:val="24"/>
          <w:szCs w:val="24"/>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pPr>
        <w:pStyle w:val="ListParagraph"/>
        <w:widowControl/>
        <w:numPr>
          <w:ilvl w:val="1"/>
          <w:numId w:val="7"/>
        </w:numPr>
        <w:shd w:val="clear" w:color="auto" w:fill="FFFFFF"/>
        <w:tabs>
          <w:tab w:val="clear" w:pos="709"/>
          <w:tab w:val="left" w:pos="0" w:leader="none"/>
        </w:tabs>
        <w:ind w:left="0" w:firstLine="709"/>
        <w:jc w:val="both"/>
        <w:rPr>
          <w:bCs/>
          <w:sz w:val="24"/>
          <w:szCs w:val="24"/>
        </w:rPr>
      </w:pPr>
      <w:r>
        <w:rPr>
          <w:bCs/>
          <w:sz w:val="24"/>
          <w:szCs w:val="24"/>
        </w:rPr>
        <w:t>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w:t>
      </w:r>
    </w:p>
    <w:p>
      <w:pPr>
        <w:pStyle w:val="ListParagraph"/>
        <w:shd w:val="clear" w:color="auto" w:fill="FFFFFF"/>
        <w:tabs>
          <w:tab w:val="clear" w:pos="709"/>
          <w:tab w:val="left" w:pos="0" w:leader="none"/>
        </w:tabs>
        <w:ind w:left="0" w:firstLine="709"/>
        <w:jc w:val="both"/>
        <w:rPr>
          <w:bCs/>
          <w:sz w:val="24"/>
          <w:szCs w:val="24"/>
        </w:rPr>
      </w:pPr>
      <w:r>
        <w:rPr>
          <w:bCs/>
          <w:sz w:val="24"/>
          <w:szCs w:val="24"/>
        </w:rPr>
        <w:t>Поставщик обязан предоставить Покупателю новую Банковскую гарантию</w:t>
      </w:r>
      <w:r>
        <w:rPr>
          <w:sz w:val="24"/>
          <w:szCs w:val="24"/>
        </w:rPr>
        <w:t xml:space="preserve"> </w:t>
      </w:r>
      <w:r>
        <w:rPr>
          <w:bCs/>
          <w:sz w:val="24"/>
          <w:szCs w:val="24"/>
        </w:rPr>
        <w:t>другого Банка-Гаранта, согласованного с Покупателем, соответствующую требованиям, установленным Договором, не позднее 10 (десяти) календарных дней с даты, когда ему стало известно либо должно стать известным об указанных обстоятельствах, либо с даты обращения Покупателя с требованием о замене Банковской гарантии.</w:t>
      </w:r>
    </w:p>
    <w:p>
      <w:pPr>
        <w:pStyle w:val="ListParagraph"/>
        <w:shd w:val="clear" w:color="auto" w:fill="FFFFFF"/>
        <w:tabs>
          <w:tab w:val="clear" w:pos="709"/>
          <w:tab w:val="left" w:pos="0" w:leader="none"/>
        </w:tabs>
        <w:ind w:left="0" w:firstLine="709"/>
        <w:jc w:val="both"/>
        <w:rPr>
          <w:bCs/>
          <w:sz w:val="24"/>
          <w:szCs w:val="24"/>
        </w:rPr>
      </w:pPr>
      <w:r>
        <w:rPr>
          <w:bCs/>
          <w:sz w:val="24"/>
          <w:szCs w:val="24"/>
        </w:rPr>
        <w:t>В случае непредставления Поставщиком в установленный срок новой Банковской гарантии Покупатель вправе удерживать сумму непогашенного (незачтенного) аванса</w:t>
      </w:r>
      <w:r>
        <w:rPr>
          <w:rStyle w:val="FootnoteReference"/>
          <w:sz w:val="24"/>
          <w:szCs w:val="24"/>
        </w:rPr>
        <w:footnoteReference w:id="3"/>
      </w:r>
      <w:r>
        <w:rPr>
          <w:bCs/>
          <w:sz w:val="24"/>
          <w:szCs w:val="24"/>
        </w:rPr>
        <w:t xml:space="preserve"> при выплате каждого платежа, причитающегося Поставщику, до полного зачета непогашенного (незачтенного) аванса, </w:t>
      </w:r>
      <w:r>
        <w:rPr>
          <w:sz w:val="24"/>
          <w:szCs w:val="24"/>
        </w:rPr>
        <w:t>при выплате каждого платежа, причитающегося Поставщику.</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Во всех случаях, предусмотренных Договором, Поставщик вправе представить Покупателю вместо новой Банковской гарантии изменения к действующей Банковской гарантии, приводящие ее в соответствие с требованиями Договора, при условии, что условиями действующей Банковской гарантии прямо предусмотрена возможность внесения в нее изменений. Любое изменение, внесенное Банком-Гарантом в условия Банковской гарантии, должно быть письменно согласовано с Покупателем.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Положения пункта 2.5.1 Договора применяются, если совокупный размер авансовых платежей, уплаченных и подлежащих уплате по Договору в соответствии </w:t>
        <w:br/>
        <w:t xml:space="preserve">с выставленными счетами Поставщика составляет 5 000 000 (Пять миллионов) рублей </w:t>
        <w:br/>
        <w:t xml:space="preserve">и более без учета НДС. </w:t>
      </w:r>
    </w:p>
    <w:p>
      <w:pPr>
        <w:pStyle w:val="ListParagraph"/>
        <w:widowControl/>
        <w:numPr>
          <w:ilvl w:val="1"/>
          <w:numId w:val="2"/>
        </w:numPr>
        <w:shd w:val="clear" w:color="auto" w:fill="FFFFFF"/>
        <w:tabs>
          <w:tab w:val="clear" w:pos="709"/>
          <w:tab w:val="left" w:pos="1134" w:leader="none"/>
          <w:tab w:val="left" w:pos="1985" w:leader="none"/>
        </w:tabs>
        <w:ind w:left="0" w:firstLine="709"/>
        <w:jc w:val="both"/>
        <w:rPr>
          <w:highlight w:val="none"/>
          <w:shd w:fill="auto" w:val="clear"/>
        </w:rPr>
      </w:pPr>
      <w:r>
        <w:rPr>
          <w:sz w:val="24"/>
          <w:szCs w:val="24"/>
          <w:shd w:fill="auto" w:val="clear"/>
        </w:rPr>
        <w:t xml:space="preserve">Стороны вправе изменить способы и порядок обеспечения обязательств </w:t>
        <w:br/>
        <w:t>по Договору, указанные в настоящем разделе, путем подписания дополнительного соглашения к Договору</w:t>
      </w:r>
      <w:r>
        <w:rPr>
          <w:rStyle w:val="FootnoteReference"/>
          <w:sz w:val="24"/>
          <w:szCs w:val="24"/>
          <w:shd w:fill="auto" w:val="clear"/>
        </w:rPr>
        <w:footnoteReference w:id="4"/>
      </w:r>
      <w:r>
        <w:rPr>
          <w:sz w:val="24"/>
          <w:szCs w:val="24"/>
          <w:shd w:fill="auto" w:val="clear"/>
        </w:rPr>
        <w:t>.</w:t>
      </w:r>
    </w:p>
    <w:p>
      <w:pPr>
        <w:pStyle w:val="ListParagraph"/>
        <w:widowControl/>
        <w:numPr>
          <w:ilvl w:val="1"/>
          <w:numId w:val="2"/>
        </w:numPr>
        <w:shd w:val="clear" w:color="auto" w:fill="FFFFFF"/>
        <w:tabs>
          <w:tab w:val="clear" w:pos="709"/>
        </w:tabs>
        <w:ind w:left="0" w:firstLine="709"/>
        <w:jc w:val="both"/>
        <w:rPr>
          <w:bCs/>
          <w:sz w:val="24"/>
          <w:szCs w:val="24"/>
        </w:rPr>
      </w:pPr>
      <w:r>
        <w:rPr>
          <w:sz w:val="24"/>
        </w:rPr>
        <w:t xml:space="preserve">Принадлежащее Покупателю по Банковской гарантии право требования </w:t>
        <w:br/>
        <w:t>к Банку-Гаранту может быть передано новому бенефициару – компании, входящей в Группу РусГидро, с последующим письменным уведомлением Покупателем Банка-Гаранта о смене бенефициара по Банковской гарантии.</w:t>
      </w:r>
    </w:p>
    <w:p>
      <w:pPr>
        <w:pStyle w:val="Normal"/>
        <w:widowControl/>
        <w:shd w:val="clear" w:color="auto" w:fill="FFFFFF"/>
        <w:tabs>
          <w:tab w:val="clear" w:pos="709"/>
          <w:tab w:val="left" w:pos="0" w:leader="none"/>
          <w:tab w:val="left" w:pos="1134" w:leader="none"/>
        </w:tabs>
        <w:ind w:left="1419" w:hanging="0"/>
        <w:jc w:val="both"/>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Ответственность Сторон</w:t>
      </w:r>
    </w:p>
    <w:p>
      <w:pPr>
        <w:pStyle w:val="ListParagraph"/>
        <w:numPr>
          <w:ilvl w:val="1"/>
          <w:numId w:val="2"/>
        </w:numPr>
        <w:tabs>
          <w:tab w:val="clear" w:pos="709"/>
          <w:tab w:val="left" w:pos="1276" w:leader="none"/>
        </w:tabs>
        <w:ind w:left="0" w:firstLine="709"/>
        <w:jc w:val="both"/>
        <w:rPr>
          <w:sz w:val="24"/>
          <w:szCs w:val="24"/>
        </w:rPr>
      </w:pPr>
      <w:r>
        <w:rPr>
          <w:sz w:val="24"/>
          <w:szCs w:val="24"/>
        </w:rPr>
        <w:t>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w:t>
        <w:br/>
        <w:t xml:space="preserve">и должны рассматриваться как дополнительные, если Договором прямо не предусмотрено иное. </w:t>
      </w:r>
    </w:p>
    <w:p>
      <w:pPr>
        <w:pStyle w:val="Normal"/>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Покупатель не несет ответственности за ненадлежащее исполнение обязательств 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pPr>
        <w:pStyle w:val="Normal"/>
        <w:widowControl/>
        <w:numPr>
          <w:ilvl w:val="1"/>
          <w:numId w:val="2"/>
        </w:numPr>
        <w:tabs>
          <w:tab w:val="clear" w:pos="709"/>
          <w:tab w:val="left" w:pos="1276" w:leader="none"/>
        </w:tabs>
        <w:ind w:left="0" w:firstLine="709"/>
        <w:jc w:val="both"/>
        <w:rPr>
          <w:bCs/>
          <w:sz w:val="24"/>
          <w:szCs w:val="24"/>
        </w:rPr>
      </w:pPr>
      <w:r>
        <w:rPr>
          <w:bCs/>
          <w:sz w:val="24"/>
          <w:szCs w:val="24"/>
        </w:rPr>
        <w:t>В случае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 и одной десятой) процента от несвоевременно оплаченной суммы за каждый день просрочки.</w:t>
      </w:r>
    </w:p>
    <w:p>
      <w:pPr>
        <w:pStyle w:val="Normal"/>
        <w:widowControl/>
        <w:numPr>
          <w:ilvl w:val="1"/>
          <w:numId w:val="2"/>
        </w:numPr>
        <w:tabs>
          <w:tab w:val="clear" w:pos="709"/>
          <w:tab w:val="left" w:pos="1276" w:leader="none"/>
        </w:tabs>
        <w:ind w:left="0" w:firstLine="709"/>
        <w:jc w:val="both"/>
        <w:rPr>
          <w:sz w:val="24"/>
          <w:szCs w:val="24"/>
        </w:rPr>
      </w:pPr>
      <w:r>
        <w:rPr>
          <w:bCs/>
          <w:sz w:val="24"/>
          <w:szCs w:val="24"/>
        </w:rPr>
        <w:t xml:space="preserve">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 Покупатель вправе требовать уплаты Поставщиком неустойки в размере 0,1 (ноль целых и одной десятой) процента от Цены Договора за каждый день просрочки.</w:t>
      </w:r>
    </w:p>
    <w:p>
      <w:pPr>
        <w:pStyle w:val="ListParagraph"/>
        <w:widowControl/>
        <w:numPr>
          <w:ilvl w:val="1"/>
          <w:numId w:val="15"/>
        </w:numPr>
        <w:tabs>
          <w:tab w:val="clear" w:pos="709"/>
          <w:tab w:val="left" w:pos="1276" w:leader="none"/>
        </w:tabs>
        <w:ind w:left="0" w:firstLine="709"/>
        <w:jc w:val="both"/>
        <w:rPr>
          <w:sz w:val="24"/>
          <w:szCs w:val="24"/>
        </w:rPr>
      </w:pPr>
      <w:r>
        <w:rPr>
          <w:sz w:val="24"/>
          <w:szCs w:val="24"/>
        </w:rPr>
        <w:t>В случае несвоевременного устранения Поставщиком выявленных недостатков Товара, Покупатель вправе требовать уплаты Поставщиком:</w:t>
      </w:r>
    </w:p>
    <w:p>
      <w:pPr>
        <w:pStyle w:val="ListParagraph"/>
        <w:widowControl/>
        <w:numPr>
          <w:ilvl w:val="2"/>
          <w:numId w:val="15"/>
        </w:numPr>
        <w:ind w:left="0" w:firstLine="709"/>
        <w:jc w:val="both"/>
        <w:rPr>
          <w:sz w:val="24"/>
          <w:szCs w:val="24"/>
        </w:rPr>
      </w:pPr>
      <w:r>
        <w:rPr>
          <w:sz w:val="24"/>
          <w:szCs w:val="24"/>
        </w:rPr>
        <w:t xml:space="preserve">Неустойки в размере 0,1 (ноль целых и одной десятой)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w:t>
        <w:br/>
        <w:t>в целом.</w:t>
      </w:r>
    </w:p>
    <w:p>
      <w:pPr>
        <w:pStyle w:val="ListParagraph"/>
        <w:widowControl/>
        <w:numPr>
          <w:ilvl w:val="2"/>
          <w:numId w:val="15"/>
        </w:numPr>
        <w:ind w:left="0" w:firstLine="709"/>
        <w:jc w:val="both"/>
        <w:rPr>
          <w:sz w:val="24"/>
          <w:szCs w:val="24"/>
        </w:rPr>
      </w:pPr>
      <w:r>
        <w:rPr>
          <w:sz w:val="24"/>
          <w:szCs w:val="24"/>
        </w:rPr>
        <w:t>Неустойки в размере 0,1 (ноль целых и одной десятой) процента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pPr>
        <w:pStyle w:val="ListParagraph"/>
        <w:widowControl/>
        <w:numPr>
          <w:ilvl w:val="1"/>
          <w:numId w:val="15"/>
        </w:numPr>
        <w:tabs>
          <w:tab w:val="clear" w:pos="709"/>
          <w:tab w:val="left" w:pos="1276" w:leader="none"/>
          <w:tab w:val="left" w:pos="1701" w:leader="none"/>
        </w:tabs>
        <w:ind w:left="0" w:firstLine="709"/>
        <w:jc w:val="both"/>
        <w:rPr>
          <w:sz w:val="24"/>
          <w:szCs w:val="24"/>
        </w:rPr>
      </w:pPr>
      <w:r>
        <w:rPr>
          <w:rFonts w:eastAsia="Calibri"/>
          <w:bCs/>
          <w:sz w:val="24"/>
          <w:szCs w:val="24"/>
        </w:rPr>
        <w:t xml:space="preserve">На сумму подлежащего возврату аванса начисляется неустойка в размере </w:t>
        <w:br/>
        <w:t>0,1 (ноль целых и одной десятой) процента с даты, установленной для возврата аванса</w:t>
      </w:r>
      <w:r>
        <w:rPr>
          <w:sz w:val="24"/>
          <w:szCs w:val="24"/>
        </w:rPr>
        <w:t>.</w:t>
      </w:r>
    </w:p>
    <w:p>
      <w:pPr>
        <w:pStyle w:val="ListParagraph"/>
        <w:widowControl/>
        <w:numPr>
          <w:ilvl w:val="1"/>
          <w:numId w:val="15"/>
        </w:numPr>
        <w:shd w:val="clear" w:color="auto" w:fill="FFFFFF"/>
        <w:tabs>
          <w:tab w:val="clear" w:pos="709"/>
          <w:tab w:val="left" w:pos="1276" w:leader="none"/>
        </w:tabs>
        <w:ind w:left="0" w:firstLine="709"/>
        <w:jc w:val="both"/>
        <w:rPr>
          <w:bCs/>
          <w:sz w:val="24"/>
          <w:szCs w:val="24"/>
        </w:rPr>
      </w:pPr>
      <w:r>
        <w:rPr>
          <w:bCs/>
          <w:sz w:val="24"/>
          <w:szCs w:val="24"/>
        </w:rPr>
        <w:t xml:space="preserve">В случае нарушения Поставщиком требований пропускного </w:t>
        <w:br/>
        <w:t xml:space="preserve">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4 к Договору. </w:t>
      </w:r>
    </w:p>
    <w:p>
      <w:pPr>
        <w:pStyle w:val="ListParagraph"/>
        <w:widowControl/>
        <w:numPr>
          <w:ilvl w:val="1"/>
          <w:numId w:val="15"/>
        </w:numPr>
        <w:shd w:val="clear" w:color="auto" w:fill="FFFFFF"/>
        <w:tabs>
          <w:tab w:val="clear" w:pos="709"/>
          <w:tab w:val="left" w:pos="1276" w:leader="none"/>
        </w:tabs>
        <w:ind w:left="0" w:firstLine="709"/>
        <w:jc w:val="both"/>
        <w:rPr>
          <w:bCs/>
          <w:sz w:val="24"/>
          <w:szCs w:val="24"/>
        </w:rPr>
      </w:pPr>
      <w:r>
        <w:rPr>
          <w:bCs/>
          <w:sz w:val="24"/>
          <w:szCs w:val="24"/>
        </w:rPr>
        <w:t>Если в результате составления и выставления Поставщиком счетов-фактур/УПД 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shd w:val="clear" w:color="auto" w:fill="FFFFFF"/>
        <w:ind w:left="0" w:firstLine="709"/>
        <w:jc w:val="both"/>
        <w:rPr>
          <w:bCs/>
          <w:sz w:val="24"/>
          <w:szCs w:val="24"/>
        </w:rPr>
      </w:pPr>
      <w:r>
        <w:rPr>
          <w:bCs/>
          <w:sz w:val="24"/>
          <w:szCs w:val="24"/>
        </w:rPr>
        <w:t>В случае нарушения Поставщиком сроков предоставления счетов-фактур/УПД, установленных пунктом 2.8 Договора, Покупатель вправе требовать уплаты Поставщиком штрафа в размере 50 000 (пятидесяти тысяч) рублей за каждый случай нарушения.</w:t>
      </w:r>
    </w:p>
    <w:p>
      <w:pPr>
        <w:pStyle w:val="ListParagraph"/>
        <w:widowControl/>
        <w:numPr>
          <w:ilvl w:val="1"/>
          <w:numId w:val="15"/>
        </w:numPr>
        <w:shd w:val="clear" w:color="auto" w:fill="FFFFFF"/>
        <w:ind w:left="0" w:firstLine="709"/>
        <w:jc w:val="both"/>
        <w:rPr>
          <w:bCs/>
          <w:sz w:val="24"/>
          <w:szCs w:val="24"/>
        </w:rPr>
      </w:pPr>
      <w:r>
        <w:rPr>
          <w:bCs/>
          <w:sz w:val="24"/>
          <w:szCs w:val="24"/>
        </w:rPr>
        <w:t>За непредоставление либо несвоевременное предоставление / переоформление Поставщиком банковских гарантий, предусмотренных Договором, в порядке и сроки, установленные разделом 5 Договора, Покупатель вправе требовать уплаты Поставщиком неустойки в размере 0,03 (ноль целых и трех сотых) процента от Цены Договора за каждый день просрочки.</w:t>
      </w:r>
    </w:p>
    <w:p>
      <w:pPr>
        <w:pStyle w:val="ListParagraph"/>
        <w:widowControl/>
        <w:numPr>
          <w:ilvl w:val="1"/>
          <w:numId w:val="15"/>
        </w:numPr>
        <w:shd w:val="clear" w:color="auto" w:fill="FFFFFF"/>
        <w:ind w:left="0" w:firstLine="709"/>
        <w:jc w:val="both"/>
        <w:rPr>
          <w:bCs/>
          <w:sz w:val="24"/>
          <w:szCs w:val="24"/>
        </w:rPr>
      </w:pPr>
      <w:r>
        <w:rPr>
          <w:bCs/>
          <w:sz w:val="24"/>
          <w:szCs w:val="24"/>
        </w:rPr>
        <w:t xml:space="preserve">Поставщик несет ответственность перед Покупателем за причиненный ущерб </w:t>
        <w:br/>
        <w:t xml:space="preserve">в размере фактически понесенных и документально подтвержденных расходов, возникших </w:t>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ListParagraph"/>
        <w:widowControl/>
        <w:numPr>
          <w:ilvl w:val="1"/>
          <w:numId w:val="15"/>
        </w:numPr>
        <w:shd w:val="clear" w:color="auto" w:fill="FFFFFF"/>
        <w:ind w:left="0" w:firstLine="70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15"/>
        </w:numPr>
        <w:shd w:val="clear" w:color="auto" w:fill="FFFFFF"/>
        <w:ind w:left="0" w:firstLine="709"/>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numPr>
          <w:ilvl w:val="1"/>
          <w:numId w:val="15"/>
        </w:numPr>
        <w:shd w:val="clear" w:color="auto" w:fill="FFFFFF"/>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1"/>
          <w:numId w:val="15"/>
        </w:numPr>
        <w:shd w:val="clear" w:color="auto" w:fill="FFFFFF"/>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ListParagraph"/>
        <w:widowControl/>
        <w:numPr>
          <w:ilvl w:val="1"/>
          <w:numId w:val="15"/>
        </w:numPr>
        <w:shd w:val="clear" w:color="auto" w:fill="FFFFFF"/>
        <w:ind w:left="0" w:firstLine="709"/>
        <w:jc w:val="both"/>
        <w:rPr>
          <w:bCs/>
          <w:sz w:val="24"/>
          <w:szCs w:val="24"/>
        </w:rPr>
      </w:pPr>
      <w:r>
        <w:rPr>
          <w:bCs/>
          <w:sz w:val="24"/>
          <w:szCs w:val="24"/>
        </w:rPr>
        <w:t xml:space="preserve">В случае нарушения Поставщиком срока предоставления документов, установленного пунктом 4.8 Договора (если такое нарушение привело к невыполнению Покупателем требований по локализации оборудования, установленных законодательством Российской Федерации к оборудованию, эксплуатируемому по итогам модернизации (реконструкции) или строительства генерирующих объектов тепловых электростанций </w:t>
        <w:br/>
        <w:t>в неценовых зонах оптового рынка), Покупатель вправе требовать уплаты Поставщиком  штрафа в размере 10 (десяти) процентов от стоимости Товара. Покупатель вправе удержать сумму такого штрафа из любого платежа, причитающегося Поставщику по Договору</w:t>
      </w:r>
      <w:r>
        <w:rPr>
          <w:rStyle w:val="FootnoteReference"/>
          <w:bCs/>
          <w:sz w:val="24"/>
          <w:szCs w:val="24"/>
        </w:rPr>
        <w:footnoteReference w:id="5"/>
      </w:r>
      <w:r>
        <w:rPr>
          <w:bCs/>
          <w:sz w:val="24"/>
          <w:szCs w:val="24"/>
        </w:rPr>
        <w:t>.</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0" w:leader="none"/>
        </w:tabs>
        <w:ind w:left="0" w:hanging="360"/>
        <w:jc w:val="center"/>
        <w:rPr>
          <w:b/>
          <w:bCs/>
          <w:sz w:val="24"/>
          <w:szCs w:val="24"/>
        </w:rPr>
      </w:pPr>
      <w:r>
        <w:rPr>
          <w:b/>
          <w:bCs/>
          <w:sz w:val="24"/>
          <w:szCs w:val="24"/>
        </w:rPr>
        <w:t>Конфиденциальность</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w:t>
        <w:br/>
        <w:t>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6"/>
        </w:numPr>
        <w:tabs>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6"/>
        </w:numPr>
        <w:tabs>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6"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6"/>
      <w:r>
        <w:rPr>
          <w:bCs/>
          <w:sz w:val="24"/>
          <w:szCs w:val="24"/>
        </w:rPr>
        <w:t xml:space="preserve">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 7.6.7 Договора.</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bookmarkStart w:id="7"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7"/>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bookmarkStart w:id="8"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8"/>
    </w:p>
    <w:p>
      <w:pPr>
        <w:pStyle w:val="Normal"/>
        <w:numPr>
          <w:ilvl w:val="1"/>
          <w:numId w:val="2"/>
        </w:numPr>
        <w:shd w:val="clear" w:color="auto" w:fill="FFFFFF"/>
        <w:tabs>
          <w:tab w:val="clear" w:pos="709"/>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ListParagraph"/>
        <w:widowControl/>
        <w:shd w:val="clear" w:color="auto" w:fill="FFFFFF"/>
        <w:tabs>
          <w:tab w:val="clear" w:pos="709"/>
          <w:tab w:val="left" w:pos="1134" w:leader="none"/>
        </w:tabs>
        <w:ind w:left="709" w:hanging="0"/>
        <w:jc w:val="both"/>
        <w:rPr>
          <w:sz w:val="24"/>
          <w:szCs w:val="24"/>
        </w:rPr>
      </w:pPr>
      <w:r>
        <w:rPr>
          <w:sz w:val="24"/>
          <w:szCs w:val="24"/>
        </w:rPr>
      </w:r>
    </w:p>
    <w:p>
      <w:pPr>
        <w:pStyle w:val="ListParagraph"/>
        <w:widowControl/>
        <w:numPr>
          <w:ilvl w:val="0"/>
          <w:numId w:val="2"/>
        </w:numPr>
        <w:shd w:val="clear" w:color="auto" w:fill="FFFFFF"/>
        <w:ind w:left="0" w:hanging="360"/>
        <w:jc w:val="center"/>
        <w:rPr>
          <w:b/>
          <w:bCs/>
          <w:sz w:val="24"/>
          <w:szCs w:val="24"/>
        </w:rPr>
      </w:pPr>
      <w:r>
        <w:rPr>
          <w:b/>
          <w:bCs/>
          <w:sz w:val="24"/>
          <w:szCs w:val="24"/>
        </w:rPr>
        <w:t>Разрешение споров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2"/>
        </w:numPr>
        <w:shd w:val="clear" w:color="auto" w:fill="FFFFFF"/>
        <w:tabs>
          <w:tab w:val="clear" w:pos="709"/>
          <w:tab w:val="left" w:pos="0" w:leader="none"/>
        </w:tabs>
        <w:ind w:left="0" w:firstLine="709"/>
        <w:jc w:val="both"/>
        <w:rPr>
          <w:bCs/>
          <w:sz w:val="24"/>
          <w:szCs w:val="24"/>
        </w:rPr>
      </w:pPr>
      <w:r>
        <w:rPr>
          <w:bCs/>
          <w:sz w:val="24"/>
          <w:szCs w:val="24"/>
        </w:rPr>
        <w:t xml:space="preserve">Споры, указанные в пункте 8.1 Договора, которые не были урегулированы Сторонами путем переговоров, подлежат разрешению в Арбитражном суде </w:t>
      </w:r>
      <w:r>
        <w:rPr>
          <w:bCs/>
          <w:sz w:val="24"/>
          <w:szCs w:val="24"/>
          <w:shd w:fill="auto" w:val="clear"/>
        </w:rPr>
        <w:t xml:space="preserve">Амурской области в соответствии с законодательством Российской Федерации, </w:t>
        <w:br/>
        <w:t>за исключением споров из Банковской гарантии, подсудность которых предусмотрена пунктом 5.1.9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highlight w:val="none"/>
          <w:shd w:fill="auto" w:val="clear"/>
        </w:rPr>
      </w:pPr>
      <w:r>
        <w:rPr>
          <w:bCs/>
          <w:sz w:val="24"/>
          <w:szCs w:val="24"/>
          <w:shd w:fill="auto" w:val="clear"/>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14.8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shd w:fill="auto" w:val="clear"/>
        </w:rPr>
        <w:t>Срок для рассмотрения претензии – 15 (пят</w:t>
      </w:r>
      <w:r>
        <w:rPr>
          <w:bCs/>
          <w:sz w:val="24"/>
          <w:szCs w:val="24"/>
        </w:rPr>
        <w:t xml:space="preserve">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Условия настоящего раздела Договора сохраняют свою силу в случае признания Договора незаключенным и / или недействительным.</w:t>
      </w:r>
    </w:p>
    <w:p>
      <w:pPr>
        <w:pStyle w:val="Normal"/>
        <w:shd w:val="clear" w:color="auto" w:fill="FFFFFF"/>
        <w:jc w:val="both"/>
        <w:rPr>
          <w:bCs/>
          <w:sz w:val="24"/>
          <w:szCs w:val="24"/>
        </w:rPr>
      </w:pPr>
      <w:r>
        <w:rPr>
          <w:bCs/>
          <w:sz w:val="24"/>
          <w:szCs w:val="24"/>
        </w:rPr>
      </w:r>
    </w:p>
    <w:p>
      <w:pPr>
        <w:pStyle w:val="ListParagraph"/>
        <w:widowControl/>
        <w:numPr>
          <w:ilvl w:val="0"/>
          <w:numId w:val="2"/>
        </w:numPr>
        <w:shd w:val="clear" w:color="auto" w:fill="FFFFFF"/>
        <w:ind w:left="0" w:hanging="360"/>
        <w:jc w:val="center"/>
        <w:rPr>
          <w:b/>
          <w:bCs/>
          <w:sz w:val="24"/>
          <w:szCs w:val="24"/>
        </w:rPr>
      </w:pPr>
      <w:r>
        <w:rPr>
          <w:b/>
          <w:bCs/>
          <w:sz w:val="24"/>
          <w:szCs w:val="24"/>
        </w:rPr>
        <w:t>Антикоррупционная оговорка</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 xml:space="preserve">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w:t>
        <w:br/>
        <w:t>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w:t>
        <w:br/>
        <w:t>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9.3. В случае возникновения у любой Стороны обоснованных предположений, что </w:t>
        <w:br/>
        <w:t xml:space="preserve">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w:t>
        <w:br/>
        <w:t>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не позднее </w:t>
        <w:br/>
        <w:t>5 (пяти) рабочих дней с даты получения письменного уведомления.</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w:t>
        <w:br/>
        <w:t xml:space="preserve">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w:t>
        <w:br/>
        <w:t xml:space="preserve">не позднее 5 (пяти) календарных дней до даты прекращения действия Договора. </w:t>
      </w:r>
    </w:p>
    <w:p>
      <w:pPr>
        <w:pStyle w:val="Normal"/>
        <w:shd w:val="clear" w:color="auto" w:fill="FFFFFF"/>
        <w:tabs>
          <w:tab w:val="clear" w:pos="709"/>
          <w:tab w:val="left" w:pos="567" w:leader="none"/>
          <w:tab w:val="left" w:pos="1134" w:leader="none"/>
        </w:tabs>
        <w:ind w:firstLine="709"/>
        <w:jc w:val="both"/>
        <w:rPr>
          <w:color w:val="000000"/>
          <w:sz w:val="24"/>
          <w:szCs w:val="24"/>
        </w:rPr>
      </w:pPr>
      <w:r>
        <w:rPr>
          <w:color w:val="000000"/>
          <w:sz w:val="24"/>
          <w:szCs w:val="24"/>
        </w:rPr>
        <w:t xml:space="preserve">9.7. Каналы связи Линии доверия Группы РусГидро: </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9.7.1. Электронная почта: ld@rushydro.ru.</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 xml:space="preserve">9.7.2. Специальная форма «обратной связи», размещенная на официальном сайте </w:t>
        <w:br/>
        <w:t>ПАО «РусГидро»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sz w:val="24"/>
          <w:szCs w:val="24"/>
        </w:rPr>
      </w:pPr>
      <w:r>
        <w:rPr>
          <w:sz w:val="24"/>
          <w:szCs w:val="24"/>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0" w:leader="none"/>
          <w:tab w:val="left" w:pos="284" w:leader="none"/>
          <w:tab w:val="left" w:pos="567" w:leader="none"/>
        </w:tabs>
        <w:ind w:left="0" w:firstLine="709"/>
        <w:jc w:val="both"/>
        <w:rPr>
          <w:b/>
          <w:bCs/>
          <w:sz w:val="24"/>
          <w:szCs w:val="24"/>
        </w:rPr>
      </w:pPr>
      <w:r>
        <w:rPr>
          <w:b/>
          <w:bCs/>
          <w:sz w:val="24"/>
          <w:szCs w:val="24"/>
        </w:rPr>
      </w:r>
    </w:p>
    <w:p>
      <w:pPr>
        <w:pStyle w:val="ListParagraph"/>
        <w:widowControl/>
        <w:numPr>
          <w:ilvl w:val="0"/>
          <w:numId w:val="2"/>
        </w:numPr>
        <w:shd w:val="clear" w:color="auto" w:fill="FFFFFF"/>
        <w:ind w:left="0" w:hanging="36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sz w:val="24"/>
          <w:szCs w:val="24"/>
        </w:rPr>
        <w:t xml:space="preserve">Надлежащим (достаточным) доказательством наличия / возникновения </w:t>
        <w:br/>
        <w:t xml:space="preserve">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w:t>
        <w:br/>
        <w:t>на которые заинтересованная Сторона ссылается в качестве обстоятельств непреодолимой силы (форс-мажора).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360"/>
        <w:jc w:val="center"/>
        <w:rPr>
          <w:b/>
          <w:sz w:val="24"/>
          <w:szCs w:val="24"/>
        </w:rPr>
      </w:pPr>
      <w:r>
        <w:rPr>
          <w:b/>
          <w:bCs/>
          <w:sz w:val="24"/>
          <w:szCs w:val="24"/>
        </w:rPr>
        <w:t>Заверения</w:t>
      </w:r>
      <w:r>
        <w:rPr>
          <w:b/>
          <w:sz w:val="24"/>
          <w:szCs w:val="24"/>
        </w:rPr>
        <w:t xml:space="preserve"> Сторон</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тщательно изучил всю информацию, связанную с Договором, </w:t>
        <w:br/>
        <w:t xml:space="preserve">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w:t>
        <w:br/>
        <w:t>и трудности исполнения обязательств, возникающих из Договора или в связи с ним;</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вся информация, предоставленная Покупателю, является достоверной, полной </w:t>
        <w:br/>
        <w:t xml:space="preserve">и точной, и Поставщик не скрыл никаких обстоятельств, которые при их обнаружении могли </w:t>
        <w:br/>
        <w:t>бы негативно повлиять на решение Покупателя заключить Договор на указанных в нем условиях.</w:t>
      </w:r>
    </w:p>
    <w:p>
      <w:pPr>
        <w:pStyle w:val="Normal"/>
        <w:widowControl/>
        <w:numPr>
          <w:ilvl w:val="1"/>
          <w:numId w:val="2"/>
        </w:numPr>
        <w:tabs>
          <w:tab w:val="clear" w:pos="709"/>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письменному требованию Покупателя уплатить последнему штраф </w:t>
        <w:br/>
        <w:t>в размере 5 (пяти) процентов от Цены Договора, указанной в пункте 2.1 Договора.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w:t>
        <w:br/>
        <w:t>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9"/>
          <w:tab w:val="left" w:pos="1134" w:leader="none"/>
          <w:tab w:val="left" w:pos="1418" w:leader="none"/>
        </w:tabs>
        <w:ind w:left="709" w:hanging="0"/>
        <w:jc w:val="both"/>
        <w:rPr>
          <w:sz w:val="24"/>
          <w:szCs w:val="24"/>
        </w:rPr>
      </w:pPr>
      <w:r>
        <w:rPr>
          <w:sz w:val="24"/>
          <w:szCs w:val="24"/>
        </w:rPr>
      </w:r>
    </w:p>
    <w:p>
      <w:pPr>
        <w:pStyle w:val="ListParagraph"/>
        <w:widowControl/>
        <w:numPr>
          <w:ilvl w:val="0"/>
          <w:numId w:val="2"/>
        </w:numPr>
        <w:shd w:val="clear" w:color="auto" w:fill="FFFFFF"/>
        <w:ind w:left="0" w:hanging="360"/>
        <w:jc w:val="center"/>
        <w:rPr>
          <w:b/>
          <w:sz w:val="24"/>
          <w:szCs w:val="24"/>
        </w:rPr>
      </w:pPr>
      <w:r>
        <w:rPr>
          <w:b/>
          <w:bCs/>
          <w:sz w:val="24"/>
          <w:szCs w:val="24"/>
        </w:rPr>
        <w:t>П</w:t>
      </w:r>
      <w:r>
        <w:rPr>
          <w:b/>
          <w:sz w:val="24"/>
          <w:szCs w:val="24"/>
        </w:rPr>
        <w:t>рекращение (расторжение) Договора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w:t>
      </w:r>
      <w:r>
        <w:rPr>
          <w:sz w:val="24"/>
          <w:szCs w:val="24"/>
          <w:highlight w:val="lightGray"/>
        </w:rPr>
        <w:t>14.8</w:t>
      </w:r>
      <w:r>
        <w:rPr>
          <w:sz w:val="24"/>
          <w:szCs w:val="24"/>
        </w:rPr>
        <w:t xml:space="preserve">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существенного нарушения Договора Поставщиком Покупатель вправе </w:t>
        <w:br/>
        <w:t>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ListParagraph"/>
        <w:shd w:val="clear" w:color="auto" w:fill="FFFFFF"/>
        <w:tabs>
          <w:tab w:val="clear" w:pos="709"/>
          <w:tab w:val="left" w:pos="0" w:leader="none"/>
          <w:tab w:val="left" w:pos="1418" w:leader="none"/>
        </w:tabs>
        <w:ind w:left="0" w:firstLine="709"/>
        <w:jc w:val="both"/>
        <w:rPr>
          <w:sz w:val="24"/>
          <w:szCs w:val="24"/>
        </w:rPr>
      </w:pPr>
      <w:r>
        <w:rPr>
          <w:sz w:val="24"/>
          <w:szCs w:val="24"/>
        </w:rPr>
        <w:t xml:space="preserve">Покупатель одновременно с уведомлением об отказе от Договора (исполнения Договора) направляет Поставщику письменное требование о возмещении убытков </w:t>
        <w:br/>
        <w:t xml:space="preserve">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w:t>
        <w:br/>
        <w:t>от Покупателя.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Стороны установили, что существенным нарушением Договора Поставщиком является:</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 xml:space="preserve">нарушение Поставщиком общего срока поставки Товара по Договору, а также промежуточных сроков поставки Товара, установленных Договором, более чем </w:t>
        <w:br/>
        <w:t>на 60 (шестьдесят) календарных дней по причинам, не зависящим от Покупателя;</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br/>
        <w:t xml:space="preserve">а также недостоверности, неточности или неполноты заверений Поставщика </w:t>
        <w:br/>
        <w:t>об обстоятельствах, указанных в разделе 12 Договора, и имеющих существенное значение для его заключения и исполнения.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отказа Покупателя от Договора в случаях, предусмотренных пунктами 13.2, 13.3 Договора, последний считается прекращенным (расторгнутым) со дня, следующего за днем получения Поставщиком уведомления Покупателя об отказе </w:t>
        <w:br/>
        <w:t xml:space="preserve">от Договора (исполнения Договора).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ListParagraph"/>
        <w:widowControl/>
        <w:shd w:val="clear" w:color="auto" w:fill="FFFFFF"/>
        <w:tabs>
          <w:tab w:val="clear" w:pos="709"/>
          <w:tab w:val="left" w:pos="0" w:leader="none"/>
        </w:tabs>
        <w:ind w:left="709" w:hanging="0"/>
        <w:jc w:val="both"/>
        <w:rPr>
          <w:bCs/>
          <w:sz w:val="24"/>
          <w:szCs w:val="24"/>
        </w:rPr>
      </w:pPr>
      <w:r>
        <w:rPr>
          <w:bCs/>
          <w:sz w:val="24"/>
          <w:szCs w:val="24"/>
        </w:rPr>
      </w:r>
    </w:p>
    <w:p>
      <w:pPr>
        <w:pStyle w:val="ListParagraph"/>
        <w:widowControl/>
        <w:numPr>
          <w:ilvl w:val="0"/>
          <w:numId w:val="2"/>
        </w:numPr>
        <w:shd w:val="clear" w:color="auto" w:fill="FFFFFF"/>
        <w:ind w:left="0" w:hanging="360"/>
        <w:jc w:val="center"/>
        <w:rPr>
          <w:b/>
          <w:bCs/>
          <w:sz w:val="24"/>
          <w:szCs w:val="24"/>
        </w:rPr>
      </w:pPr>
      <w:r>
        <w:rPr>
          <w:b/>
          <w:bCs/>
          <w:sz w:val="24"/>
          <w:szCs w:val="24"/>
        </w:rPr>
        <w:t>Заключительные положения</w:t>
      </w:r>
    </w:p>
    <w:p>
      <w:pPr>
        <w:pStyle w:val="ListParagraph"/>
        <w:widowControl/>
        <w:numPr>
          <w:ilvl w:val="1"/>
          <w:numId w:val="2"/>
        </w:numPr>
        <w:shd w:val="clear" w:color="auto" w:fill="FFFFFF"/>
        <w:tabs>
          <w:tab w:val="clear" w:pos="709"/>
          <w:tab w:val="left" w:pos="142" w:leader="none"/>
          <w:tab w:val="left" w:pos="1418" w:leader="none"/>
        </w:tabs>
        <w:ind w:left="0" w:firstLine="709"/>
        <w:jc w:val="both"/>
        <w:rPr>
          <w:sz w:val="24"/>
          <w:szCs w:val="24"/>
        </w:rPr>
      </w:pPr>
      <w:r>
        <w:rPr>
          <w:sz w:val="24"/>
          <w:szCs w:val="24"/>
        </w:rPr>
        <w:t>Договор вступает в силу с даты его подписан</w:t>
      </w:r>
      <w:r>
        <w:rPr>
          <w:sz w:val="24"/>
          <w:szCs w:val="24"/>
          <w:shd w:fill="auto" w:val="clear"/>
        </w:rPr>
        <w:t xml:space="preserve">ия Сторонами и действует </w:t>
        <w:br/>
        <w:t xml:space="preserve">до полного исполнения ими принятых на себя обязательств. В соответствии с пунктом 2 статьи 425 ГК РФ, условия Договора применяются к отношениям Сторон, возникшим </w:t>
        <w:br/>
        <w:t>с __________.</w:t>
      </w:r>
    </w:p>
    <w:p>
      <w:pPr>
        <w:pStyle w:val="Normal"/>
        <w:widowControl/>
        <w:numPr>
          <w:ilvl w:val="1"/>
          <w:numId w:val="2"/>
        </w:numPr>
        <w:tabs>
          <w:tab w:val="clear" w:pos="709"/>
          <w:tab w:val="left" w:pos="142" w:leader="none"/>
          <w:tab w:val="left" w:pos="1418" w:leader="none"/>
        </w:tabs>
        <w:snapToGrid w:val="false"/>
        <w:ind w:left="0" w:firstLine="709"/>
        <w:jc w:val="both"/>
        <w:rPr>
          <w:highlight w:val="none"/>
          <w:shd w:fill="auto" w:val="clear"/>
        </w:rPr>
      </w:pPr>
      <w:r>
        <w:rPr>
          <w:sz w:val="24"/>
          <w:szCs w:val="24"/>
          <w:shd w:fill="auto" w:val="clear"/>
          <w:lang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tabs>
          <w:tab w:val="clear" w:pos="709"/>
          <w:tab w:val="left" w:pos="142" w:leader="none"/>
        </w:tabs>
        <w:ind w:firstLine="709"/>
        <w:jc w:val="both"/>
        <w:rPr>
          <w:highlight w:val="none"/>
          <w:shd w:fill="auto" w:val="clear"/>
        </w:rPr>
      </w:pPr>
      <w:r>
        <w:rPr>
          <w:sz w:val="24"/>
          <w:szCs w:val="24"/>
          <w:shd w:fill="auto" w:val="clear"/>
          <w:lang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sz w:val="24"/>
          <w:szCs w:val="24"/>
          <w:shd w:fill="auto" w:val="clear"/>
          <w:lang w:eastAsia="en-US"/>
        </w:rPr>
        <w:footnoteReference w:id="6"/>
      </w:r>
      <w:r>
        <w:rPr>
          <w:sz w:val="24"/>
          <w:szCs w:val="24"/>
          <w:shd w:fill="auto" w:val="clear"/>
          <w:lang w:eastAsia="en-US"/>
        </w:rPr>
        <w:t>.</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sz w:val="24"/>
          <w:szCs w:val="24"/>
          <w:highlight w:val="lightGray"/>
        </w:rPr>
        <w:t>14.7</w:t>
      </w:r>
      <w:r>
        <w:rPr>
          <w:sz w:val="24"/>
          <w:szCs w:val="24"/>
        </w:rPr>
        <w:t xml:space="preserve">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 xml:space="preserve">в письменной форме в порядке, предусмотренном пунктом </w:t>
      </w:r>
      <w:r>
        <w:rPr>
          <w:sz w:val="24"/>
          <w:szCs w:val="24"/>
          <w:highlight w:val="lightGray"/>
        </w:rPr>
        <w:t>14.8</w:t>
      </w:r>
      <w:r>
        <w:rPr>
          <w:sz w:val="24"/>
          <w:szCs w:val="24"/>
        </w:rPr>
        <w:t xml:space="preserve">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bookmarkStart w:id="9" w:name="_Ref361338004"/>
      <w:r>
        <w:rPr>
          <w:sz w:val="24"/>
          <w:szCs w:val="24"/>
        </w:rPr>
        <w:t xml:space="preserve">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w:t>
      </w:r>
      <w:r>
        <w:rPr>
          <w:sz w:val="24"/>
          <w:szCs w:val="24"/>
          <w:highlight w:val="lightGray"/>
        </w:rPr>
        <w:t>14.8</w:t>
      </w:r>
      <w:r>
        <w:rPr>
          <w:sz w:val="24"/>
          <w:szCs w:val="24"/>
        </w:rPr>
        <w:t xml:space="preserve"> Договора.</w:t>
      </w:r>
      <w:bookmarkEnd w:id="9"/>
      <w:r>
        <w:rPr>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pPr>
        <w:pStyle w:val="ListParagraph"/>
        <w:numPr>
          <w:ilvl w:val="2"/>
          <w:numId w:val="2"/>
        </w:numPr>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2"/>
        </w:numPr>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pPr>
        <w:pStyle w:val="ListParagraph"/>
        <w:numPr>
          <w:ilvl w:val="2"/>
          <w:numId w:val="2"/>
        </w:numPr>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sz w:val="24"/>
          <w:szCs w:val="24"/>
          <w:highlight w:val="lightGray"/>
        </w:rPr>
        <w:t>14.8.1 – 14.8.2</w:t>
      </w:r>
      <w:r>
        <w:rPr>
          <w:bCs/>
          <w:sz w:val="24"/>
          <w:szCs w:val="24"/>
        </w:rPr>
        <w:t xml:space="preserve"> Договора. </w:t>
      </w:r>
    </w:p>
    <w:p>
      <w:pPr>
        <w:pStyle w:val="Normal"/>
        <w:widowControl/>
        <w:numPr>
          <w:ilvl w:val="1"/>
          <w:numId w:val="2"/>
        </w:numPr>
        <w:tabs>
          <w:tab w:val="clear" w:pos="709"/>
          <w:tab w:val="left" w:pos="0" w:leader="none"/>
          <w:tab w:val="left" w:pos="1418" w:leader="none"/>
          <w:tab w:val="left" w:pos="1985"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widowControl/>
        <w:numPr>
          <w:ilvl w:val="1"/>
          <w:numId w:val="2"/>
        </w:numPr>
        <w:shd w:val="clear" w:color="auto" w:fill="FFFFFF"/>
        <w:tabs>
          <w:tab w:val="clear" w:pos="709"/>
          <w:tab w:val="left" w:pos="0" w:leader="none"/>
          <w:tab w:val="left" w:pos="1418" w:leader="none"/>
          <w:tab w:val="left" w:pos="1985" w:leader="none"/>
        </w:tabs>
        <w:ind w:left="0" w:firstLine="709"/>
        <w:jc w:val="both"/>
        <w:rPr>
          <w:bCs/>
          <w:sz w:val="24"/>
          <w:szCs w:val="24"/>
        </w:rPr>
      </w:pPr>
      <w:r>
        <w:rPr>
          <w:sz w:val="24"/>
          <w:szCs w:val="24"/>
        </w:rPr>
        <w:t xml:space="preserve">Уступка (передача), в том числе в залог, прав (требований) к Покупателю </w:t>
        <w:br/>
        <w:t>по денежным обязательствам, принадлежащих Поставщику на основании Договора, допускается только с предварительного письменного согласия Покупателя и оформляется трехсторонним договором</w:t>
      </w:r>
      <w:r>
        <w:rPr>
          <w:rStyle w:val="FootnoteReference"/>
          <w:sz w:val="24"/>
          <w:szCs w:val="24"/>
        </w:rPr>
        <w:footnoteReference w:id="7"/>
      </w:r>
      <w:r>
        <w:rPr>
          <w:bCs/>
          <w:sz w:val="24"/>
          <w:szCs w:val="24"/>
        </w:rPr>
        <w:t>.</w:t>
      </w:r>
      <w:r>
        <w:rPr>
          <w:sz w:val="24"/>
          <w:szCs w:val="24"/>
        </w:rPr>
        <w:t xml:space="preserve">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Договор составлен в 2 (двух) оригинальных экземплярах, имеющих равную юридическую силу, по 1 (одному) для каждой из Сторон</w:t>
      </w:r>
      <w:r>
        <w:rPr>
          <w:rStyle w:val="FootnoteReference"/>
          <w:sz w:val="24"/>
          <w:szCs w:val="24"/>
          <w:highlight w:val="lightGray"/>
        </w:rPr>
        <w:footnoteReference w:id="8"/>
      </w:r>
      <w:r>
        <w:rPr>
          <w:sz w:val="24"/>
          <w:szCs w:val="24"/>
          <w:highlight w:val="lightGray"/>
        </w:rPr>
        <w:t>.</w:t>
      </w:r>
    </w:p>
    <w:p>
      <w:pPr>
        <w:pStyle w:val="Normal"/>
        <w:shd w:val="clear" w:color="auto" w:fill="FFFFFF"/>
        <w:ind w:firstLine="567"/>
        <w:jc w:val="both"/>
        <w:rPr>
          <w:sz w:val="24"/>
          <w:szCs w:val="24"/>
        </w:rPr>
      </w:pPr>
      <w:r>
        <w:rPr>
          <w:sz w:val="24"/>
          <w:szCs w:val="24"/>
        </w:rPr>
      </w:r>
    </w:p>
    <w:p>
      <w:pPr>
        <w:pStyle w:val="Normal"/>
        <w:widowControl/>
        <w:numPr>
          <w:ilvl w:val="0"/>
          <w:numId w:val="2"/>
        </w:numPr>
        <w:shd w:val="clear" w:color="auto" w:fill="FFFFFF"/>
        <w:tabs>
          <w:tab w:val="clear" w:pos="709"/>
          <w:tab w:val="left" w:pos="284" w:leader="none"/>
        </w:tabs>
        <w:spacing w:lineRule="auto" w:line="259" w:before="0" w:after="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9"/>
          <w:tab w:val="left" w:pos="0" w:leader="none"/>
        </w:tabs>
        <w:suppressAutoHyphens w:val="true"/>
        <w:ind w:firstLine="709"/>
        <w:jc w:val="both"/>
        <w:rPr>
          <w:rFonts w:eastAsia="Calibri"/>
          <w:sz w:val="24"/>
          <w:szCs w:val="24"/>
          <w:lang w:eastAsia="en-US"/>
        </w:rPr>
      </w:pPr>
      <w:bookmarkStart w:id="10" w:name="sub_1"/>
      <w:r>
        <w:rPr>
          <w:rFonts w:eastAsia="Calibri"/>
          <w:sz w:val="24"/>
          <w:szCs w:val="24"/>
          <w:lang w:eastAsia="en-US"/>
        </w:rPr>
        <w:t>Приложение № 1 – Спецификация.</w:t>
      </w:r>
    </w:p>
    <w:p>
      <w:pPr>
        <w:pStyle w:val="Normal"/>
        <w:widowControl/>
        <w:shd w:val="clear" w:color="auto" w:fill="FFFFFF"/>
        <w:tabs>
          <w:tab w:val="clear" w:pos="709"/>
          <w:tab w:val="left" w:pos="0" w:leader="none"/>
          <w:tab w:val="left" w:pos="2694" w:leader="none"/>
        </w:tabs>
        <w:suppressAutoHyphens w:val="true"/>
        <w:ind w:firstLine="709"/>
        <w:jc w:val="both"/>
        <w:rPr>
          <w:rFonts w:eastAsia="Calibri"/>
          <w:sz w:val="24"/>
          <w:szCs w:val="24"/>
          <w:lang w:eastAsia="en-US"/>
        </w:rPr>
      </w:pPr>
      <w:r>
        <w:rPr>
          <w:rFonts w:eastAsia="Calibri"/>
          <w:sz w:val="24"/>
          <w:szCs w:val="24"/>
          <w:lang w:eastAsia="en-US"/>
        </w:rPr>
        <w:t xml:space="preserve">Приложение № 2 – </w:t>
      </w:r>
      <w:r>
        <w:rPr>
          <w:sz w:val="24"/>
          <w:szCs w:val="24"/>
          <w:lang w:eastAsia="x-none"/>
        </w:rPr>
        <w:t>Технические требования.</w:t>
      </w:r>
    </w:p>
    <w:p>
      <w:pPr>
        <w:pStyle w:val="Normal"/>
        <w:widowControl/>
        <w:shd w:val="clear" w:color="auto" w:fill="FFFFFF"/>
        <w:tabs>
          <w:tab w:val="clear" w:pos="709"/>
          <w:tab w:val="left" w:pos="0" w:leader="none"/>
          <w:tab w:val="left" w:pos="2694" w:leader="none"/>
        </w:tabs>
        <w:suppressAutoHyphens w:val="true"/>
        <w:ind w:firstLine="709"/>
        <w:jc w:val="both"/>
        <w:rPr>
          <w:sz w:val="24"/>
          <w:szCs w:val="24"/>
        </w:rPr>
      </w:pPr>
      <w:r>
        <w:rPr>
          <w:sz w:val="24"/>
          <w:szCs w:val="24"/>
          <w:lang w:eastAsia="x-none"/>
        </w:rPr>
        <w:t>Приложение № 3 –</w:t>
      </w:r>
      <w:r>
        <w:rPr>
          <w:rFonts w:eastAsia="Calibri"/>
          <w:sz w:val="24"/>
          <w:szCs w:val="24"/>
          <w:lang w:eastAsia="en-US"/>
        </w:rPr>
        <w:t xml:space="preserve"> Критерии отбора Банков-Гарантов.</w:t>
      </w:r>
      <w:bookmarkEnd w:id="10"/>
    </w:p>
    <w:p>
      <w:pPr>
        <w:pStyle w:val="Normal"/>
        <w:ind w:firstLine="709"/>
        <w:jc w:val="both"/>
        <w:rPr>
          <w:bCs/>
          <w:sz w:val="24"/>
          <w:szCs w:val="24"/>
        </w:rPr>
      </w:pPr>
      <w:r>
        <w:rPr>
          <w:bCs/>
          <w:sz w:val="24"/>
          <w:szCs w:val="24"/>
        </w:rPr>
        <w:t xml:space="preserve">Приложение № 4 </w:t>
      </w:r>
      <w:r>
        <w:rPr>
          <w:rFonts w:eastAsia="Calibri"/>
          <w:sz w:val="24"/>
          <w:szCs w:val="24"/>
          <w:lang w:eastAsia="en-US"/>
        </w:rPr>
        <w:t>–</w:t>
      </w:r>
      <w:r>
        <w:rPr>
          <w:bCs/>
          <w:sz w:val="24"/>
          <w:szCs w:val="24"/>
        </w:rPr>
        <w:t xml:space="preserve"> Размер ответственности Поставщика за нарушения пропускного </w:t>
        <w:br/>
        <w:t>и внутриобъектового режима, требований охраны труда, пожарной и промышленной безопасности.</w:t>
      </w:r>
    </w:p>
    <w:p>
      <w:pPr>
        <w:pStyle w:val="ListParagraph"/>
        <w:widowControl/>
        <w:numPr>
          <w:ilvl w:val="0"/>
          <w:numId w:val="2"/>
        </w:numPr>
        <w:shd w:val="clear" w:color="auto" w:fill="FFFFFF"/>
        <w:tabs>
          <w:tab w:val="clear" w:pos="709"/>
          <w:tab w:val="left" w:pos="426" w:leader="none"/>
        </w:tabs>
        <w:ind w:left="0" w:hanging="360"/>
        <w:jc w:val="center"/>
        <w:rPr>
          <w:b/>
          <w:bCs/>
          <w:sz w:val="24"/>
          <w:szCs w:val="24"/>
        </w:rPr>
      </w:pPr>
      <w:r>
        <w:rPr>
          <w:b/>
          <w:bCs/>
          <w:sz w:val="24"/>
          <w:szCs w:val="24"/>
        </w:rPr>
        <w:t>Адреса и платежные реквизиты Сторон</w:t>
      </w:r>
    </w:p>
    <w:p>
      <w:pPr>
        <w:pStyle w:val="ListParagraph"/>
        <w:widowControl/>
        <w:shd w:val="clear" w:color="auto" w:fill="FFFFFF"/>
        <w:tabs>
          <w:tab w:val="clear" w:pos="709"/>
          <w:tab w:val="left" w:pos="426" w:leader="none"/>
        </w:tabs>
        <w:ind w:left="360" w:hanging="0"/>
        <w:rPr>
          <w:b/>
          <w:bCs/>
          <w:sz w:val="24"/>
          <w:szCs w:val="24"/>
        </w:rPr>
      </w:pPr>
      <w:r>
        <w:rPr>
          <w:b/>
          <w:bCs/>
          <w:sz w:val="24"/>
          <w:szCs w:val="24"/>
        </w:rPr>
      </w:r>
    </w:p>
    <w:tbl>
      <w:tblPr>
        <w:tblW w:w="9890"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777"/>
        <w:gridCol w:w="151"/>
        <w:gridCol w:w="4635"/>
        <w:gridCol w:w="327"/>
      </w:tblGrid>
      <w:tr>
        <w:trPr/>
        <w:tc>
          <w:tcPr>
            <w:tcW w:w="4928" w:type="dxa"/>
            <w:gridSpan w:val="2"/>
            <w:tcBorders/>
          </w:tcPr>
          <w:p>
            <w:pPr>
              <w:pStyle w:val="Normal"/>
              <w:widowControl w:val="false"/>
              <w:rPr>
                <w:sz w:val="24"/>
                <w:szCs w:val="24"/>
              </w:rPr>
            </w:pPr>
            <w:r>
              <w:rPr>
                <w:sz w:val="24"/>
                <w:szCs w:val="24"/>
              </w:rPr>
              <w:t>ПОКУПАТЕЛЬ:</w:t>
            </w:r>
          </w:p>
        </w:tc>
        <w:tc>
          <w:tcPr>
            <w:tcW w:w="4962" w:type="dxa"/>
            <w:gridSpan w:val="2"/>
            <w:tcBorders/>
          </w:tcPr>
          <w:p>
            <w:pPr>
              <w:pStyle w:val="Normal"/>
              <w:widowControl w:val="false"/>
              <w:rPr>
                <w:sz w:val="24"/>
                <w:szCs w:val="24"/>
              </w:rPr>
            </w:pPr>
            <w:r>
              <w:rPr>
                <w:sz w:val="24"/>
                <w:szCs w:val="24"/>
              </w:rPr>
              <w:t>ПОСТАВЩИК:</w:t>
            </w:r>
          </w:p>
        </w:tc>
      </w:tr>
      <w:tr>
        <w:trPr/>
        <w:tc>
          <w:tcPr>
            <w:tcW w:w="4928" w:type="dxa"/>
            <w:gridSpan w:val="2"/>
            <w:tcBorders/>
            <w:shd w:color="auto" w:fill="BFBFBF" w:val="clear"/>
          </w:tcPr>
          <w:p>
            <w:pPr>
              <w:pStyle w:val="Normal"/>
              <w:widowControl w:val="false"/>
              <w:rPr>
                <w:sz w:val="24"/>
                <w:szCs w:val="24"/>
              </w:rPr>
            </w:pPr>
            <w:r>
              <w:rPr>
                <w:sz w:val="24"/>
                <w:szCs w:val="24"/>
              </w:rPr>
            </w:r>
          </w:p>
          <w:p>
            <w:pPr>
              <w:pStyle w:val="Normal"/>
              <w:widowControl w:val="false"/>
              <w:rPr>
                <w:b/>
                <w:sz w:val="24"/>
                <w:szCs w:val="24"/>
              </w:rPr>
            </w:pPr>
            <w:r>
              <w:rPr>
                <w:b/>
                <w:sz w:val="24"/>
                <w:szCs w:val="24"/>
              </w:rPr>
              <w:t>Публичное акционерное общество</w:t>
            </w:r>
          </w:p>
          <w:p>
            <w:pPr>
              <w:pStyle w:val="Normal"/>
              <w:widowControl w:val="false"/>
              <w:rPr>
                <w:b/>
                <w:sz w:val="24"/>
                <w:szCs w:val="24"/>
              </w:rPr>
            </w:pPr>
            <w:r>
              <w:rPr>
                <w:b/>
                <w:sz w:val="24"/>
                <w:szCs w:val="24"/>
              </w:rPr>
              <w:t>«Федеральная гидрогенерирующая компания - РусГидро» (ПАО «РусГидро»)</w:t>
            </w:r>
          </w:p>
          <w:p>
            <w:pPr>
              <w:pStyle w:val="Normal"/>
              <w:widowControl w:val="false"/>
              <w:rPr>
                <w:sz w:val="24"/>
                <w:szCs w:val="24"/>
              </w:rPr>
            </w:pPr>
            <w:r>
              <w:rPr>
                <w:sz w:val="24"/>
                <w:szCs w:val="24"/>
              </w:rPr>
            </w:r>
          </w:p>
          <w:p>
            <w:pPr>
              <w:pStyle w:val="Normal"/>
              <w:widowControl w:val="false"/>
              <w:spacing w:lineRule="auto" w:line="240"/>
              <w:ind w:hanging="0"/>
              <w:jc w:val="left"/>
              <w:rPr>
                <w:sz w:val="24"/>
                <w:szCs w:val="24"/>
              </w:rPr>
            </w:pPr>
            <w:r>
              <w:rPr>
                <w:sz w:val="24"/>
                <w:szCs w:val="24"/>
              </w:rPr>
              <w:t>Юридический/Почтовый адрес: 660017, Красноярский край, г.о. город Красноярск,</w:t>
            </w:r>
          </w:p>
          <w:p>
            <w:pPr>
              <w:pStyle w:val="Normal"/>
              <w:widowControl w:val="false"/>
              <w:spacing w:lineRule="auto" w:line="240"/>
              <w:ind w:hanging="0"/>
              <w:jc w:val="left"/>
              <w:rPr>
                <w:sz w:val="24"/>
                <w:szCs w:val="24"/>
              </w:rPr>
            </w:pPr>
            <w:r>
              <w:rPr>
                <w:sz w:val="24"/>
                <w:szCs w:val="24"/>
              </w:rPr>
              <w:t xml:space="preserve">г. Красноярск, ул. Перенсона, зд.2, пом.1 </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 xml:space="preserve">ОГРН 1042401810494, </w:t>
            </w:r>
          </w:p>
          <w:p>
            <w:pPr>
              <w:pStyle w:val="Normal"/>
              <w:widowControl w:val="false"/>
              <w:rPr>
                <w:sz w:val="24"/>
                <w:szCs w:val="24"/>
              </w:rPr>
            </w:pPr>
            <w:r>
              <w:rPr>
                <w:sz w:val="24"/>
                <w:szCs w:val="24"/>
              </w:rPr>
              <w:t>ИНН 2460066195 / КПП 997650001</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c>
          <w:tcPr>
            <w:tcW w:w="4962" w:type="dxa"/>
            <w:gridSpan w:val="2"/>
            <w:tcBorders/>
            <w:shd w:color="auto" w:fill="BFBFBF" w:val="clear"/>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юридического лица)</w:t>
            </w:r>
          </w:p>
          <w:p>
            <w:pPr>
              <w:pStyle w:val="Normal"/>
              <w:widowControl w:val="false"/>
              <w:rPr>
                <w:sz w:val="24"/>
                <w:szCs w:val="24"/>
              </w:rPr>
            </w:pPr>
            <w:r>
              <w:rPr>
                <w:sz w:val="24"/>
                <w:szCs w:val="24"/>
              </w:rPr>
            </w:r>
          </w:p>
          <w:p>
            <w:pPr>
              <w:pStyle w:val="Normal"/>
              <w:widowControl w:val="false"/>
              <w:rPr>
                <w:sz w:val="24"/>
                <w:szCs w:val="24"/>
              </w:rPr>
            </w:pPr>
            <w:r>
              <w:rPr>
                <w:sz w:val="24"/>
                <w:szCs w:val="24"/>
              </w:rPr>
              <w:t>Юридический адрес:</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Почтовый адрес:</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ОГРН ___________________________</w:t>
            </w:r>
          </w:p>
          <w:p>
            <w:pPr>
              <w:pStyle w:val="Normal"/>
              <w:widowControl w:val="false"/>
              <w:rPr>
                <w:sz w:val="24"/>
                <w:szCs w:val="24"/>
              </w:rPr>
            </w:pPr>
            <w:r>
              <w:rPr>
                <w:sz w:val="24"/>
                <w:szCs w:val="24"/>
              </w:rPr>
              <w:t>ИНН ____________ / КПП___________</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r>
      <w:tr>
        <w:trPr/>
        <w:tc>
          <w:tcPr>
            <w:tcW w:w="4777" w:type="dxa"/>
            <w:tcBorders/>
          </w:tcPr>
          <w:p>
            <w:pPr>
              <w:pStyle w:val="Normal"/>
              <w:widowControl w:val="false"/>
              <w:rPr>
                <w:sz w:val="24"/>
                <w:szCs w:val="24"/>
                <w:highlight w:val="lightGray"/>
              </w:rPr>
            </w:pPr>
            <w:r>
              <w:rPr>
                <w:sz w:val="24"/>
                <w:szCs w:val="24"/>
                <w:highlight w:val="lightGray"/>
              </w:rPr>
              <w:t xml:space="preserve">_______________ / _______________ </w:t>
            </w:r>
          </w:p>
          <w:p>
            <w:pPr>
              <w:pStyle w:val="Normal"/>
              <w:widowControl w:val="false"/>
              <w:rPr>
                <w:sz w:val="24"/>
                <w:szCs w:val="24"/>
                <w:highlight w:val="lightGray"/>
              </w:rPr>
            </w:pPr>
            <w:r>
              <w:rPr>
                <w:sz w:val="24"/>
                <w:szCs w:val="24"/>
                <w:highlight w:val="lightGray"/>
              </w:rPr>
            </w:r>
          </w:p>
        </w:tc>
        <w:tc>
          <w:tcPr>
            <w:tcW w:w="4786" w:type="dxa"/>
            <w:gridSpan w:val="2"/>
            <w:tcBorders/>
          </w:tcPr>
          <w:p>
            <w:pPr>
              <w:pStyle w:val="Normal"/>
              <w:widowControl w:val="false"/>
              <w:rPr>
                <w:sz w:val="24"/>
                <w:szCs w:val="24"/>
              </w:rPr>
            </w:pPr>
            <w:r>
              <w:rPr>
                <w:sz w:val="24"/>
                <w:szCs w:val="24"/>
                <w:highlight w:val="lightGray"/>
              </w:rPr>
              <w:t>_______________ / _______________</w:t>
            </w:r>
            <w:r>
              <w:rPr>
                <w:sz w:val="24"/>
                <w:szCs w:val="24"/>
              </w:rPr>
              <w:t xml:space="preserve"> </w:t>
            </w:r>
          </w:p>
        </w:tc>
        <w:tc>
          <w:tcPr>
            <w:tcW w:w="327" w:type="dxa"/>
            <w:tcBorders/>
          </w:tcPr>
          <w:p>
            <w:pPr>
              <w:pStyle w:val="Normal"/>
              <w:widowControl w:val="false"/>
              <w:rPr/>
            </w:pPr>
            <w:r>
              <w:rPr/>
            </w:r>
          </w:p>
        </w:tc>
      </w:tr>
    </w:tbl>
    <w:p>
      <w:pPr>
        <w:sectPr>
          <w:headerReference w:type="default" r:id="rId2"/>
          <w:headerReference w:type="first" r:id="rId3"/>
          <w:footerReference w:type="default" r:id="rId4"/>
          <w:footnotePr>
            <w:numFmt w:val="decimal"/>
          </w:footnotePr>
          <w:type w:val="nextPage"/>
          <w:pgSz w:w="11906" w:h="16838"/>
          <w:pgMar w:left="1560" w:right="851" w:gutter="0" w:header="709" w:top="1134" w:footer="709" w:bottom="1135"/>
          <w:pgNumType w:fmt="decimal"/>
          <w:formProt w:val="false"/>
          <w:titlePg/>
          <w:textDirection w:val="lrTb"/>
          <w:docGrid w:type="default" w:linePitch="360" w:charSpace="8192"/>
        </w:sectPr>
      </w:pPr>
    </w:p>
    <w:p>
      <w:pPr>
        <w:pStyle w:val="Normal"/>
        <w:suppressAutoHyphens w:val="true"/>
        <w:ind w:left="5103" w:right="96" w:hanging="0"/>
        <w:rPr>
          <w:sz w:val="22"/>
          <w:szCs w:val="22"/>
        </w:rPr>
      </w:pPr>
      <w:r>
        <w:rPr>
          <w:sz w:val="22"/>
          <w:szCs w:val="22"/>
        </w:rPr>
        <w:t>Приложение № 1</w:t>
      </w:r>
    </w:p>
    <w:p>
      <w:pPr>
        <w:pStyle w:val="Normal"/>
        <w:suppressAutoHyphens w:val="true"/>
        <w:ind w:left="5103" w:right="96" w:hanging="0"/>
        <w:rPr>
          <w:sz w:val="22"/>
          <w:szCs w:val="22"/>
        </w:rPr>
      </w:pPr>
      <w:r>
        <w:rPr>
          <w:sz w:val="22"/>
          <w:szCs w:val="22"/>
        </w:rPr>
        <w:t>к Договору поставки</w:t>
      </w:r>
    </w:p>
    <w:p>
      <w:pPr>
        <w:pStyle w:val="Normal"/>
        <w:suppressAutoHyphens w:val="true"/>
        <w:ind w:left="5103" w:right="96" w:hanging="0"/>
        <w:rPr>
          <w:sz w:val="22"/>
          <w:szCs w:val="22"/>
        </w:rPr>
      </w:pPr>
      <w:r>
        <w:rPr>
          <w:sz w:val="22"/>
          <w:szCs w:val="22"/>
        </w:rPr>
        <w:t>от «____» __________ 20 _ г. № _____</w:t>
      </w:r>
    </w:p>
    <w:p>
      <w:pPr>
        <w:pStyle w:val="Normal"/>
        <w:jc w:val="center"/>
        <w:rPr>
          <w:b/>
          <w:sz w:val="24"/>
          <w:szCs w:val="24"/>
        </w:rPr>
      </w:pPr>
      <w:r>
        <w:rPr>
          <w:b/>
          <w:sz w:val="24"/>
          <w:szCs w:val="24"/>
        </w:rPr>
      </w:r>
    </w:p>
    <w:p>
      <w:pPr>
        <w:pStyle w:val="Normal"/>
        <w:jc w:val="center"/>
        <w:rPr>
          <w:b/>
          <w:sz w:val="24"/>
          <w:szCs w:val="24"/>
        </w:rPr>
      </w:pPr>
      <w:r>
        <w:rPr>
          <w:b/>
          <w:sz w:val="24"/>
          <w:szCs w:val="24"/>
        </w:rPr>
        <w:t xml:space="preserve">СПЕЦИФИКАЦИЯ </w:t>
      </w:r>
    </w:p>
    <w:p>
      <w:pPr>
        <w:pStyle w:val="Normal"/>
        <w:jc w:val="center"/>
        <w:rPr>
          <w:b/>
          <w:sz w:val="24"/>
          <w:szCs w:val="24"/>
        </w:rPr>
      </w:pPr>
      <w:r>
        <w:rPr>
          <w:b/>
          <w:sz w:val="24"/>
          <w:szCs w:val="24"/>
        </w:rPr>
      </w:r>
    </w:p>
    <w:tbl>
      <w:tblPr>
        <w:tblW w:w="5000" w:type="pct"/>
        <w:jc w:val="left"/>
        <w:tblInd w:w="-714" w:type="dxa"/>
        <w:tblLayout w:type="fixed"/>
        <w:tblCellMar>
          <w:top w:w="0" w:type="dxa"/>
          <w:left w:w="108" w:type="dxa"/>
          <w:bottom w:w="0" w:type="dxa"/>
          <w:right w:w="108" w:type="dxa"/>
        </w:tblCellMar>
        <w:tblLook w:val="04a0" w:noHBand="0" w:noVBand="1" w:firstColumn="1" w:lastRow="0" w:lastColumn="0" w:firstRow="1"/>
      </w:tblPr>
      <w:tblGrid>
        <w:gridCol w:w="397"/>
        <w:gridCol w:w="633"/>
        <w:gridCol w:w="636"/>
        <w:gridCol w:w="638"/>
        <w:gridCol w:w="799"/>
        <w:gridCol w:w="766"/>
        <w:gridCol w:w="644"/>
        <w:gridCol w:w="762"/>
        <w:gridCol w:w="720"/>
        <w:gridCol w:w="377"/>
        <w:gridCol w:w="156"/>
        <w:gridCol w:w="666"/>
        <w:gridCol w:w="582"/>
        <w:gridCol w:w="531"/>
        <w:gridCol w:w="745"/>
        <w:gridCol w:w="585"/>
      </w:tblGrid>
      <w:tr>
        <w:trPr>
          <w:trHeight w:val="526" w:hRule="atLeast"/>
        </w:trPr>
        <w:tc>
          <w:tcPr>
            <w:tcW w:w="3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поз.</w:t>
            </w:r>
          </w:p>
        </w:tc>
        <w:tc>
          <w:tcPr>
            <w:tcW w:w="6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Наименование Товара</w:t>
            </w:r>
          </w:p>
        </w:tc>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Артикул, тип, марка</w:t>
            </w:r>
          </w:p>
        </w:tc>
        <w:tc>
          <w:tcPr>
            <w:tcW w:w="6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Завод изготовитель</w:t>
            </w:r>
          </w:p>
        </w:tc>
        <w:tc>
          <w:tcPr>
            <w:tcW w:w="7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Страна происхождения Товара</w:t>
            </w:r>
            <w:r>
              <w:rPr>
                <w:rStyle w:val="FootnoteReference"/>
                <w:bCs/>
              </w:rPr>
              <w:footnoteReference w:id="9"/>
            </w:r>
          </w:p>
        </w:tc>
        <w:tc>
          <w:tcPr>
            <w:tcW w:w="7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t>Страна регистрации производителя Товара</w:t>
            </w:r>
          </w:p>
        </w:tc>
        <w:tc>
          <w:tcPr>
            <w:tcW w:w="6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Код ОКПД 2 (с наименованием)</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Единица измерения</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
                <w:bCs/>
                <w:highlight w:val="none"/>
                <w:shd w:fill="auto" w:val="clear"/>
              </w:rPr>
            </w:pPr>
            <w:r>
              <w:rPr>
                <w:b/>
                <w:bCs/>
                <w:shd w:fill="auto" w:val="clear"/>
              </w:rPr>
            </w:r>
          </w:p>
          <w:p>
            <w:pPr>
              <w:pStyle w:val="Normal"/>
              <w:widowControl w:val="false"/>
              <w:jc w:val="center"/>
              <w:rPr>
                <w:highlight w:val="none"/>
                <w:shd w:fill="auto" w:val="clear"/>
              </w:rPr>
            </w:pPr>
            <w:r>
              <w:rPr>
                <w:bCs/>
                <w:shd w:fill="auto" w:val="clear"/>
              </w:rPr>
              <w:t>Порядковый номер(а) реестровой(ых) записи(ей)</w:t>
            </w:r>
            <w:r>
              <w:rPr>
                <w:rStyle w:val="FootnoteReference"/>
                <w:bCs/>
                <w:shd w:fill="auto" w:val="clear"/>
              </w:rPr>
              <w:footnoteReference w:id="10"/>
            </w:r>
          </w:p>
          <w:p>
            <w:pPr>
              <w:pStyle w:val="Normal"/>
              <w:widowControl w:val="false"/>
              <w:jc w:val="center"/>
              <w:rPr>
                <w:bCs/>
                <w:highlight w:val="none"/>
                <w:shd w:fill="auto" w:val="clear"/>
              </w:rPr>
            </w:pPr>
            <w:r>
              <w:rPr>
                <w:bCs/>
                <w:shd w:fill="auto" w:val="clear"/>
              </w:rPr>
            </w:r>
          </w:p>
        </w:tc>
        <w:tc>
          <w:tcPr>
            <w:tcW w:w="53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Количество</w:t>
            </w:r>
          </w:p>
        </w:tc>
        <w:tc>
          <w:tcPr>
            <w:tcW w:w="6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за единицу, руб. без НДС</w:t>
            </w:r>
          </w:p>
        </w:tc>
        <w:tc>
          <w:tcPr>
            <w:tcW w:w="5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руб. без НДС</w:t>
            </w:r>
          </w:p>
        </w:tc>
        <w:tc>
          <w:tcPr>
            <w:tcW w:w="5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НДС</w:t>
            </w:r>
          </w:p>
          <w:p>
            <w:pPr>
              <w:pStyle w:val="Normal"/>
              <w:widowControl w:val="false"/>
              <w:jc w:val="center"/>
              <w:rPr>
                <w:bCs/>
              </w:rPr>
            </w:pPr>
            <w:r>
              <w:rPr>
                <w:bCs/>
              </w:rPr>
              <w:t>(___%) руб.*</w:t>
            </w:r>
          </w:p>
        </w:tc>
        <w:tc>
          <w:tcPr>
            <w:tcW w:w="7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Стоимость, руб., с НДС*</w:t>
            </w:r>
          </w:p>
        </w:tc>
        <w:tc>
          <w:tcPr>
            <w:tcW w:w="5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Перечень сопроводительных документов (в том числе подтверждающих качество Товара)</w:t>
            </w:r>
          </w:p>
        </w:tc>
      </w:tr>
      <w:tr>
        <w:trPr>
          <w:trHeight w:val="538" w:hRule="atLeast"/>
        </w:trPr>
        <w:tc>
          <w:tcPr>
            <w:tcW w:w="3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1</w:t>
            </w:r>
          </w:p>
        </w:tc>
        <w:tc>
          <w:tcPr>
            <w:tcW w:w="6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3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99"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66"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44"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6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3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538" w:hRule="atLeast"/>
        </w:trPr>
        <w:tc>
          <w:tcPr>
            <w:tcW w:w="3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2</w:t>
            </w:r>
          </w:p>
        </w:tc>
        <w:tc>
          <w:tcPr>
            <w:tcW w:w="6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3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99"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66"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44"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6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3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62" w:hRule="atLeast"/>
        </w:trPr>
        <w:tc>
          <w:tcPr>
            <w:tcW w:w="6372" w:type="dxa"/>
            <w:gridSpan w:val="10"/>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none"/>
                <w:shd w:fill="auto" w:val="clear"/>
              </w:rPr>
            </w:pPr>
            <w:r>
              <w:rPr>
                <w:shd w:fill="auto" w:val="clear"/>
              </w:rPr>
              <w:t>Итого стоимость всего Товара (с учетом доставки), руб. с НДС*:</w:t>
            </w:r>
          </w:p>
        </w:tc>
        <w:tc>
          <w:tcPr>
            <w:tcW w:w="3265"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r>
    </w:tbl>
    <w:p>
      <w:pPr>
        <w:pStyle w:val="Normal"/>
        <w:widowControl w:val="false"/>
        <w:bidi w:val="0"/>
        <w:spacing w:lineRule="auto" w:line="240" w:before="0" w:after="0"/>
        <w:ind w:left="-737" w:right="680" w:hanging="0"/>
        <w:jc w:val="both"/>
        <w:rPr>
          <w:i/>
          <w:i/>
          <w:iCs/>
          <w:sz w:val="20"/>
          <w:szCs w:val="20"/>
          <w:highlight w:val="none"/>
          <w:shd w:fill="auto" w:val="clear"/>
        </w:rPr>
      </w:pPr>
      <w:r>
        <w:rPr>
          <w:i/>
          <w:iCs/>
          <w:sz w:val="20"/>
          <w:szCs w:val="20"/>
          <w:shd w:fill="auto" w:val="clear"/>
        </w:rPr>
        <w:t>* При этом сумма НДС является справочной и рассчитана исходя из ставки НДС в соответствии с действующим законодательством Российской Федерации.</w:t>
      </w:r>
    </w:p>
    <w:p>
      <w:pPr>
        <w:pStyle w:val="Normal"/>
        <w:widowControl w:val="false"/>
        <w:bidi w:val="0"/>
        <w:spacing w:lineRule="auto" w:line="240" w:before="0" w:after="0"/>
        <w:ind w:left="-737" w:right="680" w:hanging="0"/>
        <w:jc w:val="both"/>
        <w:rPr>
          <w:i/>
          <w:i/>
          <w:iCs/>
          <w:sz w:val="20"/>
          <w:szCs w:val="20"/>
          <w:highlight w:val="none"/>
          <w:shd w:fill="auto" w:val="clear"/>
        </w:rPr>
      </w:pPr>
      <w:r>
        <w:rPr>
          <w:i/>
          <w:iCs/>
          <w:sz w:val="20"/>
          <w:szCs w:val="20"/>
          <w:shd w:fill="auto" w:val="clear"/>
        </w:rPr>
      </w:r>
    </w:p>
    <w:p>
      <w:pPr>
        <w:pStyle w:val="Normal"/>
        <w:rPr>
          <w:i/>
          <w:i/>
          <w:sz w:val="22"/>
          <w:szCs w:val="22"/>
          <w:highlight w:val="lightGray"/>
        </w:rPr>
      </w:pPr>
      <w:r>
        <w:rPr>
          <w:i/>
          <w:sz w:val="22"/>
          <w:szCs w:val="22"/>
          <w:shd w:fill="auto" w:val="clear"/>
        </w:rPr>
        <w:t>1. В спецификацию при необходимости включаются требования к Товару, таре/упаковке, перечень нормативных документов, которым должен соответствовать Товар  (ГОСТ, ТУ) и иные сведения, имеющие значение для Договора;</w:t>
      </w:r>
    </w:p>
    <w:p>
      <w:pPr>
        <w:pStyle w:val="Normal"/>
        <w:jc w:val="both"/>
        <w:rPr>
          <w:i/>
          <w:i/>
          <w:sz w:val="22"/>
          <w:szCs w:val="22"/>
        </w:rPr>
      </w:pPr>
      <w:r>
        <w:rPr>
          <w:i/>
          <w:sz w:val="22"/>
          <w:szCs w:val="22"/>
          <w:shd w:fill="auto" w:val="clear"/>
        </w:rPr>
        <w:t>2. По требованию Покупателя Поставщик обязан представить запрашиваемую информацию / документы, расчеты, обосновывающие стоимость доставки.</w:t>
      </w:r>
      <w:r>
        <w:rPr>
          <w:i/>
          <w:sz w:val="22"/>
          <w:szCs w:val="22"/>
        </w:rPr>
        <w:t xml:space="preserve"> </w:t>
      </w:r>
    </w:p>
    <w:p>
      <w:pPr>
        <w:pStyle w:val="Normal"/>
        <w:rPr>
          <w:i/>
          <w:i/>
          <w:sz w:val="22"/>
          <w:szCs w:val="22"/>
        </w:rPr>
      </w:pPr>
      <w:r>
        <w:rPr>
          <w:i/>
          <w:sz w:val="22"/>
          <w:szCs w:val="22"/>
        </w:rPr>
      </w:r>
    </w:p>
    <w:p>
      <w:pPr>
        <w:pStyle w:val="Normal"/>
        <w:rPr>
          <w:i/>
          <w:i/>
          <w:sz w:val="22"/>
          <w:szCs w:val="22"/>
        </w:rPr>
      </w:pPr>
      <w:r>
        <w:rPr>
          <w:i/>
          <w:sz w:val="22"/>
          <w:szCs w:val="22"/>
        </w:rPr>
      </w:r>
    </w:p>
    <w:tbl>
      <w:tblPr>
        <w:tblW w:w="9632"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826"/>
        <w:gridCol w:w="4805"/>
      </w:tblGrid>
      <w:tr>
        <w:trPr>
          <w:trHeight w:val="269" w:hRule="atLeast"/>
        </w:trPr>
        <w:tc>
          <w:tcPr>
            <w:tcW w:w="4826" w:type="dxa"/>
            <w:tcBorders/>
          </w:tcPr>
          <w:p>
            <w:pPr>
              <w:pStyle w:val="Normal"/>
              <w:widowControl w:val="false"/>
              <w:rPr>
                <w:b/>
                <w:sz w:val="24"/>
              </w:rPr>
            </w:pPr>
            <w:r>
              <w:rPr>
                <w:b/>
                <w:sz w:val="24"/>
              </w:rPr>
              <w:t>Покупатель:</w:t>
            </w:r>
          </w:p>
        </w:tc>
        <w:tc>
          <w:tcPr>
            <w:tcW w:w="4805" w:type="dxa"/>
            <w:tcBorders/>
          </w:tcPr>
          <w:p>
            <w:pPr>
              <w:pStyle w:val="Normal"/>
              <w:widowControl w:val="false"/>
              <w:rPr>
                <w:b/>
                <w:sz w:val="24"/>
              </w:rPr>
            </w:pPr>
            <w:r>
              <w:rPr>
                <w:b/>
                <w:sz w:val="24"/>
              </w:rPr>
              <w:t>Поставщик:</w:t>
            </w:r>
          </w:p>
        </w:tc>
      </w:tr>
    </w:tbl>
    <w:p>
      <w:pPr>
        <w:pStyle w:val="Normal"/>
        <w:rPr/>
      </w:pPr>
      <w:r>
        <w:rPr/>
      </w:r>
    </w:p>
    <w:p>
      <w:pPr>
        <w:pStyle w:val="Normal"/>
        <w:rPr/>
      </w:pPr>
      <w:r>
        <w:rPr/>
        <w:t xml:space="preserve"> </w:t>
      </w:r>
      <w:r>
        <w:rPr/>
        <w:t>__________ /__________</w:t>
        <w:tab/>
        <w:t xml:space="preserve">                                          ___________ /___________</w:t>
      </w:r>
    </w:p>
    <w:p>
      <w:pPr>
        <w:pStyle w:val="Normal"/>
        <w:rPr>
          <w:i/>
          <w:i/>
          <w:sz w:val="24"/>
          <w:szCs w:val="24"/>
          <w:highlight w:val="yellow"/>
        </w:rPr>
      </w:pPr>
      <w:r>
        <w:rPr>
          <w:i/>
          <w:sz w:val="24"/>
          <w:szCs w:val="24"/>
          <w:highlight w:val="yellow"/>
        </w:rPr>
      </w:r>
    </w:p>
    <w:p>
      <w:pPr>
        <w:pStyle w:val="Normal"/>
        <w:widowControl/>
        <w:rPr>
          <w:sz w:val="22"/>
          <w:szCs w:val="22"/>
        </w:rPr>
      </w:pPr>
      <w:r>
        <w:rPr>
          <w:sz w:val="22"/>
          <w:szCs w:val="22"/>
        </w:rPr>
      </w:r>
      <w:r>
        <w:br w:type="page"/>
      </w:r>
    </w:p>
    <w:p>
      <w:pPr>
        <w:pStyle w:val="Normal"/>
        <w:suppressAutoHyphens w:val="true"/>
        <w:ind w:right="96" w:firstLine="5103"/>
        <w:rPr>
          <w:sz w:val="22"/>
          <w:szCs w:val="22"/>
        </w:rPr>
      </w:pPr>
      <w:r>
        <w:rPr>
          <w:sz w:val="22"/>
          <w:szCs w:val="22"/>
        </w:rPr>
        <w:t>Приложение № 2</w:t>
      </w:r>
    </w:p>
    <w:p>
      <w:pPr>
        <w:pStyle w:val="Normal"/>
        <w:suppressAutoHyphens w:val="true"/>
        <w:ind w:right="96" w:firstLine="5103"/>
        <w:rPr>
          <w:sz w:val="22"/>
          <w:szCs w:val="22"/>
        </w:rPr>
      </w:pPr>
      <w:r>
        <w:rPr>
          <w:sz w:val="22"/>
          <w:szCs w:val="22"/>
        </w:rPr>
        <w:t xml:space="preserve">к Договору поставки </w:t>
      </w:r>
    </w:p>
    <w:p>
      <w:pPr>
        <w:pStyle w:val="Normal"/>
        <w:suppressAutoHyphens w:val="true"/>
        <w:ind w:right="96" w:firstLine="5103"/>
        <w:rPr>
          <w:sz w:val="22"/>
          <w:szCs w:val="22"/>
        </w:rPr>
      </w:pPr>
      <w:r>
        <w:rPr>
          <w:sz w:val="22"/>
          <w:szCs w:val="22"/>
        </w:rPr>
        <w:t>от «____» __________ 20 _ г. № _____</w:t>
      </w:r>
    </w:p>
    <w:p>
      <w:pPr>
        <w:pStyle w:val="Normal"/>
        <w:widowControl/>
        <w:ind w:firstLine="567"/>
        <w:jc w:val="center"/>
        <w:rPr>
          <w:rFonts w:eastAsia="Calibri"/>
          <w:b/>
          <w:sz w:val="24"/>
          <w:szCs w:val="24"/>
          <w:lang w:eastAsia="en-US"/>
        </w:rPr>
      </w:pPr>
      <w:r>
        <w:rPr>
          <w:rFonts w:eastAsia="Calibri"/>
          <w:b/>
          <w:sz w:val="24"/>
          <w:szCs w:val="24"/>
          <w:lang w:eastAsia="en-US"/>
        </w:rPr>
      </w:r>
    </w:p>
    <w:p>
      <w:pPr>
        <w:pStyle w:val="Normal"/>
        <w:widowControl/>
        <w:ind w:firstLine="567"/>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t>ТЕХНИЧЕСКИЕ ТРЕБОВАНИЯ</w:t>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b/>
          <w:sz w:val="24"/>
          <w:szCs w:val="24"/>
        </w:rPr>
      </w:pPr>
      <w:r>
        <w:rPr>
          <w:b/>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hanging="0"/>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HBand="0" w:noVBand="1" w:firstColumn="1" w:lastRow="0" w:lastColumn="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rPr>
                <w:sz w:val="24"/>
                <w:szCs w:val="24"/>
              </w:rPr>
            </w:pPr>
            <w:r>
              <w:rPr>
                <w:sz w:val="24"/>
                <w:szCs w:val="24"/>
              </w:rPr>
            </w:r>
          </w:p>
        </w:tc>
        <w:tc>
          <w:tcPr>
            <w:tcW w:w="4819" w:type="dxa"/>
            <w:tcBorders/>
            <w:shd w:color="auto" w:fill="auto" w:val="clear"/>
          </w:tcPr>
          <w:p>
            <w:pPr>
              <w:pStyle w:val="Normal"/>
              <w:widowControl w:val="false"/>
              <w:rPr>
                <w:b/>
                <w:sz w:val="24"/>
                <w:szCs w:val="24"/>
              </w:rPr>
            </w:pPr>
            <w:r>
              <w:rPr>
                <w:b/>
                <w:sz w:val="24"/>
                <w:szCs w:val="24"/>
              </w:rPr>
              <w:t>Поставщик:</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ind w:firstLine="33"/>
              <w:rPr>
                <w:b/>
                <w:sz w:val="24"/>
                <w:szCs w:val="24"/>
              </w:rPr>
            </w:pPr>
            <w:r>
              <w:rPr>
                <w:b/>
                <w:sz w:val="24"/>
                <w:szCs w:val="24"/>
              </w:rPr>
            </w:r>
          </w:p>
        </w:tc>
      </w:tr>
    </w:tbl>
    <w:p>
      <w:pPr>
        <w:pStyle w:val="Normal"/>
        <w:suppressAutoHyphens w:val="true"/>
        <w:ind w:right="96" w:firstLine="6237"/>
        <w:rPr>
          <w:sz w:val="24"/>
          <w:szCs w:val="24"/>
        </w:rPr>
      </w:pPr>
      <w:r>
        <w:rPr>
          <w:sz w:val="24"/>
          <w:szCs w:val="24"/>
        </w:rPr>
      </w:r>
    </w:p>
    <w:p>
      <w:pPr>
        <w:pStyle w:val="Normal"/>
        <w:widowControl/>
        <w:rPr>
          <w:sz w:val="24"/>
          <w:szCs w:val="24"/>
        </w:rPr>
      </w:pPr>
      <w:r>
        <w:rPr>
          <w:sz w:val="24"/>
          <w:szCs w:val="24"/>
        </w:rPr>
      </w:r>
      <w:r>
        <w:br w:type="page"/>
      </w:r>
    </w:p>
    <w:p>
      <w:pPr>
        <w:pStyle w:val="Normal"/>
        <w:suppressAutoHyphens w:val="true"/>
        <w:ind w:right="96" w:firstLine="5529"/>
        <w:rPr>
          <w:sz w:val="22"/>
          <w:szCs w:val="22"/>
        </w:rPr>
      </w:pPr>
      <w:r>
        <w:rPr>
          <w:sz w:val="22"/>
          <w:szCs w:val="22"/>
        </w:rPr>
        <w:t>Приложение № 3</w:t>
      </w:r>
    </w:p>
    <w:p>
      <w:pPr>
        <w:pStyle w:val="Normal"/>
        <w:suppressAutoHyphens w:val="true"/>
        <w:ind w:right="96" w:firstLine="5529"/>
        <w:rPr>
          <w:sz w:val="22"/>
          <w:szCs w:val="22"/>
        </w:rPr>
      </w:pPr>
      <w:r>
        <w:rPr>
          <w:sz w:val="22"/>
          <w:szCs w:val="22"/>
        </w:rPr>
        <w:t>к Договору поставки</w:t>
      </w:r>
    </w:p>
    <w:p>
      <w:pPr>
        <w:pStyle w:val="Normal"/>
        <w:ind w:firstLine="5529"/>
        <w:rPr>
          <w:bCs/>
          <w:sz w:val="22"/>
          <w:szCs w:val="22"/>
        </w:rPr>
      </w:pPr>
      <w:r>
        <w:rPr>
          <w:sz w:val="22"/>
          <w:szCs w:val="22"/>
        </w:rPr>
        <w:t>от «____» __________ 20 _ г. № _____</w:t>
      </w:r>
    </w:p>
    <w:p>
      <w:pPr>
        <w:pStyle w:val="Normal"/>
        <w:widowControl/>
        <w:shd w:val="clear" w:color="auto" w:fill="FFFFFF"/>
        <w:tabs>
          <w:tab w:val="clear" w:pos="709"/>
          <w:tab w:val="left" w:pos="1418" w:leader="none"/>
        </w:tabs>
        <w:spacing w:before="0" w:after="0"/>
        <w:contextualSpacing/>
        <w:jc w:val="center"/>
        <w:rPr>
          <w:bCs/>
          <w:sz w:val="24"/>
          <w:szCs w:val="24"/>
        </w:rPr>
      </w:pPr>
      <w:r>
        <w:rPr>
          <w:bCs/>
          <w:sz w:val="24"/>
          <w:szCs w:val="24"/>
        </w:rPr>
      </w:r>
    </w:p>
    <w:p>
      <w:pPr>
        <w:pStyle w:val="Normal"/>
        <w:widowControl/>
        <w:shd w:val="clear" w:color="auto" w:fill="FFFFFF"/>
        <w:tabs>
          <w:tab w:val="clear" w:pos="709"/>
          <w:tab w:val="left" w:pos="1418" w:leader="none"/>
        </w:tabs>
        <w:spacing w:before="0" w:after="0"/>
        <w:contextualSpacing/>
        <w:jc w:val="center"/>
        <w:rPr>
          <w:b/>
          <w:bCs/>
          <w:sz w:val="24"/>
          <w:szCs w:val="24"/>
        </w:rPr>
      </w:pPr>
      <w:r>
        <w:rPr>
          <w:b/>
          <w:bCs/>
          <w:sz w:val="24"/>
          <w:szCs w:val="24"/>
        </w:rPr>
      </w:r>
    </w:p>
    <w:p>
      <w:pPr>
        <w:pStyle w:val="Normal"/>
        <w:widowControl/>
        <w:shd w:val="clear" w:color="auto" w:fill="FFFFFF"/>
        <w:tabs>
          <w:tab w:val="clear" w:pos="709"/>
          <w:tab w:val="left" w:pos="1418" w:leader="none"/>
        </w:tabs>
        <w:spacing w:before="0" w:after="0"/>
        <w:contextualSpacing/>
        <w:jc w:val="center"/>
        <w:rPr>
          <w:b/>
          <w:bCs/>
          <w:sz w:val="24"/>
          <w:szCs w:val="24"/>
        </w:rPr>
      </w:pPr>
      <w:r>
        <w:rPr>
          <w:b/>
          <w:bCs/>
          <w:sz w:val="24"/>
          <w:szCs w:val="24"/>
        </w:rPr>
        <w:t>Критерии отбора Банков – Гарантов</w:t>
      </w:r>
      <w:r>
        <w:rPr>
          <w:rStyle w:val="FootnoteReference"/>
          <w:b/>
          <w:bCs/>
          <w:sz w:val="24"/>
          <w:szCs w:val="24"/>
        </w:rPr>
        <w:footnoteReference w:id="11"/>
      </w:r>
    </w:p>
    <w:p>
      <w:pPr>
        <w:pStyle w:val="Normal"/>
        <w:widowControl/>
        <w:shd w:val="clear" w:color="auto" w:fill="FFFFFF"/>
        <w:tabs>
          <w:tab w:val="clear" w:pos="709"/>
          <w:tab w:val="left" w:pos="1418" w:leader="none"/>
        </w:tabs>
        <w:spacing w:before="0" w:after="0"/>
        <w:contextualSpacing/>
        <w:jc w:val="center"/>
        <w:rPr>
          <w:b/>
          <w:bCs/>
          <w:sz w:val="24"/>
          <w:szCs w:val="24"/>
        </w:rPr>
      </w:pPr>
      <w:r>
        <w:rPr>
          <w:b/>
          <w:bCs/>
          <w:sz w:val="24"/>
          <w:szCs w:val="24"/>
        </w:rPr>
      </w:r>
    </w:p>
    <w:p>
      <w:pPr>
        <w:pStyle w:val="Normal"/>
        <w:widowControl/>
        <w:tabs>
          <w:tab w:val="clear" w:pos="709"/>
          <w:tab w:val="left" w:pos="1134" w:leader="none"/>
        </w:tabs>
        <w:ind w:firstLine="709"/>
        <w:jc w:val="both"/>
        <w:rPr>
          <w:sz w:val="24"/>
          <w:szCs w:val="24"/>
        </w:rPr>
      </w:pPr>
      <w:r>
        <w:rPr>
          <w:sz w:val="24"/>
          <w:szCs w:val="24"/>
        </w:rPr>
        <w:t>Банк-Гарант (кредитная организация), выдающий банковскую гарантию, должен входить в перечень Банков-Гарантов Группы РусГидро</w:t>
      </w:r>
      <w:r>
        <w:rPr>
          <w:rStyle w:val="FootnoteReference"/>
          <w:sz w:val="24"/>
          <w:szCs w:val="24"/>
          <w:vertAlign w:val="superscript"/>
          <w:lang w:val="en-GB"/>
        </w:rPr>
        <w:footnoteReference w:id="12"/>
      </w:r>
      <w:r>
        <w:rPr>
          <w:sz w:val="24"/>
          <w:szCs w:val="24"/>
        </w:rPr>
        <w:t>, а также соответствовать следующим критериям:</w:t>
      </w:r>
    </w:p>
    <w:p>
      <w:pPr>
        <w:pStyle w:val="Normal"/>
        <w:widowControl/>
        <w:numPr>
          <w:ilvl w:val="1"/>
          <w:numId w:val="13"/>
        </w:numPr>
        <w:tabs>
          <w:tab w:val="clear" w:pos="709"/>
          <w:tab w:val="left" w:pos="1134" w:leader="none"/>
        </w:tabs>
        <w:ind w:left="0" w:firstLine="710"/>
        <w:jc w:val="both"/>
        <w:rPr>
          <w:sz w:val="24"/>
          <w:szCs w:val="24"/>
        </w:rPr>
      </w:pPr>
      <w:r>
        <w:rPr>
          <w:sz w:val="24"/>
          <w:szCs w:val="24"/>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pPr>
        <w:pStyle w:val="Normal"/>
        <w:widowControl/>
        <w:numPr>
          <w:ilvl w:val="1"/>
          <w:numId w:val="13"/>
        </w:numPr>
        <w:tabs>
          <w:tab w:val="clear" w:pos="709"/>
          <w:tab w:val="left" w:pos="1134" w:leader="none"/>
        </w:tabs>
        <w:ind w:left="0" w:firstLine="710"/>
        <w:jc w:val="both"/>
        <w:rPr>
          <w:sz w:val="24"/>
          <w:szCs w:val="24"/>
        </w:rPr>
      </w:pPr>
      <w:r>
        <w:rPr>
          <w:sz w:val="24"/>
          <w:szCs w:val="24"/>
        </w:rPr>
        <w:t>Присутствовать в Перечне кредитных организаций, соответствующих требованиям, установленным ч. 1 ст. 2 Федерального закона от 21.07.2014 №</w:t>
      </w:r>
      <w:r>
        <w:rPr>
          <w:sz w:val="24"/>
          <w:szCs w:val="24"/>
          <w:lang w:val="en-GB"/>
        </w:rPr>
        <w:t> </w:t>
      </w:r>
      <w:r>
        <w:rPr>
          <w:sz w:val="24"/>
          <w:szCs w:val="24"/>
        </w:rPr>
        <w:t xml:space="preserve">213-ФЗ </w:t>
        <w:br/>
        <w:t>«Об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w:t>
        <w:br/>
        <w:t>213-ФЗ).</w:t>
      </w:r>
    </w:p>
    <w:p>
      <w:pPr>
        <w:pStyle w:val="Normal"/>
        <w:widowControl/>
        <w:numPr>
          <w:ilvl w:val="1"/>
          <w:numId w:val="13"/>
        </w:numPr>
        <w:tabs>
          <w:tab w:val="clear" w:pos="709"/>
          <w:tab w:val="left" w:pos="1134" w:leader="none"/>
        </w:tabs>
        <w:ind w:left="0" w:firstLine="710"/>
        <w:jc w:val="both"/>
        <w:rPr>
          <w:sz w:val="24"/>
          <w:szCs w:val="24"/>
        </w:rPr>
      </w:pPr>
      <w:r>
        <w:rPr>
          <w:sz w:val="24"/>
          <w:szCs w:val="24"/>
        </w:rPr>
        <w:t>Иметь собственные средства (капитал) в размере не менее 25 млрд. рублей на 01 января текущего календарного года по данным отчетности (в соответствии с кодом формы по ОКУД 0409123</w:t>
      </w:r>
      <w:r>
        <w:rPr>
          <w:rFonts w:eastAsia="Times New Roman" w:cs="Times New Roman"/>
          <w:color w:val="auto"/>
          <w:kern w:val="0"/>
          <w:sz w:val="24"/>
          <w:szCs w:val="24"/>
          <w:lang w:val="ru-RU" w:eastAsia="ru-RU" w:bidi="ar-SA"/>
        </w:rPr>
        <w:t xml:space="preserve"> «Расчет собственных средств (капитала) («Базель III») либо кодом формы по ОКУД 0409808 «Отчет об уровне достаточности капитала для покрытия рисков (публикуемая форма)»)</w:t>
      </w:r>
      <w:r>
        <w:rPr>
          <w:sz w:val="24"/>
          <w:szCs w:val="24"/>
        </w:rPr>
        <w:t>, опубликованной в информационно-телекоммуникационной сети «Интернет» (</w:t>
      </w:r>
      <w:hyperlink r:id="rId5">
        <w:r>
          <w:rPr>
            <w:rStyle w:val="Hyperlink"/>
            <w:rFonts w:eastAsia="Times New Roman" w:cs="Times New Roman"/>
            <w:color w:val="auto"/>
            <w:sz w:val="24"/>
            <w:szCs w:val="24"/>
            <w:lang w:val="ru-RU" w:eastAsia="ru-RU" w:bidi="ar-SA"/>
          </w:rPr>
          <w:t>www.cbr.ru</w:t>
        </w:r>
      </w:hyperlink>
      <w:r>
        <w:rPr>
          <w:sz w:val="24"/>
          <w:szCs w:val="24"/>
        </w:rPr>
        <w:t xml:space="preserve">) на официальных сайтах ЦБ РФ и/ или кредитной организации либо представленной кредитной </w:t>
      </w:r>
      <w:r>
        <w:rPr>
          <w:rFonts w:eastAsia="Times New Roman" w:cs="Times New Roman"/>
          <w:color w:val="auto"/>
          <w:kern w:val="0"/>
          <w:sz w:val="24"/>
          <w:szCs w:val="24"/>
          <w:lang w:val="ru-RU" w:eastAsia="ru-RU" w:bidi="ar-SA"/>
        </w:rPr>
        <w:t>организации</w:t>
      </w:r>
      <w:r>
        <w:rPr>
          <w:sz w:val="24"/>
          <w:szCs w:val="24"/>
        </w:rPr>
        <w:t xml:space="preserve"> Заказчику. </w:t>
      </w:r>
    </w:p>
    <w:p>
      <w:pPr>
        <w:pStyle w:val="Normal"/>
        <w:widowControl/>
        <w:numPr>
          <w:ilvl w:val="1"/>
          <w:numId w:val="13"/>
        </w:numPr>
        <w:tabs>
          <w:tab w:val="clear" w:pos="709"/>
          <w:tab w:val="left" w:pos="1134" w:leader="none"/>
        </w:tabs>
        <w:ind w:left="0" w:firstLine="710"/>
        <w:jc w:val="both"/>
        <w:rPr>
          <w:sz w:val="24"/>
          <w:szCs w:val="24"/>
        </w:rPr>
      </w:pPr>
      <w:r>
        <w:rPr>
          <w:sz w:val="24"/>
          <w:szCs w:val="24"/>
        </w:rPr>
        <w:t>Иметь кредитный рейтинг по национальной шкале не ниже уровня «</w:t>
      </w:r>
      <w:r>
        <w:rPr>
          <w:sz w:val="24"/>
          <w:szCs w:val="24"/>
          <w:lang w:val="en-GB"/>
        </w:rPr>
        <w:t>BBB</w:t>
      </w:r>
      <w:r>
        <w:rPr>
          <w:sz w:val="24"/>
          <w:szCs w:val="24"/>
        </w:rPr>
        <w:t>» рейтингового агентства АКРА или не ниже уровня «</w:t>
      </w:r>
      <w:r>
        <w:rPr>
          <w:sz w:val="24"/>
          <w:szCs w:val="24"/>
          <w:lang w:val="en-GB"/>
        </w:rPr>
        <w:t>ruBBB</w:t>
      </w:r>
      <w:r>
        <w:rPr>
          <w:sz w:val="24"/>
          <w:szCs w:val="24"/>
        </w:rPr>
        <w:t>»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w:t>
      </w:r>
      <w:r>
        <w:rPr>
          <w:sz w:val="24"/>
          <w:szCs w:val="24"/>
          <w:lang w:val="en-GB"/>
        </w:rPr>
        <w:t>Fitch</w:t>
      </w:r>
      <w:r>
        <w:rPr>
          <w:sz w:val="24"/>
          <w:szCs w:val="24"/>
        </w:rPr>
        <w:t>-</w:t>
      </w:r>
      <w:r>
        <w:rPr>
          <w:sz w:val="24"/>
          <w:szCs w:val="24"/>
          <w:lang w:val="en-GB"/>
        </w:rPr>
        <w:t>Ratings</w:t>
      </w:r>
      <w:r>
        <w:rPr>
          <w:sz w:val="24"/>
          <w:szCs w:val="24"/>
        </w:rPr>
        <w:t>» или «</w:t>
      </w:r>
      <w:r>
        <w:rPr>
          <w:sz w:val="24"/>
          <w:szCs w:val="24"/>
          <w:lang w:val="en-GB"/>
        </w:rPr>
        <w:t>Standard</w:t>
      </w:r>
      <w:r>
        <w:rPr>
          <w:sz w:val="24"/>
          <w:szCs w:val="24"/>
        </w:rPr>
        <w:t xml:space="preserve"> &amp; </w:t>
      </w:r>
      <w:r>
        <w:rPr>
          <w:sz w:val="24"/>
          <w:szCs w:val="24"/>
          <w:lang w:val="en-GB"/>
        </w:rPr>
        <w:t>Poor</w:t>
      </w:r>
      <w:r>
        <w:rPr>
          <w:sz w:val="24"/>
          <w:szCs w:val="24"/>
        </w:rPr>
        <w:t>'</w:t>
      </w:r>
      <w:r>
        <w:rPr>
          <w:sz w:val="24"/>
          <w:szCs w:val="24"/>
          <w:lang w:val="en-GB"/>
        </w:rPr>
        <w:t>s</w:t>
      </w:r>
      <w:r>
        <w:rPr>
          <w:sz w:val="24"/>
          <w:szCs w:val="24"/>
        </w:rPr>
        <w:t>» либо уровня «</w:t>
      </w:r>
      <w:r>
        <w:rPr>
          <w:sz w:val="24"/>
          <w:szCs w:val="24"/>
          <w:lang w:val="en-GB"/>
        </w:rPr>
        <w:t>B</w:t>
      </w:r>
      <w:r>
        <w:rPr>
          <w:sz w:val="24"/>
          <w:szCs w:val="24"/>
        </w:rPr>
        <w:t>а2» по классификации рейтингового агентства «</w:t>
      </w:r>
      <w:r>
        <w:rPr>
          <w:sz w:val="24"/>
          <w:szCs w:val="24"/>
          <w:lang w:val="en-GB"/>
        </w:rPr>
        <w:t>Moody</w:t>
      </w:r>
      <w:r>
        <w:rPr>
          <w:sz w:val="24"/>
          <w:szCs w:val="24"/>
        </w:rPr>
        <w:t>'</w:t>
      </w:r>
      <w:r>
        <w:rPr>
          <w:sz w:val="24"/>
          <w:szCs w:val="24"/>
          <w:lang w:val="en-GB"/>
        </w:rPr>
        <w:t>s</w:t>
      </w:r>
      <w:r>
        <w:rPr>
          <w:sz w:val="24"/>
          <w:szCs w:val="24"/>
        </w:rPr>
        <w:t xml:space="preserve"> </w:t>
      </w:r>
      <w:r>
        <w:rPr>
          <w:sz w:val="24"/>
          <w:szCs w:val="24"/>
          <w:lang w:val="en-GB"/>
        </w:rPr>
        <w:t>Investors</w:t>
      </w:r>
      <w:r>
        <w:rPr>
          <w:sz w:val="24"/>
          <w:szCs w:val="24"/>
        </w:rPr>
        <w:t xml:space="preserve"> </w:t>
      </w:r>
      <w:r>
        <w:rPr>
          <w:sz w:val="24"/>
          <w:szCs w:val="24"/>
          <w:lang w:val="en-GB"/>
        </w:rPr>
        <w:t>Service</w:t>
      </w:r>
      <w:r>
        <w:rPr>
          <w:sz w:val="24"/>
          <w:szCs w:val="24"/>
        </w:rPr>
        <w:t>»</w:t>
      </w:r>
      <w:r>
        <w:rPr>
          <w:rStyle w:val="FootnoteReference"/>
          <w:sz w:val="24"/>
          <w:szCs w:val="24"/>
          <w:vertAlign w:val="superscript"/>
          <w:lang w:val="en-GB"/>
        </w:rPr>
        <w:footnoteReference w:id="13"/>
      </w:r>
      <w:r>
        <w:rPr>
          <w:sz w:val="24"/>
          <w:szCs w:val="24"/>
        </w:rPr>
        <w:t xml:space="preserve">. </w:t>
      </w:r>
    </w:p>
    <w:p>
      <w:pPr>
        <w:pStyle w:val="Normal"/>
        <w:widowControl/>
        <w:numPr>
          <w:ilvl w:val="1"/>
          <w:numId w:val="13"/>
        </w:numPr>
        <w:tabs>
          <w:tab w:val="clear" w:pos="709"/>
          <w:tab w:val="left" w:pos="1134" w:leader="none"/>
        </w:tabs>
        <w:ind w:left="0" w:firstLine="710"/>
        <w:jc w:val="both"/>
        <w:rPr>
          <w:sz w:val="24"/>
          <w:szCs w:val="24"/>
        </w:rPr>
      </w:pPr>
      <w:r>
        <w:rPr>
          <w:sz w:val="24"/>
          <w:szCs w:val="24"/>
        </w:rPr>
        <w:t>Участвовать в системе обязательного страхования вкладов в банках Российской Федерации в соответствии с Федеральным законом от 23.12.2003 №</w:t>
      </w:r>
      <w:r>
        <w:rPr>
          <w:sz w:val="24"/>
          <w:szCs w:val="24"/>
          <w:lang w:val="en-GB"/>
        </w:rPr>
        <w:t> </w:t>
      </w:r>
      <w:r>
        <w:rPr>
          <w:sz w:val="24"/>
          <w:szCs w:val="24"/>
        </w:rPr>
        <w:t>177-ФЗ «О страховании вкладов в банках Российской Федерации»</w:t>
      </w:r>
      <w:r>
        <w:rPr>
          <w:rStyle w:val="FootnoteReference"/>
          <w:sz w:val="24"/>
          <w:szCs w:val="24"/>
          <w:vertAlign w:val="superscript"/>
          <w:lang w:val="en-GB"/>
        </w:rPr>
        <w:footnoteReference w:id="14"/>
      </w:r>
      <w:r>
        <w:rPr>
          <w:sz w:val="24"/>
          <w:szCs w:val="24"/>
        </w:rPr>
        <w:t>.</w:t>
      </w:r>
    </w:p>
    <w:p>
      <w:pPr>
        <w:pStyle w:val="Normal"/>
        <w:widowControl/>
        <w:numPr>
          <w:ilvl w:val="1"/>
          <w:numId w:val="13"/>
        </w:numPr>
        <w:tabs>
          <w:tab w:val="clear" w:pos="709"/>
          <w:tab w:val="left" w:pos="1134" w:leader="none"/>
        </w:tabs>
        <w:ind w:left="0" w:firstLine="710"/>
        <w:jc w:val="both"/>
        <w:rPr>
          <w:sz w:val="24"/>
          <w:szCs w:val="24"/>
        </w:rPr>
      </w:pPr>
      <w:r>
        <w:rPr>
          <w:sz w:val="24"/>
          <w:szCs w:val="24"/>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w:t>
      </w:r>
      <w:r>
        <w:rPr>
          <w:sz w:val="24"/>
          <w:szCs w:val="24"/>
          <w:lang w:val="en-GB"/>
        </w:rPr>
        <w:t>http</w:t>
      </w:r>
      <w:r>
        <w:rPr>
          <w:sz w:val="24"/>
          <w:szCs w:val="24"/>
        </w:rPr>
        <w:t>://</w:t>
      </w:r>
      <w:r>
        <w:rPr>
          <w:sz w:val="24"/>
          <w:szCs w:val="24"/>
          <w:lang w:val="en-GB"/>
        </w:rPr>
        <w:t>www</w:t>
      </w:r>
      <w:r>
        <w:rPr>
          <w:sz w:val="24"/>
          <w:szCs w:val="24"/>
        </w:rPr>
        <w:t>.</w:t>
      </w:r>
      <w:r>
        <w:rPr>
          <w:sz w:val="24"/>
          <w:szCs w:val="24"/>
          <w:lang w:val="en-GB"/>
        </w:rPr>
        <w:t>asv</w:t>
      </w:r>
      <w:r>
        <w:rPr>
          <w:sz w:val="24"/>
          <w:szCs w:val="24"/>
        </w:rPr>
        <w:t>.</w:t>
      </w:r>
      <w:r>
        <w:rPr>
          <w:sz w:val="24"/>
          <w:szCs w:val="24"/>
          <w:lang w:val="en-GB"/>
        </w:rPr>
        <w:t>org</w:t>
      </w:r>
      <w:r>
        <w:rPr>
          <w:sz w:val="24"/>
          <w:szCs w:val="24"/>
        </w:rPr>
        <w:t>.</w:t>
      </w:r>
      <w:r>
        <w:rPr>
          <w:sz w:val="24"/>
          <w:szCs w:val="24"/>
          <w:lang w:val="en-GB"/>
        </w:rPr>
        <w:t>ru</w:t>
      </w:r>
      <w:r>
        <w:rPr>
          <w:sz w:val="24"/>
          <w:szCs w:val="24"/>
        </w:rPr>
        <w:t>))».</w:t>
      </w:r>
    </w:p>
    <w:p>
      <w:pPr>
        <w:pStyle w:val="Normal"/>
        <w:widowControl/>
        <w:numPr>
          <w:ilvl w:val="1"/>
          <w:numId w:val="13"/>
        </w:numPr>
        <w:tabs>
          <w:tab w:val="clear" w:pos="709"/>
          <w:tab w:val="left" w:pos="1134" w:leader="none"/>
        </w:tabs>
        <w:ind w:left="0" w:firstLine="710"/>
        <w:jc w:val="both"/>
        <w:rPr>
          <w:sz w:val="24"/>
          <w:szCs w:val="24"/>
        </w:rPr>
      </w:pPr>
      <w:r>
        <w:rPr>
          <w:sz w:val="24"/>
          <w:szCs w:val="24"/>
        </w:rPr>
        <w:t>Не иметь просроченную задолженность перед Заказчиком и компаниями Группы РусГидро.</w:t>
      </w:r>
    </w:p>
    <w:p>
      <w:pPr>
        <w:pStyle w:val="Normal"/>
        <w:widowControl/>
        <w:numPr>
          <w:ilvl w:val="1"/>
          <w:numId w:val="13"/>
        </w:numPr>
        <w:tabs>
          <w:tab w:val="clear" w:pos="709"/>
          <w:tab w:val="left" w:pos="1134" w:leader="none"/>
        </w:tabs>
        <w:ind w:left="0" w:firstLine="710"/>
        <w:jc w:val="both"/>
        <w:rPr>
          <w:sz w:val="24"/>
          <w:szCs w:val="24"/>
        </w:rPr>
      </w:pPr>
      <w:r>
        <w:rPr>
          <w:sz w:val="24"/>
          <w:szCs w:val="24"/>
        </w:rPr>
        <w:t>Присутствовать (иметь отделение, филиал) по месту нахождения Заказчика, его обособленного подразделения или Филиала, для нужд которого заключается Договор</w:t>
      </w:r>
      <w:r>
        <w:rPr>
          <w:rStyle w:val="FootnoteReference"/>
          <w:sz w:val="24"/>
          <w:szCs w:val="24"/>
          <w:vertAlign w:val="superscript"/>
          <w:lang w:val="en-GB"/>
        </w:rPr>
        <w:footnoteReference w:id="15"/>
      </w:r>
      <w:r>
        <w:rPr>
          <w:sz w:val="24"/>
          <w:szCs w:val="24"/>
        </w:rPr>
        <w:t>.</w:t>
      </w:r>
    </w:p>
    <w:p>
      <w:pPr>
        <w:pStyle w:val="Normal"/>
        <w:widowControl/>
        <w:numPr>
          <w:ilvl w:val="1"/>
          <w:numId w:val="13"/>
        </w:numPr>
        <w:tabs>
          <w:tab w:val="clear" w:pos="709"/>
          <w:tab w:val="left" w:pos="1134" w:leader="none"/>
        </w:tabs>
        <w:ind w:left="0" w:firstLine="710"/>
        <w:jc w:val="both"/>
        <w:rPr>
          <w:sz w:val="24"/>
          <w:szCs w:val="24"/>
        </w:rPr>
      </w:pPr>
      <w:r>
        <w:rPr>
          <w:sz w:val="24"/>
          <w:szCs w:val="24"/>
        </w:rPr>
        <w:t xml:space="preserve">Требования, установленные пунктами 2 – 4 настоящих Критериев, </w:t>
        <w:br/>
        <w:t>не распространяются на кредитные организации:</w:t>
      </w:r>
    </w:p>
    <w:p>
      <w:pPr>
        <w:pStyle w:val="Normal"/>
        <w:widowControl/>
        <w:numPr>
          <w:ilvl w:val="1"/>
          <w:numId w:val="14"/>
        </w:numPr>
        <w:tabs>
          <w:tab w:val="clear" w:pos="709"/>
          <w:tab w:val="left" w:pos="1134" w:leader="none"/>
        </w:tabs>
        <w:ind w:left="0" w:firstLine="709"/>
        <w:jc w:val="both"/>
        <w:rPr>
          <w:sz w:val="24"/>
          <w:szCs w:val="24"/>
        </w:rPr>
      </w:pPr>
      <w:r>
        <w:rPr>
          <w:sz w:val="24"/>
          <w:szCs w:val="24"/>
        </w:rPr>
        <w:t xml:space="preserve"> </w:t>
      </w:r>
      <w:r>
        <w:rPr>
          <w:sz w:val="24"/>
          <w:szCs w:val="24"/>
        </w:rPr>
        <w:t xml:space="preserve">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w:t>
        <w:br/>
        <w:t xml:space="preserve">в которой могут размещаться средства федерального бюджета на банковских депозитах </w:t>
        <w:br/>
        <w:t>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pPr>
        <w:pStyle w:val="Normal"/>
        <w:widowControl/>
        <w:numPr>
          <w:ilvl w:val="1"/>
          <w:numId w:val="14"/>
        </w:numPr>
        <w:tabs>
          <w:tab w:val="clear" w:pos="709"/>
          <w:tab w:val="left" w:pos="1134" w:leader="none"/>
        </w:tabs>
        <w:ind w:left="0" w:firstLine="709"/>
        <w:jc w:val="both"/>
        <w:rPr>
          <w:sz w:val="24"/>
          <w:szCs w:val="24"/>
        </w:rPr>
      </w:pPr>
      <w:r>
        <w:rPr>
          <w:sz w:val="24"/>
          <w:szCs w:val="24"/>
        </w:rPr>
        <w:t xml:space="preserve"> </w:t>
      </w:r>
      <w:r>
        <w:rPr>
          <w:sz w:val="24"/>
          <w:szCs w:val="24"/>
        </w:rPr>
        <w:t xml:space="preserve">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w:t>
        <w:br/>
        <w:t>и Указом Президента Российской Федерации от 05.06.2015 № 287 «О мерах по дальнейшему развитию малого и среднего предпринимательства».</w:t>
      </w:r>
    </w:p>
    <w:p>
      <w:pPr>
        <w:pStyle w:val="Normal"/>
        <w:widowControl/>
        <w:numPr>
          <w:ilvl w:val="1"/>
          <w:numId w:val="14"/>
        </w:numPr>
        <w:tabs>
          <w:tab w:val="clear" w:pos="709"/>
          <w:tab w:val="left" w:pos="1134" w:leader="none"/>
        </w:tabs>
        <w:ind w:left="0" w:firstLine="709"/>
        <w:jc w:val="both"/>
        <w:rPr>
          <w:sz w:val="24"/>
          <w:szCs w:val="24"/>
        </w:rPr>
      </w:pPr>
      <w:r>
        <w:rPr>
          <w:sz w:val="24"/>
          <w:szCs w:val="24"/>
        </w:rPr>
        <w:t xml:space="preserve"> </w:t>
      </w:r>
      <w:r>
        <w:rPr>
          <w:sz w:val="24"/>
          <w:szCs w:val="24"/>
        </w:rPr>
        <w:t>Утвержденную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в качестве уполномоченной кредитной организации, ответственной за проведение расчетов между субъектами ОРЭМ.</w:t>
      </w:r>
    </w:p>
    <w:p>
      <w:pPr>
        <w:pStyle w:val="Normal"/>
        <w:widowControl/>
        <w:numPr>
          <w:ilvl w:val="1"/>
          <w:numId w:val="14"/>
        </w:numPr>
        <w:tabs>
          <w:tab w:val="clear" w:pos="709"/>
          <w:tab w:val="left" w:pos="1134" w:leader="none"/>
        </w:tabs>
        <w:ind w:left="0" w:firstLine="709"/>
        <w:jc w:val="both"/>
        <w:rPr>
          <w:sz w:val="24"/>
          <w:szCs w:val="24"/>
          <w:lang w:val="en-GB"/>
        </w:rPr>
      </w:pPr>
      <w:r>
        <w:rPr>
          <w:sz w:val="24"/>
          <w:szCs w:val="24"/>
        </w:rPr>
        <w:t xml:space="preserve"> </w:t>
      </w:r>
      <w:r>
        <w:rPr>
          <w:sz w:val="24"/>
          <w:szCs w:val="24"/>
          <w:lang w:val="en-GB"/>
        </w:rPr>
        <w:t>ВЭБ.РФ.</w:t>
      </w:r>
    </w:p>
    <w:p>
      <w:pPr>
        <w:pStyle w:val="Normal"/>
        <w:numPr>
          <w:ilvl w:val="1"/>
          <w:numId w:val="14"/>
        </w:numPr>
        <w:tabs>
          <w:tab w:val="clear" w:pos="709"/>
          <w:tab w:val="left" w:pos="1134" w:leader="none"/>
        </w:tabs>
        <w:spacing w:lineRule="auto" w:line="240"/>
        <w:ind w:left="0" w:firstLine="709"/>
        <w:rPr>
          <w:sz w:val="24"/>
          <w:szCs w:val="24"/>
        </w:rPr>
      </w:pPr>
      <w:r>
        <w:rPr>
          <w:sz w:val="24"/>
          <w:szCs w:val="24"/>
          <w:lang w:val="en-GB"/>
        </w:rPr>
        <w:t>Нерезидентов Российской Федерации.</w:t>
      </w:r>
    </w:p>
    <w:p>
      <w:pPr>
        <w:pStyle w:val="Normal"/>
        <w:widowControl/>
        <w:numPr>
          <w:ilvl w:val="1"/>
          <w:numId w:val="13"/>
        </w:numPr>
        <w:tabs>
          <w:tab w:val="clear" w:pos="709"/>
          <w:tab w:val="left" w:pos="1134" w:leader="none"/>
        </w:tabs>
        <w:ind w:left="0" w:firstLine="710"/>
        <w:jc w:val="both"/>
        <w:rPr>
          <w:sz w:val="24"/>
          <w:szCs w:val="24"/>
        </w:rPr>
      </w:pPr>
      <w:r>
        <w:rPr>
          <w:sz w:val="24"/>
          <w:szCs w:val="24"/>
        </w:rPr>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pPr>
        <w:pStyle w:val="Normal"/>
        <w:widowControl/>
        <w:tabs>
          <w:tab w:val="clear" w:pos="709"/>
          <w:tab w:val="left" w:pos="1134" w:leader="none"/>
        </w:tabs>
        <w:ind w:firstLine="709"/>
        <w:jc w:val="center"/>
        <w:rPr>
          <w:sz w:val="24"/>
          <w:szCs w:val="24"/>
          <w:lang w:val="en-GB"/>
        </w:rPr>
      </w:pPr>
      <w:r>
        <w:rPr>
          <w:sz w:val="24"/>
          <w:szCs w:val="24"/>
          <w:lang w:val="en-GB"/>
        </w:rPr>
      </w:r>
    </w:p>
    <w:p>
      <w:pPr>
        <w:pStyle w:val="Normal"/>
        <w:widowControl/>
        <w:tabs>
          <w:tab w:val="clear" w:pos="709"/>
          <w:tab w:val="left" w:pos="1134" w:leader="none"/>
        </w:tabs>
        <w:ind w:firstLine="709"/>
        <w:jc w:val="center"/>
        <w:rPr>
          <w:sz w:val="24"/>
          <w:szCs w:val="24"/>
          <w:lang w:val="en-GB"/>
        </w:rPr>
      </w:pPr>
      <w:r>
        <w:rPr>
          <w:b/>
          <w:i/>
          <w:sz w:val="24"/>
          <w:szCs w:val="24"/>
          <w:lang w:val="en-GB"/>
        </w:rPr>
        <w:t>Lim</w:t>
      </w:r>
      <w:r>
        <w:rPr>
          <w:b/>
          <w:i/>
          <w:sz w:val="24"/>
          <w:szCs w:val="24"/>
          <w:vertAlign w:val="subscript"/>
          <w:lang w:val="en-GB"/>
        </w:rPr>
        <w:t>Ai</w:t>
      </w:r>
      <w:r>
        <w:rPr>
          <w:b/>
          <w:i/>
          <w:sz w:val="24"/>
          <w:szCs w:val="24"/>
          <w:lang w:val="en-GB"/>
        </w:rPr>
        <w:t xml:space="preserve">  = r</w:t>
      </w:r>
      <w:r>
        <w:rPr>
          <w:b/>
          <w:i/>
          <w:sz w:val="24"/>
          <w:szCs w:val="24"/>
          <w:vertAlign w:val="subscript"/>
          <w:lang w:val="en-GB"/>
        </w:rPr>
        <w:t>i</w:t>
      </w:r>
      <w:r>
        <w:rPr>
          <w:b/>
          <w:i/>
          <w:sz w:val="24"/>
          <w:szCs w:val="24"/>
          <w:lang w:val="en-GB"/>
        </w:rPr>
        <w:t xml:space="preserve"> × СK</w:t>
      </w:r>
      <w:r>
        <w:rPr>
          <w:b/>
          <w:i/>
          <w:sz w:val="24"/>
          <w:szCs w:val="24"/>
          <w:vertAlign w:val="subscript"/>
          <w:lang w:val="en-GB"/>
        </w:rPr>
        <w:t>i</w:t>
      </w:r>
      <w:r>
        <w:rPr>
          <w:sz w:val="24"/>
          <w:szCs w:val="24"/>
          <w:lang w:val="en-GB"/>
        </w:rPr>
        <w:t>, где</w:t>
      </w:r>
    </w:p>
    <w:p>
      <w:pPr>
        <w:pStyle w:val="Normal"/>
        <w:widowControl/>
        <w:tabs>
          <w:tab w:val="clear" w:pos="709"/>
          <w:tab w:val="left" w:pos="1134" w:leader="none"/>
        </w:tabs>
        <w:ind w:firstLine="709"/>
        <w:jc w:val="center"/>
        <w:rPr>
          <w:sz w:val="24"/>
          <w:szCs w:val="24"/>
          <w:lang w:val="en-GB"/>
        </w:rPr>
      </w:pPr>
      <w:r>
        <w:rPr>
          <w:sz w:val="24"/>
          <w:szCs w:val="24"/>
          <w:lang w:val="en-GB"/>
        </w:rPr>
      </w:r>
    </w:p>
    <w:p>
      <w:pPr>
        <w:pStyle w:val="Normal"/>
        <w:widowControl/>
        <w:tabs>
          <w:tab w:val="clear" w:pos="709"/>
          <w:tab w:val="left" w:pos="1134" w:leader="none"/>
        </w:tabs>
        <w:ind w:firstLine="709"/>
        <w:jc w:val="center"/>
        <w:rPr>
          <w:sz w:val="24"/>
          <w:szCs w:val="24"/>
          <w:lang w:val="en-GB"/>
        </w:rPr>
      </w:pPr>
      <w:r>
        <w:rPr>
          <w:sz w:val="24"/>
          <w:szCs w:val="24"/>
          <w:lang w:val="en-GB"/>
        </w:rPr>
      </w:r>
    </w:p>
    <w:tbl>
      <w:tblPr>
        <w:tblW w:w="9606"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817"/>
        <w:gridCol w:w="280"/>
        <w:gridCol w:w="8509"/>
      </w:tblGrid>
      <w:tr>
        <w:trPr>
          <w:trHeight w:val="426" w:hRule="atLeast"/>
        </w:trPr>
        <w:tc>
          <w:tcPr>
            <w:tcW w:w="817" w:type="dxa"/>
            <w:tcBorders/>
            <w:shd w:color="auto" w:fill="auto" w:val="clear"/>
          </w:tcPr>
          <w:p>
            <w:pPr>
              <w:pStyle w:val="Normal"/>
              <w:widowControl w:val="false"/>
              <w:spacing w:lineRule="auto" w:line="240"/>
              <w:ind w:left="0" w:right="-108" w:hanging="0"/>
              <w:rPr>
                <w:color w:val="000000"/>
                <w:sz w:val="24"/>
                <w:szCs w:val="24"/>
              </w:rPr>
            </w:pPr>
            <w:r>
              <w:rPr>
                <w:b/>
                <w:i/>
                <w:color w:val="000000"/>
                <w:sz w:val="24"/>
                <w:szCs w:val="24"/>
              </w:rPr>
              <w:t>Lim</w:t>
            </w:r>
            <w:r>
              <w:rPr>
                <w:b/>
                <w:i/>
                <w:color w:val="000000"/>
                <w:sz w:val="24"/>
                <w:szCs w:val="24"/>
                <w:vertAlign w:val="subscript"/>
                <w:lang w:val="en-US"/>
              </w:rPr>
              <w:t xml:space="preserve">Ai </w:t>
            </w:r>
          </w:p>
        </w:tc>
        <w:tc>
          <w:tcPr>
            <w:tcW w:w="280" w:type="dxa"/>
            <w:tcBorders/>
            <w:shd w:color="auto" w:fill="auto" w:val="clear"/>
          </w:tcPr>
          <w:p>
            <w:pPr>
              <w:pStyle w:val="Normal"/>
              <w:widowControl w:val="false"/>
              <w:spacing w:lineRule="auto" w:line="240"/>
              <w:ind w:left="317" w:right="-108" w:hanging="317"/>
              <w:rPr>
                <w:color w:val="000000"/>
                <w:sz w:val="24"/>
                <w:szCs w:val="24"/>
              </w:rPr>
            </w:pPr>
            <w:r>
              <w:rPr>
                <w:sz w:val="24"/>
                <w:szCs w:val="24"/>
              </w:rPr>
              <w:t xml:space="preserve">-  </w:t>
            </w:r>
          </w:p>
        </w:tc>
        <w:tc>
          <w:tcPr>
            <w:tcW w:w="8509" w:type="dxa"/>
            <w:tcBorders/>
            <w:shd w:color="auto" w:fill="auto" w:val="clear"/>
          </w:tcPr>
          <w:p>
            <w:pPr>
              <w:pStyle w:val="Normal"/>
              <w:widowControl w:val="false"/>
              <w:spacing w:lineRule="auto" w:line="240"/>
              <w:ind w:left="-75" w:right="-108" w:firstLine="567"/>
              <w:rPr>
                <w:color w:val="000000"/>
                <w:sz w:val="24"/>
                <w:szCs w:val="24"/>
              </w:rPr>
            </w:pPr>
            <w:r>
              <w:rPr>
                <w:rFonts w:eastAsia="Times New Roman" w:cs="Times New Roman"/>
                <w:sz w:val="24"/>
                <w:szCs w:val="24"/>
                <w:lang w:eastAsia="ru-RU"/>
              </w:rPr>
              <w:t>Лимит риска для i-ой кредитной организации</w:t>
            </w:r>
            <w:r>
              <w:rPr>
                <w:rStyle w:val="FootnoteReference"/>
                <w:rFonts w:eastAsia="Times New Roman" w:cs="Times New Roman"/>
                <w:sz w:val="24"/>
                <w:szCs w:val="24"/>
                <w:lang w:eastAsia="ru-RU"/>
              </w:rPr>
              <w:footnoteReference w:id="16"/>
            </w:r>
            <w:r>
              <w:rPr>
                <w:rFonts w:eastAsia="Times New Roman" w:cs="Times New Roman"/>
                <w:sz w:val="24"/>
                <w:szCs w:val="24"/>
                <w:lang w:eastAsia="ru-RU"/>
              </w:rPr>
              <w:t>.</w:t>
            </w:r>
          </w:p>
        </w:tc>
      </w:tr>
      <w:tr>
        <w:trPr>
          <w:trHeight w:val="280" w:hRule="atLeast"/>
        </w:trPr>
        <w:tc>
          <w:tcPr>
            <w:tcW w:w="817" w:type="dxa"/>
            <w:tcBorders/>
            <w:shd w:color="auto" w:fill="auto" w:val="clear"/>
          </w:tcPr>
          <w:p>
            <w:pPr>
              <w:pStyle w:val="Normal"/>
              <w:widowControl w:val="false"/>
              <w:spacing w:lineRule="auto" w:line="240"/>
              <w:ind w:left="0" w:right="-108" w:hanging="0"/>
              <w:rPr>
                <w:b/>
                <w:i/>
                <w:i/>
                <w:color w:val="000000"/>
                <w:sz w:val="24"/>
                <w:szCs w:val="24"/>
                <w:vertAlign w:val="subscript"/>
              </w:rPr>
            </w:pPr>
            <w:r>
              <w:rPr>
                <w:b/>
                <w:i/>
                <w:color w:val="000000"/>
                <w:sz w:val="24"/>
                <w:szCs w:val="24"/>
              </w:rPr>
              <w:t>С</w:t>
            </w:r>
            <w:r>
              <w:rPr>
                <w:b/>
                <w:i/>
                <w:color w:val="000000"/>
                <w:sz w:val="24"/>
                <w:szCs w:val="24"/>
                <w:lang w:val="en-US"/>
              </w:rPr>
              <w:t>K</w:t>
            </w:r>
            <w:r>
              <w:rPr>
                <w:b/>
                <w:i/>
                <w:color w:val="000000"/>
                <w:sz w:val="24"/>
                <w:szCs w:val="24"/>
                <w:vertAlign w:val="subscript"/>
                <w:lang w:val="en-US"/>
              </w:rPr>
              <w:t>i</w:t>
            </w:r>
          </w:p>
          <w:p>
            <w:pPr>
              <w:pStyle w:val="Normal"/>
              <w:widowControl w:val="false"/>
              <w:spacing w:lineRule="auto" w:line="240"/>
              <w:ind w:left="0" w:right="-108" w:firstLine="567"/>
              <w:rPr>
                <w:color w:val="000000"/>
                <w:sz w:val="24"/>
                <w:szCs w:val="24"/>
              </w:rPr>
            </w:pPr>
            <w:r>
              <w:rPr>
                <w:color w:val="000000"/>
                <w:sz w:val="24"/>
                <w:szCs w:val="24"/>
              </w:rPr>
            </w:r>
          </w:p>
        </w:tc>
        <w:tc>
          <w:tcPr>
            <w:tcW w:w="280" w:type="dxa"/>
            <w:tcBorders/>
            <w:shd w:color="auto" w:fill="auto" w:val="clear"/>
          </w:tcPr>
          <w:p>
            <w:pPr>
              <w:pStyle w:val="Normal"/>
              <w:widowControl w:val="false"/>
              <w:spacing w:lineRule="auto" w:line="240"/>
              <w:ind w:left="0" w:right="-108" w:hanging="0"/>
              <w:rPr>
                <w:color w:val="000000"/>
                <w:sz w:val="24"/>
                <w:szCs w:val="24"/>
              </w:rPr>
            </w:pPr>
            <w:r>
              <w:rPr>
                <w:sz w:val="24"/>
                <w:szCs w:val="24"/>
              </w:rPr>
              <w:t>-</w:t>
            </w:r>
            <w:r>
              <w:rPr>
                <w:color w:val="000000"/>
                <w:sz w:val="24"/>
                <w:szCs w:val="24"/>
              </w:rPr>
              <w:t xml:space="preserve">  </w:t>
            </w:r>
          </w:p>
        </w:tc>
        <w:tc>
          <w:tcPr>
            <w:tcW w:w="8509" w:type="dxa"/>
            <w:tcBorders/>
            <w:shd w:color="auto" w:fill="auto" w:val="clear"/>
          </w:tcPr>
          <w:p>
            <w:pPr>
              <w:pStyle w:val="Normal"/>
              <w:widowControl w:val="false"/>
              <w:spacing w:lineRule="auto" w:line="240"/>
              <w:ind w:left="-75" w:right="-108" w:firstLine="567"/>
              <w:rPr>
                <w:color w:val="000000"/>
                <w:sz w:val="24"/>
                <w:szCs w:val="24"/>
              </w:rPr>
            </w:pPr>
            <w:r>
              <w:rPr>
                <w:rFonts w:eastAsia="Times New Roman" w:cs="Times New Roman"/>
                <w:sz w:val="24"/>
                <w:szCs w:val="24"/>
                <w:lang w:eastAsia="ru-RU"/>
              </w:rPr>
              <w:t xml:space="preserve">размер собственных средств (капитала) i-ой кредитной организации </w:t>
              <w:br/>
              <w:t xml:space="preserve">на 1 января текущего календарного года по данным отчетности </w:t>
              <w:br/>
              <w:t>(в соответствии с кодом формы по ОКУД 0409123 «Расчет собственных средств (капитала) («Базель III») либо кодом формы по ОКУД 0409808 «Отчет об уровне достаточности капитала для покрытия рисков (публикуемая форма)»), опубликованной в информационно-телекоммуникационной сети «Интернет» (</w:t>
            </w:r>
            <w:hyperlink r:id="rId6">
              <w:r>
                <w:rPr>
                  <w:rStyle w:val="Hyperlink"/>
                  <w:rFonts w:eastAsia="Times New Roman" w:cs="Times New Roman"/>
                  <w:sz w:val="24"/>
                  <w:szCs w:val="24"/>
                  <w:lang w:eastAsia="ru-RU"/>
                </w:rPr>
                <w:t>www.cbr.ru</w:t>
              </w:r>
            </w:hyperlink>
            <w:r>
              <w:rPr>
                <w:rFonts w:eastAsia="Times New Roman" w:cs="Times New Roman"/>
                <w:sz w:val="24"/>
                <w:szCs w:val="24"/>
                <w:lang w:eastAsia="ru-RU"/>
              </w:rPr>
              <w:t>) на официальных сайтах ЦБ РФ и / или кредитной организации либо представленной кредитной организацией Обществу;</w:t>
            </w:r>
          </w:p>
        </w:tc>
      </w:tr>
      <w:tr>
        <w:trPr>
          <w:trHeight w:val="3894" w:hRule="atLeast"/>
        </w:trPr>
        <w:tc>
          <w:tcPr>
            <w:tcW w:w="817" w:type="dxa"/>
            <w:tcBorders/>
          </w:tcPr>
          <w:p>
            <w:pPr>
              <w:pStyle w:val="Normal"/>
              <w:widowControl w:val="false"/>
              <w:spacing w:lineRule="auto" w:line="240"/>
              <w:ind w:left="0" w:right="-108" w:hanging="0"/>
              <w:rPr>
                <w:b/>
                <w:i/>
                <w:i/>
                <w:color w:val="000000"/>
                <w:sz w:val="24"/>
                <w:szCs w:val="24"/>
              </w:rPr>
            </w:pPr>
            <w:r>
              <w:rPr>
                <w:b/>
                <w:i/>
                <w:color w:val="000000"/>
                <w:sz w:val="24"/>
                <w:szCs w:val="24"/>
              </w:rPr>
              <w:t>r</w:t>
            </w:r>
            <w:r>
              <w:rPr>
                <w:b/>
                <w:i/>
                <w:color w:val="000000"/>
                <w:sz w:val="24"/>
                <w:szCs w:val="24"/>
                <w:vertAlign w:val="subscript"/>
              </w:rPr>
              <w:t>i</w:t>
            </w:r>
          </w:p>
        </w:tc>
        <w:tc>
          <w:tcPr>
            <w:tcW w:w="280" w:type="dxa"/>
            <w:tcBorders/>
          </w:tcPr>
          <w:p>
            <w:pPr>
              <w:pStyle w:val="Normal"/>
              <w:widowControl w:val="false"/>
              <w:spacing w:lineRule="auto" w:line="240"/>
              <w:ind w:left="0" w:right="-108" w:hanging="0"/>
              <w:rPr>
                <w:sz w:val="24"/>
                <w:szCs w:val="24"/>
              </w:rPr>
            </w:pPr>
            <w:r>
              <w:rPr>
                <w:sz w:val="24"/>
                <w:szCs w:val="24"/>
              </w:rPr>
              <w:t>-</w:t>
            </w:r>
          </w:p>
        </w:tc>
        <w:tc>
          <w:tcPr>
            <w:tcW w:w="8509" w:type="dxa"/>
            <w:tcBorders/>
          </w:tcPr>
          <w:p>
            <w:pPr>
              <w:pStyle w:val="Normal"/>
              <w:widowControl w:val="false"/>
              <w:tabs>
                <w:tab w:val="left" w:pos="709" w:leader="none"/>
                <w:tab w:val="left" w:pos="851" w:leader="none"/>
              </w:tabs>
              <w:suppressAutoHyphens w:val="true"/>
              <w:overflowPunct w:val="false"/>
              <w:bidi w:val="0"/>
              <w:spacing w:lineRule="auto" w:line="240" w:before="0" w:after="0"/>
              <w:ind w:left="680" w:right="0" w:hanging="0"/>
              <w:jc w:val="both"/>
              <w:rPr/>
            </w:pPr>
            <w:r>
              <w:rPr>
                <w:rFonts w:eastAsia="Times New Roman" w:cs="Times New Roman"/>
                <w:sz w:val="24"/>
                <w:szCs w:val="24"/>
                <w:lang w:eastAsia="ru-RU"/>
              </w:rPr>
              <w:t>рейтинговый коэффициент</w:t>
            </w:r>
            <w:r>
              <w:rPr>
                <w:rStyle w:val="FootnoteReference"/>
                <w:rFonts w:eastAsia="Times New Roman" w:cs="Times New Roman"/>
                <w:sz w:val="24"/>
                <w:szCs w:val="24"/>
                <w:lang w:eastAsia="ru-RU"/>
              </w:rPr>
              <w:footnoteReference w:id="17"/>
            </w:r>
            <w:r>
              <w:rPr>
                <w:rFonts w:eastAsia="Times New Roman" w:cs="Times New Roman"/>
                <w:sz w:val="24"/>
                <w:szCs w:val="24"/>
                <w:lang w:eastAsia="ru-RU"/>
              </w:rPr>
              <w:t xml:space="preserve"> для i-ой кредитной организации, равный:</w:t>
            </w:r>
          </w:p>
          <w:p>
            <w:pPr>
              <w:pStyle w:val="Normal"/>
              <w:widowControl w:val="false"/>
              <w:tabs>
                <w:tab w:val="left" w:pos="709" w:leader="none"/>
                <w:tab w:val="left" w:pos="851" w:leader="none"/>
              </w:tabs>
              <w:spacing w:lineRule="auto" w:line="240" w:before="0" w:after="0"/>
              <w:ind w:left="0" w:right="-108" w:firstLine="709"/>
              <w:jc w:val="both"/>
              <w:rPr>
                <w:sz w:val="24"/>
                <w:szCs w:val="24"/>
              </w:rPr>
            </w:pPr>
            <w:r>
              <w:rPr>
                <w:rFonts w:eastAsia="Times New Roman" w:cs="Times New Roman"/>
                <w:b/>
                <w:sz w:val="24"/>
                <w:szCs w:val="24"/>
                <w:lang w:eastAsia="ru-RU"/>
              </w:rPr>
              <w:t>0,075</w:t>
            </w:r>
            <w:r>
              <w:rPr>
                <w:rFonts w:eastAsia="Times New Roman" w:cs="Times New Roman"/>
                <w:sz w:val="24"/>
                <w:szCs w:val="24"/>
                <w:lang w:eastAsia="ru-RU"/>
              </w:rPr>
              <w:t xml:space="preserve"> - если i-ая кредитная организация имеет национальный рейтинг кредитоспособности не ниже уровня </w:t>
            </w:r>
            <w:r>
              <w:rPr>
                <w:rFonts w:eastAsia="Times New Roman" w:cs="Times New Roman"/>
                <w:b/>
                <w:sz w:val="24"/>
                <w:szCs w:val="24"/>
                <w:lang w:eastAsia="ru-RU"/>
              </w:rPr>
              <w:t>«АА-»</w:t>
            </w:r>
            <w:r>
              <w:rPr>
                <w:rFonts w:eastAsia="Times New Roman" w:cs="Times New Roman"/>
                <w:sz w:val="24"/>
                <w:szCs w:val="24"/>
                <w:lang w:eastAsia="ru-RU"/>
              </w:rPr>
              <w:t xml:space="preserve">по классификации рейтингового агентства АКРА или не ниже уровня </w:t>
            </w:r>
            <w:r>
              <w:rPr>
                <w:rFonts w:eastAsia="Times New Roman" w:cs="Times New Roman"/>
                <w:b/>
                <w:sz w:val="24"/>
                <w:szCs w:val="24"/>
                <w:lang w:eastAsia="ru-RU"/>
              </w:rPr>
              <w:t>«</w:t>
            </w:r>
            <w:r>
              <w:rPr>
                <w:rFonts w:eastAsia="Times New Roman" w:cs="Times New Roman"/>
                <w:b/>
                <w:sz w:val="24"/>
                <w:szCs w:val="24"/>
                <w:lang w:val="en-US" w:eastAsia="ru-RU"/>
              </w:rPr>
              <w:t>ru</w:t>
            </w:r>
            <w:r>
              <w:rPr>
                <w:rFonts w:eastAsia="Times New Roman" w:cs="Times New Roman"/>
                <w:b/>
                <w:sz w:val="24"/>
                <w:szCs w:val="24"/>
                <w:lang w:eastAsia="ru-RU"/>
              </w:rPr>
              <w:t>А</w:t>
            </w:r>
            <w:r>
              <w:rPr>
                <w:rFonts w:eastAsia="Times New Roman" w:cs="Times New Roman"/>
                <w:b/>
                <w:sz w:val="24"/>
                <w:szCs w:val="24"/>
                <w:lang w:val="en-US" w:eastAsia="ru-RU"/>
              </w:rPr>
              <w:t>A</w:t>
            </w:r>
            <w:r>
              <w:rPr>
                <w:rFonts w:eastAsia="Times New Roman" w:cs="Times New Roman"/>
                <w:b/>
                <w:sz w:val="24"/>
                <w:szCs w:val="24"/>
                <w:lang w:eastAsia="ru-RU"/>
              </w:rPr>
              <w:t>-»</w:t>
            </w:r>
            <w:r>
              <w:rPr>
                <w:rFonts w:eastAsia="Times New Roman" w:cs="Times New Roman"/>
                <w:sz w:val="24"/>
                <w:szCs w:val="24"/>
                <w:lang w:eastAsia="ru-RU"/>
              </w:rPr>
              <w:t xml:space="preserve"> по классификации рейтингового агентства Эксперт РА;</w:t>
            </w:r>
          </w:p>
          <w:p>
            <w:pPr>
              <w:pStyle w:val="Normal"/>
              <w:widowControl w:val="false"/>
              <w:tabs>
                <w:tab w:val="left" w:pos="709" w:leader="none"/>
                <w:tab w:val="left" w:pos="851" w:leader="none"/>
              </w:tabs>
              <w:spacing w:lineRule="auto" w:line="240" w:before="0" w:after="0"/>
              <w:ind w:left="0" w:right="-108" w:firstLine="709"/>
              <w:jc w:val="both"/>
              <w:rPr>
                <w:sz w:val="24"/>
                <w:szCs w:val="24"/>
              </w:rPr>
            </w:pPr>
            <w:r>
              <w:rPr>
                <w:rFonts w:eastAsia="Times New Roman" w:cs="Times New Roman"/>
                <w:b/>
                <w:sz w:val="24"/>
                <w:szCs w:val="24"/>
                <w:lang w:eastAsia="ru-RU"/>
              </w:rPr>
              <w:t>0,05</w:t>
            </w:r>
            <w:r>
              <w:rPr>
                <w:rFonts w:eastAsia="Times New Roman" w:cs="Times New Roman"/>
                <w:sz w:val="24"/>
                <w:szCs w:val="24"/>
                <w:lang w:eastAsia="ru-RU"/>
              </w:rPr>
              <w:t xml:space="preserve"> - если i-ая кредитная организация имеет национальный рейтинг кредитоспособности не ниже уровня </w:t>
            </w:r>
            <w:r>
              <w:rPr>
                <w:rFonts w:eastAsia="Times New Roman" w:cs="Times New Roman"/>
                <w:b/>
                <w:sz w:val="24"/>
                <w:szCs w:val="24"/>
                <w:lang w:eastAsia="ru-RU"/>
              </w:rPr>
              <w:t>«А-»</w:t>
            </w:r>
            <w:r>
              <w:rPr>
                <w:rFonts w:eastAsia="Times New Roman" w:cs="Times New Roman"/>
                <w:sz w:val="24"/>
                <w:szCs w:val="24"/>
                <w:lang w:eastAsia="ru-RU"/>
              </w:rPr>
              <w:t xml:space="preserve"> по классификации рейтингового агентства АКРА или не ниже уровня </w:t>
            </w:r>
            <w:r>
              <w:rPr>
                <w:rFonts w:eastAsia="Times New Roman" w:cs="Times New Roman"/>
                <w:b/>
                <w:sz w:val="24"/>
                <w:szCs w:val="24"/>
                <w:lang w:eastAsia="ru-RU"/>
              </w:rPr>
              <w:t>«ruA-»</w:t>
            </w:r>
            <w:r>
              <w:rPr>
                <w:rFonts w:eastAsia="Times New Roman" w:cs="Times New Roman"/>
                <w:sz w:val="24"/>
                <w:szCs w:val="24"/>
                <w:lang w:eastAsia="ru-RU"/>
              </w:rPr>
              <w:t xml:space="preserve"> по классификации рейтингового агентства Эксперт РА;</w:t>
            </w:r>
          </w:p>
          <w:p>
            <w:pPr>
              <w:pStyle w:val="Normal"/>
              <w:widowControl w:val="false"/>
              <w:tabs>
                <w:tab w:val="clear" w:pos="709"/>
                <w:tab w:val="left" w:pos="7130" w:leader="none"/>
              </w:tabs>
              <w:spacing w:lineRule="auto" w:line="240"/>
              <w:ind w:left="0" w:right="-108" w:firstLine="567"/>
              <w:rPr>
                <w:sz w:val="24"/>
                <w:szCs w:val="24"/>
              </w:rPr>
            </w:pPr>
            <w:r>
              <w:rPr>
                <w:rFonts w:eastAsia="Times New Roman" w:cs="Times New Roman"/>
                <w:b/>
                <w:sz w:val="24"/>
                <w:szCs w:val="24"/>
                <w:lang w:eastAsia="ru-RU"/>
              </w:rPr>
              <w:t>0,025</w:t>
            </w:r>
            <w:r>
              <w:rPr>
                <w:rFonts w:eastAsia="Times New Roman" w:cs="Times New Roman"/>
                <w:sz w:val="24"/>
                <w:szCs w:val="24"/>
                <w:lang w:eastAsia="ru-RU"/>
              </w:rPr>
              <w:t xml:space="preserve"> - если i-ая кредитная организация имеет национальный рейтинг кредитоспособности не ниже уровня </w:t>
            </w:r>
            <w:r>
              <w:rPr>
                <w:rFonts w:eastAsia="Times New Roman" w:cs="Times New Roman"/>
                <w:b/>
                <w:sz w:val="24"/>
                <w:szCs w:val="24"/>
                <w:lang w:eastAsia="ru-RU"/>
              </w:rPr>
              <w:t>«</w:t>
            </w:r>
            <w:r>
              <w:rPr>
                <w:rFonts w:eastAsia="Times New Roman" w:cs="Times New Roman"/>
                <w:b/>
                <w:sz w:val="24"/>
                <w:szCs w:val="24"/>
                <w:lang w:val="en-US" w:eastAsia="ru-RU"/>
              </w:rPr>
              <w:t>BB</w:t>
            </w:r>
            <w:r>
              <w:rPr>
                <w:rFonts w:eastAsia="Times New Roman" w:cs="Times New Roman"/>
                <w:b/>
                <w:sz w:val="24"/>
                <w:szCs w:val="24"/>
                <w:lang w:eastAsia="ru-RU"/>
              </w:rPr>
              <w:t>В»</w:t>
            </w:r>
            <w:r>
              <w:rPr>
                <w:rFonts w:eastAsia="Times New Roman" w:cs="Times New Roman"/>
                <w:sz w:val="24"/>
                <w:szCs w:val="24"/>
                <w:lang w:eastAsia="ru-RU"/>
              </w:rPr>
              <w:t xml:space="preserve"> по классификации рейтингового агентства АКРА или не ниже уровня «</w:t>
            </w:r>
            <w:r>
              <w:rPr>
                <w:rFonts w:eastAsia="Times New Roman" w:cs="Times New Roman"/>
                <w:sz w:val="24"/>
                <w:szCs w:val="24"/>
                <w:lang w:val="en-US" w:eastAsia="ru-RU"/>
              </w:rPr>
              <w:t>ruBB</w:t>
            </w:r>
            <w:r>
              <w:rPr>
                <w:rFonts w:eastAsia="Times New Roman" w:cs="Times New Roman"/>
                <w:sz w:val="24"/>
                <w:szCs w:val="24"/>
                <w:lang w:eastAsia="ru-RU"/>
              </w:rPr>
              <w:t>В» по классификации рейтингового агентства Эксперт РА, а также находится в процессе финансового оздоровления (санации).</w:t>
            </w:r>
          </w:p>
        </w:tc>
      </w:tr>
    </w:tbl>
    <w:p>
      <w:pPr>
        <w:pStyle w:val="Normal"/>
        <w:widowControl/>
        <w:tabs>
          <w:tab w:val="clear" w:pos="709"/>
          <w:tab w:val="left" w:pos="1134" w:leader="none"/>
        </w:tabs>
        <w:ind w:firstLine="709"/>
        <w:jc w:val="center"/>
        <w:rPr>
          <w:sz w:val="24"/>
          <w:szCs w:val="24"/>
          <w:lang w:val="en-GB"/>
        </w:rPr>
      </w:pPr>
      <w:r>
        <w:rPr>
          <w:sz w:val="24"/>
          <w:szCs w:val="24"/>
          <w:lang w:val="en-GB"/>
        </w:rPr>
      </w:r>
    </w:p>
    <w:p>
      <w:pPr>
        <w:pStyle w:val="Normal"/>
        <w:widowControl/>
        <w:tabs>
          <w:tab w:val="clear" w:pos="709"/>
          <w:tab w:val="left" w:pos="1134" w:leader="none"/>
        </w:tabs>
        <w:ind w:firstLine="709"/>
        <w:jc w:val="center"/>
        <w:rPr>
          <w:sz w:val="24"/>
          <w:szCs w:val="24"/>
          <w:lang w:val="en-GB"/>
        </w:rPr>
      </w:pPr>
      <w:r>
        <w:rPr>
          <w:sz w:val="24"/>
          <w:szCs w:val="24"/>
          <w:lang w:val="en-GB"/>
        </w:rPr>
      </w:r>
    </w:p>
    <w:p>
      <w:pPr>
        <w:pStyle w:val="Normal"/>
        <w:widowControl/>
        <w:tabs>
          <w:tab w:val="clear" w:pos="709"/>
          <w:tab w:val="left" w:pos="1425" w:leader="none"/>
        </w:tabs>
        <w:rPr>
          <w:sz w:val="24"/>
          <w:szCs w:val="24"/>
        </w:rPr>
      </w:pPr>
      <w:r>
        <w:rPr>
          <w:sz w:val="24"/>
          <w:szCs w:val="24"/>
        </w:rPr>
      </w:r>
    </w:p>
    <w:tbl>
      <w:tblPr>
        <w:tblW w:w="1375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961"/>
        <w:gridCol w:w="8789"/>
      </w:tblGrid>
      <w:tr>
        <w:trPr/>
        <w:tc>
          <w:tcPr>
            <w:tcW w:w="4961" w:type="dxa"/>
            <w:tcBorders/>
          </w:tcPr>
          <w:p>
            <w:pPr>
              <w:pStyle w:val="Normal"/>
              <w:widowControl w:val="false"/>
              <w:rPr>
                <w:b/>
                <w:sz w:val="24"/>
                <w:szCs w:val="24"/>
                <w:lang w:val="en-GB"/>
              </w:rPr>
            </w:pPr>
            <w:r>
              <w:rPr>
                <w:b/>
                <w:sz w:val="24"/>
                <w:szCs w:val="24"/>
              </w:rPr>
              <w:t>Покупатель</w:t>
            </w:r>
            <w:r>
              <w:rPr>
                <w:b/>
                <w:sz w:val="24"/>
                <w:szCs w:val="24"/>
                <w:lang w:val="en-GB"/>
              </w:rPr>
              <w:t>:</w:t>
            </w:r>
          </w:p>
        </w:tc>
        <w:tc>
          <w:tcPr>
            <w:tcW w:w="8789" w:type="dxa"/>
            <w:tcBorders/>
          </w:tcPr>
          <w:p>
            <w:pPr>
              <w:pStyle w:val="Normal"/>
              <w:widowControl w:val="false"/>
              <w:rPr>
                <w:b/>
                <w:sz w:val="24"/>
                <w:szCs w:val="24"/>
                <w:lang w:val="en-GB"/>
              </w:rPr>
            </w:pPr>
            <w:r>
              <w:rPr>
                <w:b/>
                <w:sz w:val="24"/>
                <w:szCs w:val="24"/>
              </w:rPr>
              <w:t>Поставщик</w:t>
            </w:r>
            <w:r>
              <w:rPr>
                <w:b/>
                <w:sz w:val="24"/>
                <w:szCs w:val="24"/>
                <w:lang w:val="en-GB"/>
              </w:rPr>
              <w:t>:</w:t>
            </w:r>
          </w:p>
        </w:tc>
      </w:tr>
      <w:tr>
        <w:trPr/>
        <w:tc>
          <w:tcPr>
            <w:tcW w:w="4961" w:type="dxa"/>
            <w:tcBorders/>
          </w:tcPr>
          <w:p>
            <w:pPr>
              <w:pStyle w:val="Normal"/>
              <w:widowControl w:val="false"/>
              <w:rPr>
                <w:sz w:val="22"/>
                <w:szCs w:val="22"/>
                <w:lang w:val="en-GB"/>
              </w:rPr>
            </w:pPr>
            <w:r>
              <w:rPr>
                <w:sz w:val="22"/>
                <w:szCs w:val="22"/>
                <w:lang w:val="en-GB"/>
              </w:rPr>
            </w:r>
          </w:p>
          <w:p>
            <w:pPr>
              <w:pStyle w:val="Normal"/>
              <w:widowControl w:val="false"/>
              <w:rPr>
                <w:sz w:val="22"/>
                <w:szCs w:val="22"/>
                <w:lang w:val="en-GB"/>
              </w:rPr>
            </w:pPr>
            <w:r>
              <w:rPr>
                <w:sz w:val="22"/>
                <w:szCs w:val="22"/>
                <w:lang w:val="en-GB"/>
              </w:rPr>
              <w:t xml:space="preserve">_______________ / _______________ </w:t>
            </w:r>
          </w:p>
        </w:tc>
        <w:tc>
          <w:tcPr>
            <w:tcW w:w="8789" w:type="dxa"/>
            <w:tcBorders/>
          </w:tcPr>
          <w:p>
            <w:pPr>
              <w:pStyle w:val="Normal"/>
              <w:widowControl w:val="false"/>
              <w:rPr>
                <w:sz w:val="22"/>
                <w:szCs w:val="22"/>
                <w:lang w:val="en-GB"/>
              </w:rPr>
            </w:pPr>
            <w:r>
              <w:rPr>
                <w:sz w:val="22"/>
                <w:szCs w:val="22"/>
                <w:lang w:val="en-GB"/>
              </w:rPr>
            </w:r>
          </w:p>
          <w:p>
            <w:pPr>
              <w:pStyle w:val="Normal"/>
              <w:widowControl w:val="false"/>
              <w:rPr>
                <w:sz w:val="22"/>
                <w:szCs w:val="22"/>
                <w:lang w:val="en-GB"/>
              </w:rPr>
            </w:pPr>
            <w:r>
              <w:rPr>
                <w:sz w:val="22"/>
                <w:szCs w:val="22"/>
                <w:lang w:val="en-GB"/>
              </w:rPr>
              <w:t xml:space="preserve">_______________ / _______________ </w:t>
            </w:r>
          </w:p>
          <w:p>
            <w:pPr>
              <w:pStyle w:val="Normal"/>
              <w:widowControl w:val="false"/>
              <w:rPr>
                <w:sz w:val="22"/>
                <w:szCs w:val="22"/>
                <w:lang w:val="en-GB"/>
              </w:rPr>
            </w:pPr>
            <w:r>
              <w:rPr>
                <w:sz w:val="22"/>
                <w:szCs w:val="22"/>
                <w:lang w:val="en-GB"/>
              </w:rPr>
            </w:r>
          </w:p>
          <w:p>
            <w:pPr>
              <w:pStyle w:val="Normal"/>
              <w:widowControl w:val="false"/>
              <w:rPr>
                <w:sz w:val="22"/>
                <w:szCs w:val="22"/>
                <w:lang w:val="en-GB"/>
              </w:rPr>
            </w:pPr>
            <w:r>
              <w:rPr>
                <w:sz w:val="22"/>
                <w:szCs w:val="22"/>
                <w:lang w:val="en-GB"/>
              </w:rPr>
            </w:r>
          </w:p>
        </w:tc>
      </w:tr>
    </w:tbl>
    <w:p>
      <w:pPr>
        <w:pStyle w:val="Normal"/>
        <w:suppressAutoHyphens w:val="true"/>
        <w:ind w:right="96" w:firstLine="6237"/>
        <w:rPr>
          <w:sz w:val="24"/>
          <w:szCs w:val="24"/>
        </w:rPr>
      </w:pPr>
      <w:r>
        <w:rPr>
          <w:sz w:val="24"/>
          <w:szCs w:val="24"/>
        </w:rPr>
      </w:r>
    </w:p>
    <w:p>
      <w:pPr>
        <w:pStyle w:val="Normal"/>
        <w:widowControl/>
        <w:rPr>
          <w:sz w:val="24"/>
          <w:szCs w:val="24"/>
        </w:rPr>
      </w:pPr>
      <w:r>
        <w:rPr>
          <w:sz w:val="24"/>
          <w:szCs w:val="24"/>
        </w:rPr>
      </w:r>
      <w:r>
        <w:br w:type="page"/>
      </w:r>
    </w:p>
    <w:p>
      <w:pPr>
        <w:pStyle w:val="Normal"/>
        <w:suppressAutoHyphens w:val="true"/>
        <w:ind w:right="96" w:firstLine="5529"/>
        <w:rPr>
          <w:sz w:val="22"/>
          <w:szCs w:val="22"/>
        </w:rPr>
      </w:pPr>
      <w:r>
        <w:rPr>
          <w:sz w:val="22"/>
          <w:szCs w:val="22"/>
        </w:rPr>
        <w:t>Приложение № 4</w:t>
      </w:r>
    </w:p>
    <w:p>
      <w:pPr>
        <w:pStyle w:val="Normal"/>
        <w:suppressAutoHyphens w:val="true"/>
        <w:ind w:right="96" w:firstLine="5529"/>
        <w:rPr>
          <w:sz w:val="22"/>
          <w:szCs w:val="22"/>
        </w:rPr>
      </w:pPr>
      <w:r>
        <w:rPr>
          <w:sz w:val="22"/>
          <w:szCs w:val="22"/>
        </w:rPr>
        <w:t>к Договору поставки</w:t>
      </w:r>
    </w:p>
    <w:p>
      <w:pPr>
        <w:pStyle w:val="Normal"/>
        <w:ind w:firstLine="5529"/>
        <w:rPr>
          <w:bCs/>
          <w:sz w:val="24"/>
          <w:szCs w:val="24"/>
        </w:rPr>
      </w:pPr>
      <w:r>
        <w:rPr>
          <w:sz w:val="22"/>
          <w:szCs w:val="22"/>
        </w:rPr>
        <w:t>от «____» __________ 20 _ г.</w:t>
      </w:r>
      <w:r>
        <w:rPr>
          <w:sz w:val="24"/>
          <w:szCs w:val="24"/>
        </w:rPr>
        <w:t xml:space="preserve"> № _____</w:t>
      </w:r>
    </w:p>
    <w:p>
      <w:pPr>
        <w:pStyle w:val="Normal"/>
        <w:widowControl/>
        <w:shd w:val="clear" w:color="auto" w:fill="FFFFFF"/>
        <w:tabs>
          <w:tab w:val="clear" w:pos="709"/>
          <w:tab w:val="left" w:pos="1418" w:leader="none"/>
        </w:tabs>
        <w:spacing w:before="0" w:after="0"/>
        <w:contextualSpacing/>
        <w:jc w:val="center"/>
        <w:rPr>
          <w:bCs/>
          <w:sz w:val="24"/>
          <w:szCs w:val="24"/>
        </w:rPr>
      </w:pPr>
      <w:r>
        <w:rPr>
          <w:bCs/>
          <w:sz w:val="24"/>
          <w:szCs w:val="24"/>
        </w:rPr>
      </w:r>
    </w:p>
    <w:p>
      <w:pPr>
        <w:pStyle w:val="Normal"/>
        <w:widowControl/>
        <w:suppressAutoHyphens w:val="true"/>
        <w:spacing w:lineRule="auto" w:line="259"/>
        <w:rPr>
          <w:rFonts w:eastAsia="Calibri"/>
          <w:sz w:val="24"/>
          <w:szCs w:val="24"/>
          <w:lang w:eastAsia="en-US"/>
        </w:rPr>
      </w:pPr>
      <w:r>
        <w:rPr>
          <w:rFonts w:eastAsia="Calibri"/>
          <w:sz w:val="24"/>
          <w:szCs w:val="24"/>
          <w:lang w:eastAsia="en-US"/>
        </w:rPr>
      </w:r>
    </w:p>
    <w:p>
      <w:pPr>
        <w:pStyle w:val="Normal"/>
        <w:jc w:val="center"/>
        <w:rPr>
          <w:b/>
          <w:bCs/>
          <w:sz w:val="24"/>
          <w:szCs w:val="24"/>
        </w:rPr>
      </w:pPr>
      <w:r>
        <w:rPr>
          <w:b/>
          <w:bCs/>
          <w:sz w:val="24"/>
          <w:szCs w:val="24"/>
        </w:rPr>
        <w:t>Размер ответственности Поставщика за нарушения</w:t>
      </w:r>
    </w:p>
    <w:p>
      <w:pPr>
        <w:pStyle w:val="Normal"/>
        <w:jc w:val="center"/>
        <w:rPr>
          <w:b/>
          <w:bCs/>
          <w:sz w:val="24"/>
          <w:szCs w:val="24"/>
        </w:rPr>
      </w:pPr>
      <w:r>
        <w:rPr>
          <w:b/>
          <w:bCs/>
          <w:sz w:val="24"/>
          <w:szCs w:val="24"/>
        </w:rPr>
        <w:t>пропускного и внутриобъектового режима, требований охраны труда,</w:t>
      </w:r>
    </w:p>
    <w:p>
      <w:pPr>
        <w:pStyle w:val="Normal"/>
        <w:jc w:val="center"/>
        <w:rPr>
          <w:b/>
          <w:sz w:val="24"/>
          <w:szCs w:val="24"/>
        </w:rPr>
      </w:pPr>
      <w:r>
        <w:rPr>
          <w:b/>
          <w:bCs/>
          <w:sz w:val="24"/>
          <w:szCs w:val="24"/>
        </w:rPr>
        <w:t>пожарной и промышленной безопасности</w:t>
      </w:r>
    </w:p>
    <w:p>
      <w:pPr>
        <w:pStyle w:val="Normal"/>
        <w:rPr>
          <w:b/>
          <w:sz w:val="24"/>
          <w:szCs w:val="24"/>
        </w:rPr>
      </w:pPr>
      <w:r>
        <w:rPr>
          <w:b/>
          <w:sz w:val="24"/>
          <w:szCs w:val="24"/>
        </w:rPr>
      </w:r>
    </w:p>
    <w:tbl>
      <w:tblPr>
        <w:tblW w:w="5000" w:type="pct"/>
        <w:jc w:val="left"/>
        <w:tblInd w:w="0" w:type="dxa"/>
        <w:tblLayout w:type="fixed"/>
        <w:tblCellMar>
          <w:top w:w="0" w:type="dxa"/>
          <w:left w:w="108" w:type="dxa"/>
          <w:bottom w:w="0" w:type="dxa"/>
          <w:right w:w="108" w:type="dxa"/>
        </w:tblCellMar>
        <w:tblLook w:val="01e0" w:noHBand="0" w:noVBand="0" w:firstColumn="1" w:lastRow="1" w:lastColumn="1" w:firstRow="1"/>
      </w:tblPr>
      <w:tblGrid>
        <w:gridCol w:w="3670"/>
        <w:gridCol w:w="5966"/>
      </w:tblGrid>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Виды нарушений</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Штрафные санкции</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 Нарушение правил пожарной безопасности (ППБ):</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1.1. Нарушение ППБ без возникновения пожара</w:t>
            </w:r>
          </w:p>
          <w:p>
            <w:pPr>
              <w:pStyle w:val="Normal"/>
              <w:widowControl w:val="false"/>
              <w:jc w:val="both"/>
              <w:rPr>
                <w:b/>
                <w:sz w:val="24"/>
                <w:szCs w:val="24"/>
              </w:rPr>
            </w:pPr>
            <w:r>
              <w:rPr>
                <w:b/>
                <w:sz w:val="24"/>
                <w:szCs w:val="24"/>
              </w:rPr>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25 000 (Двадцать пять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50 000 (Пятьдесят тысяч) рублей за каждый случай нарушения.</w:t>
            </w:r>
          </w:p>
          <w:p>
            <w:pPr>
              <w:pStyle w:val="Normal"/>
              <w:widowControl w:val="false"/>
              <w:jc w:val="both"/>
              <w:rPr>
                <w:sz w:val="24"/>
                <w:szCs w:val="24"/>
              </w:rPr>
            </w:pPr>
            <w:r>
              <w:rPr>
                <w:sz w:val="24"/>
                <w:szCs w:val="24"/>
              </w:rPr>
              <w:t xml:space="preserve">Сумма штрафа, установленная настоящим пунктом, увеличивается на 100 (Сто) процентов по отношению </w:t>
              <w:br/>
              <w:t>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250 000 (Двести пятьдесят тысяч) рублей за каждый случай нарушения.</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- 50 000 (Пятьдесят тысяч) рублей за каждый случай нарушения;</w:t>
            </w:r>
          </w:p>
          <w:p>
            <w:pPr>
              <w:pStyle w:val="Normal"/>
              <w:widowControl w:val="false"/>
              <w:jc w:val="both"/>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pPr>
              <w:pStyle w:val="Normal"/>
              <w:widowControl w:val="false"/>
              <w:jc w:val="both"/>
              <w:rPr>
                <w:sz w:val="24"/>
                <w:szCs w:val="24"/>
              </w:rPr>
            </w:pPr>
            <w:r>
              <w:rPr>
                <w:sz w:val="24"/>
                <w:szCs w:val="24"/>
              </w:rPr>
              <w:t xml:space="preserve">Сумма штрафа, установленная настоящим пунктом, увеличивается на 100 (Сто) процентов по отношению </w:t>
              <w:br/>
              <w:t>к предыдущему случаю за каждое следующее нарушение.</w:t>
            </w:r>
          </w:p>
        </w:tc>
      </w:tr>
    </w:tbl>
    <w:p>
      <w:pPr>
        <w:pStyle w:val="Normal"/>
        <w:ind w:left="5103" w:hanging="0"/>
        <w:rPr>
          <w:sz w:val="24"/>
          <w:szCs w:val="24"/>
        </w:rPr>
      </w:pPr>
      <w:r>
        <w:rPr>
          <w:sz w:val="24"/>
          <w:szCs w:val="24"/>
        </w:rPr>
      </w:r>
    </w:p>
    <w:p>
      <w:pPr>
        <w:pStyle w:val="Normal"/>
        <w:ind w:left="5103" w:hanging="0"/>
        <w:rPr>
          <w:sz w:val="24"/>
          <w:szCs w:val="24"/>
        </w:rPr>
      </w:pPr>
      <w:r>
        <w:rPr>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hanging="0"/>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HBand="0" w:noVBand="1" w:firstColumn="1" w:lastRow="0" w:lastColumn="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rPr>
                <w:sz w:val="24"/>
                <w:szCs w:val="24"/>
              </w:rPr>
            </w:pPr>
            <w:r>
              <w:rPr>
                <w:sz w:val="24"/>
                <w:szCs w:val="24"/>
              </w:rPr>
            </w:r>
          </w:p>
        </w:tc>
        <w:tc>
          <w:tcPr>
            <w:tcW w:w="4819" w:type="dxa"/>
            <w:tcBorders/>
            <w:shd w:color="auto" w:fill="auto" w:val="clear"/>
          </w:tcPr>
          <w:p>
            <w:pPr>
              <w:pStyle w:val="Normal"/>
              <w:widowControl w:val="false"/>
              <w:ind w:firstLine="34"/>
              <w:rPr>
                <w:b/>
                <w:sz w:val="24"/>
                <w:szCs w:val="24"/>
              </w:rPr>
            </w:pPr>
            <w:r>
              <w:rPr>
                <w:b/>
                <w:sz w:val="24"/>
                <w:szCs w:val="24"/>
              </w:rPr>
              <w:t>Поставщик:</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ind w:firstLine="33"/>
              <w:rPr>
                <w:b/>
                <w:sz w:val="24"/>
                <w:szCs w:val="24"/>
              </w:rPr>
            </w:pPr>
            <w:r>
              <w:rPr>
                <w:b/>
                <w:sz w:val="24"/>
                <w:szCs w:val="24"/>
              </w:rPr>
            </w:r>
          </w:p>
        </w:tc>
      </w:tr>
    </w:tbl>
    <w:p>
      <w:pPr>
        <w:pStyle w:val="Normal"/>
        <w:ind w:left="5103" w:hanging="0"/>
        <w:rPr>
          <w:b/>
          <w:bCs/>
          <w:sz w:val="24"/>
          <w:szCs w:val="24"/>
        </w:rPr>
      </w:pPr>
      <w:r>
        <w:rPr>
          <w:b/>
          <w:bCs/>
          <w:sz w:val="24"/>
          <w:szCs w:val="24"/>
        </w:rPr>
      </w:r>
    </w:p>
    <w:p>
      <w:pPr>
        <w:pStyle w:val="Normal"/>
        <w:widowControl/>
        <w:rPr>
          <w:b/>
          <w:bCs/>
          <w:sz w:val="24"/>
          <w:szCs w:val="24"/>
        </w:rPr>
      </w:pPr>
      <w:r>
        <w:rPr/>
      </w:r>
    </w:p>
    <w:sectPr>
      <w:headerReference w:type="default" r:id="rId7"/>
      <w:headerReference w:type="first" r:id="rId8"/>
      <w:footerReference w:type="default" r:id="rId9"/>
      <w:footerReference w:type="first" r:id="rId10"/>
      <w:footnotePr>
        <w:numFmt w:val="decimal"/>
      </w:footnotePr>
      <w:type w:val="nextPage"/>
      <w:pgSz w:w="11906" w:h="16838"/>
      <w:pgMar w:left="1418" w:right="851" w:gutter="0" w:header="567" w:top="1134" w:footer="314" w:bottom="851"/>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Courier New">
    <w:charset w:val="01"/>
    <w:family w:val="roman"/>
    <w:pitch w:val="variable"/>
  </w:font>
  <w:font w:name="Tahoma">
    <w:charset w:val="01"/>
    <w:family w:val="roman"/>
    <w:pitch w:val="variable"/>
  </w:font>
  <w:font w:name="Verdana">
    <w:charset w:val="01"/>
    <w:family w:val="roman"/>
    <w:pitch w:val="variable"/>
  </w:font>
  <w:font w:name="Calibri">
    <w:charset w:val="01"/>
    <w:family w:val="roman"/>
    <w:pitch w:val="variable"/>
  </w:font>
  <w:font w:name="Times New Roman">
    <w:altName w:val="serif"/>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19</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sz w:val="24"/>
        <w:szCs w:val="24"/>
      </w:rPr>
      <w:fldChar w:fldCharType="begin"/>
    </w:r>
    <w:r>
      <w:rPr>
        <w:sz w:val="24"/>
        <w:szCs w:val="24"/>
      </w:rPr>
      <w:instrText xml:space="preserve"> PAGE </w:instrText>
    </w:r>
    <w:r>
      <w:rPr>
        <w:sz w:val="24"/>
        <w:szCs w:val="24"/>
      </w:rPr>
      <w:fldChar w:fldCharType="separate"/>
    </w:r>
    <w:r>
      <w:rPr>
        <w:sz w:val="24"/>
        <w:szCs w:val="24"/>
      </w:rPr>
      <w:t>25</w:t>
    </w:r>
    <w:r>
      <w:rPr>
        <w:sz w:val="24"/>
        <w:szCs w:val="24"/>
      </w:rP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14"/>
        </w:rPr>
        <w:footnoteRef/>
      </w:r>
      <w:r>
        <w:rPr/>
        <w:t xml:space="preserve"> </w:t>
      </w:r>
      <w:r>
        <w:rPr/>
        <w:t xml:space="preserve">Указанное условие включается в Договор, если Договором предусмотрена поставка оборудования, входящего в перечень, утвержденный приказом Минпромторга России от 22.02.2022 № 544 «Об утверждении перечня оборудования, эксплуатируемого по итогам реализации проектов по модернизации, реконструкции или строительству генерирующих объектов тепловых электростанций, включенных в перечень генерирующих объектов тепловых электростанций, подлежащих модернизации (реконструкции) или строительству </w:t>
        <w:br/>
        <w:t>в неценовых зонах оптового рынка электрической энергии и мощности, в отношении которого необходимо получить заключение о подтверждении производства промышленной продукции на территории Российской Федерации» (или заменяющим его документом).</w:t>
      </w:r>
    </w:p>
  </w:footnote>
  <w:footnote w:id="3">
    <w:p>
      <w:pPr>
        <w:pStyle w:val="FootnoteText"/>
        <w:jc w:val="both"/>
        <w:rPr/>
      </w:pPr>
      <w:r>
        <w:rPr>
          <w:rStyle w:val="Style14"/>
        </w:rPr>
        <w:footnoteRef/>
      </w:r>
      <w:r>
        <w:rPr/>
        <w:t xml:space="preserve"> </w:t>
      </w:r>
      <w:r>
        <w:rPr/>
        <w:t>В случае непредоставления новой Банковской гарантии возврата авансового платежа.</w:t>
      </w:r>
    </w:p>
  </w:footnote>
  <w:footnote w:id="4">
    <w:p>
      <w:pPr>
        <w:pStyle w:val="FootnoteText"/>
        <w:jc w:val="both"/>
        <w:rPr/>
      </w:pPr>
      <w:r>
        <w:rPr>
          <w:rStyle w:val="Style14"/>
        </w:rPr>
        <w:footnoteRef/>
      </w:r>
      <w:r>
        <w:rPr/>
        <w:t xml:space="preserve"> </w:t>
      </w:r>
      <w:r>
        <w:rPr>
          <w:shd w:fill="auto" w:val="clear"/>
        </w:rPr>
        <w:t>Данный пункт применяется только в случае, если в отношении Контрагента (победителя закупки) введены санкции / ограничительные меры. Форма Дополнительного соглашения является типовой (ТФД № 12.3).</w:t>
      </w:r>
    </w:p>
  </w:footnote>
  <w:footnote w:id="5">
    <w:p>
      <w:pPr>
        <w:pStyle w:val="FootnoteText"/>
        <w:jc w:val="both"/>
        <w:rPr/>
      </w:pPr>
      <w:r>
        <w:rPr>
          <w:rStyle w:val="Style14"/>
        </w:rPr>
        <w:footnoteRef/>
      </w:r>
      <w:r>
        <w:rPr/>
        <w:t xml:space="preserve"> </w:t>
      </w:r>
      <w:r>
        <w:rPr/>
        <w:t>Указанное условие включается в Договор, если в пункте 4.8 Договора установлена обязанность Поставщика предоставить Покупателю копию(-и) заключения(-ий) о подтверждении производства Товара на территории Российской Федерации, выданного(-ых) Минпромторгом России в соответствии с постановлением Правительства Российской Федерации от 17.07.2015 № 719 «О подтверждении производства промышленной продукции на территории Российской Федерации».</w:t>
      </w:r>
    </w:p>
  </w:footnote>
  <w:footnote w:id="6">
    <w:p>
      <w:pPr>
        <w:pStyle w:val="FootnoteText"/>
        <w:jc w:val="both"/>
        <w:rPr/>
      </w:pPr>
      <w:r>
        <w:rPr>
          <w:rStyle w:val="Style14"/>
        </w:rPr>
        <w:footnoteRef/>
      </w:r>
      <w:r>
        <w:rPr/>
        <w:t xml:space="preserve"> </w:t>
      </w:r>
      <w:r>
        <w:rPr>
          <w:shd w:fill="auto" w:val="clear"/>
        </w:rPr>
        <w:t>Применяется в случае наличия между Сторонами заключенного соглашения о переходе на электронный</w:t>
      </w:r>
      <w:r>
        <w:rPr>
          <w:highlight w:val="lightGray"/>
        </w:rPr>
        <w:t xml:space="preserve"> </w:t>
      </w:r>
      <w:r>
        <w:rPr>
          <w:shd w:fill="auto" w:val="clear"/>
        </w:rPr>
        <w:t>юридически значимый документооборот (Соглашения об ЭДО).</w:t>
      </w:r>
    </w:p>
  </w:footnote>
  <w:footnote w:id="7">
    <w:p>
      <w:pPr>
        <w:pStyle w:val="FootnoteText"/>
        <w:jc w:val="both"/>
        <w:rPr/>
      </w:pPr>
      <w:r>
        <w:rPr>
          <w:rStyle w:val="Style14"/>
        </w:rPr>
        <w:footnoteRef/>
      </w:r>
      <w:r>
        <w:rPr/>
        <w:t xml:space="preserve"> </w:t>
      </w:r>
      <w:r>
        <w:rPr/>
        <w:t>В случае если Поставщик является СМП, уступка (передача) им прав (требований) к Покупателю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Покупателя, в котором не может быть необоснованно отказано.</w:t>
      </w:r>
    </w:p>
  </w:footnote>
  <w:footnote w:id="8">
    <w:p>
      <w:pPr>
        <w:pStyle w:val="FootnoteText"/>
        <w:jc w:val="both"/>
        <w:rPr/>
      </w:pPr>
      <w:r>
        <w:rPr>
          <w:rStyle w:val="Style14"/>
        </w:rPr>
        <w:footnoteRef/>
      </w:r>
      <w:r>
        <w:rPr/>
        <w:t xml:space="preserve"> </w:t>
      </w:r>
      <w:r>
        <w:rPr>
          <w:shd w:fill="auto" w:val="clear"/>
        </w:rPr>
        <w:t>Применяется в случае подписания собственноручно без использования усиленных квалифицированных электронных подписей (УКЭП).</w:t>
      </w:r>
    </w:p>
  </w:footnote>
  <w:footnote w:id="9">
    <w:p>
      <w:pPr>
        <w:pStyle w:val="FootnoteText"/>
        <w:jc w:val="both"/>
        <w:rPr/>
      </w:pPr>
      <w:r>
        <w:rPr>
          <w:rStyle w:val="Style14"/>
        </w:rPr>
        <w:footnoteRef/>
      </w:r>
      <w:r>
        <w:rPr/>
        <w:t xml:space="preserve"> </w:t>
      </w:r>
      <w:r>
        <w:rPr/>
        <w:t xml:space="preserve">В соответствии с Общероссийским классификатором стран мира (утв. постановлением Госстандарта России </w:t>
        <w:br/>
        <w:t>от 14.12.2001 № 529-ст).</w:t>
      </w:r>
    </w:p>
  </w:footnote>
  <w:footnote w:id="10">
    <w:p>
      <w:pPr>
        <w:pStyle w:val="FootnoteText"/>
        <w:jc w:val="both"/>
        <w:rPr/>
      </w:pPr>
      <w:r>
        <w:rPr>
          <w:rStyle w:val="Style14"/>
        </w:rPr>
        <w:footnoteRef/>
      </w:r>
      <w:r>
        <w:rPr/>
        <w:t xml:space="preserve"> </w:t>
      </w:r>
      <w:r>
        <w:rPr>
          <w:bCs/>
        </w:rPr>
        <w:t>Порядковый номер (номера) реестровой записи (реестровых записей), под которой (которыми) Товар  включен</w:t>
      </w:r>
      <w:bookmarkStart w:id="11" w:name="_GoBack_Копия_1_Копия_1_Копия_1_Копия_1_"/>
      <w:bookmarkEnd w:id="11"/>
      <w:r>
        <w:rPr>
          <w:bCs/>
        </w:rPr>
        <w:t xml:space="preserve"> в реестры, предусмотренные пунктом 3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либо иным нормативно-правовым актом, устанавливающим защитные меры в соответствии с законодательством о Национальном режиме</w:t>
      </w:r>
      <w:r>
        <w:rPr>
          <w:rFonts w:eastAsia="Calibri" w:eastAsiaTheme="minorHAnsi"/>
          <w:lang w:eastAsia="en-US"/>
        </w:rPr>
        <w:t>.</w:t>
      </w:r>
    </w:p>
  </w:footnote>
  <w:footnote w:id="11">
    <w:p>
      <w:pPr>
        <w:pStyle w:val="FootnoteText"/>
        <w:jc w:val="both"/>
        <w:rPr/>
      </w:pPr>
      <w:r>
        <w:rPr>
          <w:rStyle w:val="Style14"/>
        </w:rPr>
        <w:footnoteRef/>
      </w:r>
      <w:r>
        <w:rPr/>
        <w:t xml:space="preserve"> </w:t>
      </w:r>
      <w:r>
        <w:rPr/>
        <w:t xml:space="preserve">Не распространяются на договоры, заключенные по результатам конкурентной закупки товаров, работ, услуг в электронной форме только среди субъектов малого и среднего предпринимательства, требования к гарантам </w:t>
        <w:br/>
        <w:t>по которым предусмотрены федеральным законом от 18.07.2011 № 223-ФЗ «О закупках товаров, работ, услуг отдельными видами юридических лиц».</w:t>
      </w:r>
    </w:p>
  </w:footnote>
  <w:footnote w:id="12">
    <w:p>
      <w:pPr>
        <w:pStyle w:val="FootnoteText"/>
        <w:jc w:val="both"/>
        <w:rPr/>
      </w:pPr>
      <w:r>
        <w:rPr>
          <w:rStyle w:val="Style14"/>
        </w:rPr>
        <w:footnoteRef/>
      </w:r>
      <w:r>
        <w:rPr>
          <w:lang w:eastAsia="x-none"/>
        </w:rPr>
        <w:t xml:space="preserve"> </w:t>
      </w:r>
      <w:r>
        <w:rPr>
          <w:lang w:eastAsia="x-none"/>
        </w:rPr>
        <w:t xml:space="preserve">Актуальный Перечень Банков-Гарантов Группы РусГидро размещен на официальном сайте Заказчика </w:t>
      </w:r>
      <w:r>
        <w:rPr/>
        <w:t>http</w:t>
      </w:r>
      <w:r>
        <w:rPr>
          <w:lang w:eastAsia="x-none"/>
        </w:rPr>
        <w:t>://</w:t>
      </w:r>
      <w:r>
        <w:rPr/>
        <w:t>zakupki</w:t>
      </w:r>
      <w:r>
        <w:rPr>
          <w:lang w:eastAsia="x-none"/>
        </w:rPr>
        <w:t>.</w:t>
      </w:r>
      <w:r>
        <w:rPr/>
        <w:t>rushydro</w:t>
      </w:r>
      <w:r>
        <w:rPr>
          <w:lang w:eastAsia="x-none"/>
        </w:rPr>
        <w:t>.</w:t>
      </w:r>
      <w:r>
        <w:rPr/>
        <w:t>ru</w:t>
      </w:r>
      <w:r>
        <w:rPr>
          <w:lang w:eastAsia="x-none"/>
        </w:rPr>
        <w:t>/</w:t>
      </w:r>
      <w:r>
        <w:rPr/>
        <w:t>PublicContent</w:t>
      </w:r>
      <w:r>
        <w:rPr>
          <w:lang w:eastAsia="x-none"/>
        </w:rPr>
        <w:t>/</w:t>
      </w:r>
      <w:r>
        <w:rPr/>
        <w:t>Section</w:t>
      </w:r>
      <w:r>
        <w:rPr>
          <w:lang w:eastAsia="x-none"/>
        </w:rPr>
        <w:t>/.</w:t>
      </w:r>
    </w:p>
  </w:footnote>
  <w:footnote w:id="13">
    <w:p>
      <w:pPr>
        <w:pStyle w:val="FootnoteText"/>
        <w:jc w:val="both"/>
        <w:rPr/>
      </w:pPr>
      <w:r>
        <w:rPr>
          <w:rStyle w:val="Style14"/>
        </w:rPr>
        <w:footnoteRef/>
      </w:r>
      <w:r>
        <w:rPr>
          <w:lang w:eastAsia="x-none"/>
        </w:rPr>
        <w:t xml:space="preserve"> </w:t>
      </w:r>
      <w:r>
        <w:rPr>
          <w:lang w:eastAsia="x-none"/>
        </w:rPr>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w:t>
      </w:r>
      <w:r>
        <w:rPr/>
        <w:t>Reuters</w:t>
      </w:r>
      <w:r>
        <w:rPr>
          <w:lang w:eastAsia="x-none"/>
        </w:rPr>
        <w:t xml:space="preserve">, </w:t>
      </w:r>
      <w:r>
        <w:rPr/>
        <w:t>Bloomberg</w:t>
      </w:r>
      <w:r>
        <w:rPr>
          <w:lang w:eastAsia="x-none"/>
        </w:rPr>
        <w:t>, С</w:t>
      </w:r>
      <w:r>
        <w:rPr/>
        <w:t>bonds</w:t>
      </w:r>
      <w:r>
        <w:rPr>
          <w:lang w:eastAsia="x-none"/>
        </w:rPr>
        <w:t>).</w:t>
      </w:r>
    </w:p>
  </w:footnote>
  <w:footnote w:id="14">
    <w:p>
      <w:pPr>
        <w:pStyle w:val="FootnoteText"/>
        <w:jc w:val="both"/>
        <w:rPr/>
      </w:pPr>
      <w:r>
        <w:rPr>
          <w:rStyle w:val="Style14"/>
        </w:rPr>
        <w:footnoteRef/>
      </w:r>
      <w:r>
        <w:rPr>
          <w:lang w:eastAsia="x-none"/>
        </w:rPr>
        <w:t xml:space="preserve"> </w:t>
      </w:r>
      <w:r>
        <w:rPr>
          <w:lang w:eastAsia="x-none"/>
        </w:rPr>
        <w:t>Данное требование не применяется в отношении небанковских кредитных организаций.</w:t>
      </w:r>
    </w:p>
  </w:footnote>
  <w:footnote w:id="15">
    <w:p>
      <w:pPr>
        <w:pStyle w:val="FootnoteText"/>
        <w:jc w:val="both"/>
        <w:rPr/>
      </w:pPr>
      <w:r>
        <w:rPr>
          <w:rStyle w:val="Style14"/>
        </w:rPr>
        <w:footnoteRef/>
      </w:r>
      <w:r>
        <w:rPr>
          <w:lang w:eastAsia="x-none"/>
        </w:rPr>
        <w:t xml:space="preserve"> </w:t>
      </w:r>
      <w:r>
        <w:rPr>
          <w:lang w:eastAsia="x-none"/>
        </w:rPr>
        <w:t>При издании ПО организационно-распорядительного документа о ТФУ данный критерий может быть исключен.</w:t>
      </w:r>
    </w:p>
  </w:footnote>
  <w:footnote w:id="16">
    <w:p>
      <w:pPr>
        <w:pStyle w:val="FootnoteText"/>
        <w:jc w:val="both"/>
        <w:rPr/>
      </w:pPr>
      <w:r>
        <w:rPr>
          <w:rStyle w:val="Style14"/>
        </w:rPr>
        <w:footnoteRef/>
      </w:r>
      <w:r>
        <w:rPr/>
        <w:t xml:space="preserve"> </w:t>
      </w:r>
      <w:r>
        <w:rPr>
          <w:rFonts w:cs="Times New Roman"/>
        </w:rPr>
        <w:t xml:space="preserve">Значение показателя округляется в большую или меньшую сторону до суммы, кратной 100 млн. руб. </w:t>
        <w:br/>
        <w:t xml:space="preserve">по правилам математического округления. В случае если первая из отделяемых цифр меньше 5,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- 5 440 млн. руб., лимит </w:t>
        <w:br/>
        <w:t xml:space="preserve">к установлению - 5 400 млн. руб.; расчетное значение лимита - 5 450 млн. руб., лимит к установлению - </w:t>
        <w:br/>
        <w:t>5 500 млн. руб.</w:t>
      </w:r>
    </w:p>
  </w:footnote>
  <w:footnote w:id="17">
    <w:p>
      <w:pPr>
        <w:pStyle w:val="FootnoteText"/>
        <w:jc w:val="both"/>
        <w:rPr/>
      </w:pPr>
      <w:r>
        <w:rPr>
          <w:rStyle w:val="Style14"/>
        </w:rPr>
        <w:footnoteRef/>
      </w:r>
      <w:r>
        <w:rPr/>
        <w:t xml:space="preserve"> </w:t>
      </w:r>
      <w:r>
        <w:rPr>
          <w:rFonts w:cs="Times New Roman"/>
        </w:rPr>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w:t>
        <w:br/>
        <w:t xml:space="preserve">из присвоенных (по данным сайта кредитной организации и / или рейтинговых агентств и/или </w:t>
        <w:br/>
        <w:t>из информационных систем Reuters, Bloomberg, Сbonds).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left" w:pos="1875" w:leader="none"/>
        <w:tab w:val="center" w:pos="4153" w:leader="none"/>
        <w:tab w:val="right" w:pos="8364" w:leader="none"/>
      </w:tabs>
      <w:ind w:left="8364" w:hanging="426"/>
      <w:rPr>
        <w:i/>
        <w:i/>
      </w:rPr>
    </w:pPr>
    <w:r>
      <w:rPr>
        <w:i/>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851"/>
        </w:tabs>
        <w:ind w:left="1851" w:hanging="432"/>
      </w:pPr>
      <w:rPr>
        <w:sz w:val="24"/>
        <w:b w:val="false"/>
        <w:szCs w:val="24"/>
      </w:rPr>
    </w:lvl>
    <w:lvl w:ilvl="2">
      <w:start w:val="1"/>
      <w:numFmt w:val="decimal"/>
      <w:lvlText w:val="%1.%2.%3."/>
      <w:lvlJc w:val="left"/>
      <w:pPr>
        <w:tabs>
          <w:tab w:val="num" w:pos="1855"/>
        </w:tabs>
        <w:ind w:left="1639"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7">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2"/>
      <w:numFmt w:val="decimal"/>
      <w:lvlText w:val="%1."/>
      <w:lvlJc w:val="left"/>
      <w:pPr>
        <w:tabs>
          <w:tab w:val="num" w:pos="0"/>
        </w:tabs>
        <w:ind w:left="540" w:hanging="540"/>
      </w:pPr>
      <w:rPr/>
    </w:lvl>
    <w:lvl w:ilvl="1">
      <w:start w:val="3"/>
      <w:numFmt w:val="decimal"/>
      <w:lvlText w:val="%1.%2."/>
      <w:lvlJc w:val="left"/>
      <w:pPr>
        <w:tabs>
          <w:tab w:val="num" w:pos="0"/>
        </w:tabs>
        <w:ind w:left="1107" w:hanging="540"/>
      </w:pPr>
      <w:rPr/>
    </w:lvl>
    <w:lvl w:ilvl="2">
      <w:start w:val="2"/>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abstractNum w:abstractNumId="13">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0"/>
        </w:tabs>
        <w:ind w:left="1430" w:hanging="720"/>
      </w:pPr>
      <w:rPr>
        <w:rFonts w:cs="Times New Roman"/>
      </w:rPr>
    </w:lvl>
    <w:lvl w:ilvl="2">
      <w:start w:val="1"/>
      <w:numFmt w:val="decimal"/>
      <w:lvlText w:val="%1.%2.%3."/>
      <w:lvlJc w:val="left"/>
      <w:pPr>
        <w:tabs>
          <w:tab w:val="num" w:pos="0"/>
        </w:tabs>
        <w:ind w:left="1146" w:hanging="720"/>
      </w:pPr>
      <w:rPr>
        <w:b w:val="false"/>
        <w:rFonts w:cs="Times New Roman"/>
      </w:rPr>
    </w:lvl>
    <w:lvl w:ilvl="3">
      <w:start w:val="1"/>
      <w:numFmt w:val="decimal"/>
      <w:lvlText w:val="%1.%2.%3.%4."/>
      <w:lvlJc w:val="left"/>
      <w:pPr>
        <w:tabs>
          <w:tab w:val="num" w:pos="0"/>
        </w:tabs>
        <w:ind w:left="1506" w:hanging="108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800" w:hanging="1440"/>
      </w:pPr>
      <w:rPr>
        <w:rFonts w:cs="Times New Roman"/>
      </w:rPr>
    </w:lvl>
    <w:lvl w:ilvl="6">
      <w:start w:val="1"/>
      <w:numFmt w:val="decimal"/>
      <w:lvlText w:val="%1.%2.%3.%4.%5.%6.%7."/>
      <w:lvlJc w:val="left"/>
      <w:pPr>
        <w:tabs>
          <w:tab w:val="num" w:pos="0"/>
        </w:tabs>
        <w:ind w:left="2160" w:hanging="1800"/>
      </w:pPr>
      <w:rPr>
        <w:rFonts w:cs="Times New Roman"/>
      </w:rPr>
    </w:lvl>
    <w:lvl w:ilvl="7">
      <w:start w:val="1"/>
      <w:numFmt w:val="decimal"/>
      <w:lvlText w:val="%1.%2.%3.%4.%5.%6.%7.%8."/>
      <w:lvlJc w:val="left"/>
      <w:pPr>
        <w:tabs>
          <w:tab w:val="num" w:pos="0"/>
        </w:tabs>
        <w:ind w:left="2160" w:hanging="1800"/>
      </w:pPr>
      <w:rPr>
        <w:rFonts w:cs="Times New Roman"/>
      </w:rPr>
    </w:lvl>
    <w:lvl w:ilvl="8">
      <w:start w:val="1"/>
      <w:numFmt w:val="decimal"/>
      <w:lvlText w:val="%1.%2.%3.%4.%5.%6.%7.%8.%9."/>
      <w:lvlJc w:val="left"/>
      <w:pPr>
        <w:tabs>
          <w:tab w:val="num" w:pos="0"/>
        </w:tabs>
        <w:ind w:left="2520" w:hanging="2160"/>
      </w:pPr>
      <w:rPr>
        <w:rFonts w:cs="Times New Roman"/>
      </w:rPr>
    </w:lvl>
  </w:abstractNum>
  <w:abstractNum w:abstractNumId="14">
    <w:lvl w:ilvl="0">
      <w:start w:val="9"/>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2136" w:hanging="720"/>
      </w:pPr>
      <w:rPr>
        <w:rFonts w:cs="Times New Roman"/>
      </w:rPr>
    </w:lvl>
    <w:lvl w:ilvl="2">
      <w:start w:val="1"/>
      <w:numFmt w:val="decimal"/>
      <w:lvlText w:val="%1.%2.%3."/>
      <w:lvlJc w:val="left"/>
      <w:pPr>
        <w:tabs>
          <w:tab w:val="num" w:pos="0"/>
        </w:tabs>
        <w:ind w:left="3552" w:hanging="720"/>
      </w:pPr>
      <w:rPr>
        <w:rFonts w:cs="Times New Roman"/>
      </w:rPr>
    </w:lvl>
    <w:lvl w:ilvl="3">
      <w:start w:val="1"/>
      <w:numFmt w:val="decimal"/>
      <w:lvlText w:val="%1.%2.%3.%4."/>
      <w:lvlJc w:val="left"/>
      <w:pPr>
        <w:tabs>
          <w:tab w:val="num" w:pos="0"/>
        </w:tabs>
        <w:ind w:left="5328" w:hanging="1080"/>
      </w:pPr>
      <w:rPr>
        <w:rFonts w:cs="Times New Roman"/>
      </w:rPr>
    </w:lvl>
    <w:lvl w:ilvl="4">
      <w:start w:val="1"/>
      <w:numFmt w:val="decimal"/>
      <w:lvlText w:val="%1.%2.%3.%4.%5."/>
      <w:lvlJc w:val="left"/>
      <w:pPr>
        <w:tabs>
          <w:tab w:val="num" w:pos="0"/>
        </w:tabs>
        <w:ind w:left="6744" w:hanging="1080"/>
      </w:pPr>
      <w:rPr>
        <w:rFonts w:cs="Times New Roman"/>
      </w:rPr>
    </w:lvl>
    <w:lvl w:ilvl="5">
      <w:start w:val="1"/>
      <w:numFmt w:val="decimal"/>
      <w:lvlText w:val="%1.%2.%3.%4.%5.%6."/>
      <w:lvlJc w:val="left"/>
      <w:pPr>
        <w:tabs>
          <w:tab w:val="num" w:pos="0"/>
        </w:tabs>
        <w:ind w:left="8520" w:hanging="1440"/>
      </w:pPr>
      <w:rPr>
        <w:rFonts w:cs="Times New Roman"/>
      </w:rPr>
    </w:lvl>
    <w:lvl w:ilvl="6">
      <w:start w:val="1"/>
      <w:numFmt w:val="decimal"/>
      <w:lvlText w:val="%1.%2.%3.%4.%5.%6.%7."/>
      <w:lvlJc w:val="left"/>
      <w:pPr>
        <w:tabs>
          <w:tab w:val="num" w:pos="0"/>
        </w:tabs>
        <w:ind w:left="10296" w:hanging="1800"/>
      </w:pPr>
      <w:rPr>
        <w:rFonts w:cs="Times New Roman"/>
      </w:rPr>
    </w:lvl>
    <w:lvl w:ilvl="7">
      <w:start w:val="1"/>
      <w:numFmt w:val="decimal"/>
      <w:lvlText w:val="%1.%2.%3.%4.%5.%6.%7.%8."/>
      <w:lvlJc w:val="left"/>
      <w:pPr>
        <w:tabs>
          <w:tab w:val="num" w:pos="0"/>
        </w:tabs>
        <w:ind w:left="11712" w:hanging="1800"/>
      </w:pPr>
      <w:rPr>
        <w:rFonts w:cs="Times New Roman"/>
      </w:rPr>
    </w:lvl>
    <w:lvl w:ilvl="8">
      <w:start w:val="1"/>
      <w:numFmt w:val="decimal"/>
      <w:lvlText w:val="%1.%2.%3.%4.%5.%6.%7.%8.%9."/>
      <w:lvlJc w:val="left"/>
      <w:pPr>
        <w:tabs>
          <w:tab w:val="num" w:pos="0"/>
        </w:tabs>
        <w:ind w:left="13488" w:hanging="2160"/>
      </w:pPr>
      <w:rPr>
        <w:rFonts w:cs="Times New Roman"/>
      </w:rPr>
    </w:lvl>
  </w:abstractNum>
  <w:abstractNum w:abstractNumId="15">
    <w:lvl w:ilvl="0">
      <w:start w:val="6"/>
      <w:numFmt w:val="decimal"/>
      <w:lvlText w:val="%1."/>
      <w:lvlJc w:val="left"/>
      <w:pPr>
        <w:tabs>
          <w:tab w:val="num" w:pos="0"/>
        </w:tabs>
        <w:ind w:left="360" w:hanging="360"/>
      </w:pPr>
      <w:rPr/>
    </w:lvl>
    <w:lvl w:ilvl="1">
      <w:start w:val="5"/>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b206e"/>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a264b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1"/>
    <w:qFormat/>
    <w:rsid w:val="001b1bd9"/>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Style7" w:customStyle="1">
    <w:name w:val="Заголовок Знак"/>
    <w:qFormat/>
    <w:locked/>
    <w:rsid w:val="00565582"/>
    <w:rPr>
      <w:b/>
      <w:bCs/>
      <w:sz w:val="24"/>
      <w:szCs w:val="24"/>
      <w:lang w:val="ru-RU" w:eastAsia="ru-RU" w:bidi="ar-SA"/>
    </w:rPr>
  </w:style>
  <w:style w:type="character" w:styleId="Style8" w:customStyle="1">
    <w:name w:val="Основной текст Знак"/>
    <w:qFormat/>
    <w:rsid w:val="00565582"/>
    <w:rPr>
      <w:lang w:val="ru-RU" w:eastAsia="ru-RU" w:bidi="ar-SA"/>
    </w:rPr>
  </w:style>
  <w:style w:type="character" w:styleId="Pagenumber">
    <w:name w:val="page number"/>
    <w:basedOn w:val="DefaultParagraphFont"/>
    <w:qFormat/>
    <w:rsid w:val="008b02a1"/>
    <w:rPr/>
  </w:style>
  <w:style w:type="character" w:styleId="3" w:customStyle="1">
    <w:name w:val="Основной текст 3 Знак"/>
    <w:link w:val="BodyText3"/>
    <w:qFormat/>
    <w:rsid w:val="005a0965"/>
    <w:rPr>
      <w:sz w:val="16"/>
      <w:szCs w:val="16"/>
    </w:rPr>
  </w:style>
  <w:style w:type="character" w:styleId="Annotationreference">
    <w:name w:val="annotation reference"/>
    <w:qFormat/>
    <w:rsid w:val="00d36934"/>
    <w:rPr>
      <w:sz w:val="16"/>
      <w:szCs w:val="16"/>
    </w:rPr>
  </w:style>
  <w:style w:type="character" w:styleId="Style9" w:customStyle="1">
    <w:name w:val="Текст примечания Знак"/>
    <w:basedOn w:val="DefaultParagraphFont"/>
    <w:link w:val="Annotationtext"/>
    <w:qFormat/>
    <w:rsid w:val="00d36934"/>
    <w:rPr/>
  </w:style>
  <w:style w:type="character" w:styleId="Style10" w:customStyle="1">
    <w:name w:val="Тема примечания Знак"/>
    <w:link w:val="Annotationsubject"/>
    <w:uiPriority w:val="99"/>
    <w:qFormat/>
    <w:rsid w:val="00d36934"/>
    <w:rPr>
      <w:b/>
      <w:bCs/>
    </w:rPr>
  </w:style>
  <w:style w:type="character" w:styleId="31" w:customStyle="1">
    <w:name w:val="Заголовок 3 Знак"/>
    <w:semiHidden/>
    <w:qFormat/>
    <w:rsid w:val="001b1bd9"/>
    <w:rPr>
      <w:rFonts w:ascii="Cambria" w:hAnsi="Cambria" w:eastAsia="Times New Roman" w:cs="Times New Roman"/>
      <w:b/>
      <w:bCs/>
      <w:color w:val="4F81BD"/>
    </w:rPr>
  </w:style>
  <w:style w:type="character" w:styleId="Style11" w:customStyle="1">
    <w:name w:val="Основной текст с отступом Знак"/>
    <w:basedOn w:val="DefaultParagraphFont"/>
    <w:qFormat/>
    <w:rsid w:val="00e00bca"/>
    <w:rPr/>
  </w:style>
  <w:style w:type="character" w:styleId="Style12" w:customStyle="1">
    <w:name w:val="комментарий"/>
    <w:uiPriority w:val="99"/>
    <w:qFormat/>
    <w:rsid w:val="00d562c0"/>
    <w:rPr>
      <w:rFonts w:cs="Times New Roman"/>
      <w:b/>
      <w:bCs/>
      <w:i/>
      <w:iCs/>
      <w:shd w:fill="FFFF99" w:val="clear"/>
    </w:rPr>
  </w:style>
  <w:style w:type="character" w:styleId="Style13" w:customStyle="1">
    <w:name w:val="Текст сноски Знак"/>
    <w:basedOn w:val="DefaultParagraphFont"/>
    <w:uiPriority w:val="99"/>
    <w:qFormat/>
    <w:rsid w:val="00f47c6a"/>
    <w:rPr/>
  </w:style>
  <w:style w:type="character" w:styleId="Style14">
    <w:name w:val="Символ сноски"/>
    <w:uiPriority w:val="99"/>
    <w:qFormat/>
    <w:rsid w:val="00f47c6a"/>
    <w:rPr>
      <w:vertAlign w:val="superscript"/>
    </w:rPr>
  </w:style>
  <w:style w:type="character" w:styleId="FootnoteReference">
    <w:name w:val="Footnote Reference"/>
    <w:rPr>
      <w:vertAlign w:val="superscript"/>
    </w:rPr>
  </w:style>
  <w:style w:type="character" w:styleId="Style15" w:customStyle="1">
    <w:name w:val="Верхний колонтитул Знак"/>
    <w:basedOn w:val="DefaultParagraphFont"/>
    <w:uiPriority w:val="99"/>
    <w:qFormat/>
    <w:rsid w:val="000449a5"/>
    <w:rPr/>
  </w:style>
  <w:style w:type="character" w:styleId="Hyperlink">
    <w:name w:val="Hyperlink"/>
    <w:rsid w:val="005e6f32"/>
    <w:rPr>
      <w:color w:val="0000FF"/>
      <w:u w:val="single"/>
    </w:rPr>
  </w:style>
  <w:style w:type="character" w:styleId="Style16" w:customStyle="1">
    <w:name w:val="Нижний колонтитул Знак"/>
    <w:uiPriority w:val="99"/>
    <w:qFormat/>
    <w:rsid w:val="00d925fb"/>
    <w:rPr/>
  </w:style>
  <w:style w:type="character" w:styleId="Style17" w:customStyle="1">
    <w:name w:val="Абзац списка Знак"/>
    <w:link w:val="ListParagraph"/>
    <w:uiPriority w:val="34"/>
    <w:qFormat/>
    <w:locked/>
    <w:rsid w:val="00182860"/>
    <w:rPr/>
  </w:style>
  <w:style w:type="character" w:styleId="LineNumber">
    <w:name w:val="Line Number"/>
    <w:rPr/>
  </w:style>
  <w:style w:type="character" w:styleId="Style18">
    <w:name w:val="Символ концевой сноски"/>
    <w:qFormat/>
    <w:rPr>
      <w:vertAlign w:val="superscript"/>
    </w:rPr>
  </w:style>
  <w:style w:type="character" w:styleId="EndnoteReference">
    <w:name w:val="Endnote Reference"/>
    <w:rPr>
      <w:vertAlign w:val="superscript"/>
    </w:rPr>
  </w:style>
  <w:style w:type="character" w:styleId="FollowedHyperlink">
    <w:name w:val="FollowedHyperlink"/>
    <w:rPr>
      <w:color w:val="800000"/>
      <w:u w:val="single"/>
    </w:rPr>
  </w:style>
  <w:style w:type="paragraph" w:styleId="Style19">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8"/>
    <w:rsid w:val="00084bde"/>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0">
    <w:name w:val="Указатель"/>
    <w:basedOn w:val="Normal"/>
    <w:qFormat/>
    <w:pPr>
      <w:suppressLineNumbers/>
    </w:pPr>
    <w:rPr/>
  </w:style>
  <w:style w:type="paragraph" w:styleId="Title">
    <w:name w:val="Title"/>
    <w:basedOn w:val="Normal"/>
    <w:link w:val="Style7"/>
    <w:qFormat/>
    <w:rsid w:val="00a264b0"/>
    <w:pPr>
      <w:jc w:val="center"/>
    </w:pPr>
    <w:rPr>
      <w:b/>
      <w:bCs/>
      <w:sz w:val="24"/>
      <w:szCs w:val="24"/>
    </w:rPr>
  </w:style>
  <w:style w:type="paragraph" w:styleId="Style21" w:customStyle="1">
    <w:name w:val="Таблицы (моноширинный)"/>
    <w:basedOn w:val="Normal"/>
    <w:next w:val="Normal"/>
    <w:qFormat/>
    <w:rsid w:val="00a264b0"/>
    <w:pPr>
      <w:jc w:val="both"/>
    </w:pPr>
    <w:rPr>
      <w:rFonts w:ascii="Courier New" w:hAnsi="Courier New" w:cs="Courier New"/>
    </w:rPr>
  </w:style>
  <w:style w:type="paragraph" w:styleId="BodyTextIndent2">
    <w:name w:val="Body Text Indent 2"/>
    <w:basedOn w:val="Normal"/>
    <w:qFormat/>
    <w:rsid w:val="00a264b0"/>
    <w:pPr>
      <w:ind w:left="1843" w:hanging="0"/>
      <w:jc w:val="both"/>
    </w:pPr>
    <w:rPr>
      <w:sz w:val="24"/>
    </w:rPr>
  </w:style>
  <w:style w:type="paragraph" w:styleId="BalloonText">
    <w:name w:val="Balloon Text"/>
    <w:basedOn w:val="Normal"/>
    <w:semiHidden/>
    <w:qFormat/>
    <w:rsid w:val="00080acb"/>
    <w:pPr/>
    <w:rPr>
      <w:rFonts w:ascii="Tahoma" w:hAnsi="Tahoma" w:cs="Tahoma"/>
      <w:sz w:val="16"/>
      <w:szCs w:val="16"/>
    </w:rPr>
  </w:style>
  <w:style w:type="paragraph" w:styleId="BodyText2">
    <w:name w:val="Body Text 2"/>
    <w:basedOn w:val="Normal"/>
    <w:qFormat/>
    <w:rsid w:val="006257f9"/>
    <w:pPr>
      <w:widowControl/>
      <w:spacing w:lineRule="auto" w:line="480" w:before="0" w:after="120"/>
    </w:pPr>
    <w:rPr>
      <w:sz w:val="24"/>
      <w:szCs w:val="24"/>
    </w:rPr>
  </w:style>
  <w:style w:type="paragraph" w:styleId="Style22">
    <w:name w:val="Колонтитул"/>
    <w:basedOn w:val="Normal"/>
    <w:qFormat/>
    <w:pPr/>
    <w:rPr/>
  </w:style>
  <w:style w:type="paragraph" w:styleId="Footer">
    <w:name w:val="Footer"/>
    <w:basedOn w:val="Normal"/>
    <w:link w:val="Style16"/>
    <w:uiPriority w:val="99"/>
    <w:rsid w:val="008b02a1"/>
    <w:pPr>
      <w:tabs>
        <w:tab w:val="clear" w:pos="709"/>
        <w:tab w:val="center" w:pos="4677" w:leader="none"/>
        <w:tab w:val="right" w:pos="9355" w:leader="none"/>
      </w:tabs>
    </w:pPr>
    <w:rPr/>
  </w:style>
  <w:style w:type="paragraph" w:styleId="BodyText3">
    <w:name w:val="Body Text 3"/>
    <w:basedOn w:val="Normal"/>
    <w:link w:val="3"/>
    <w:qFormat/>
    <w:rsid w:val="005a0965"/>
    <w:pPr>
      <w:spacing w:before="0" w:after="120"/>
    </w:pPr>
    <w:rPr>
      <w:sz w:val="16"/>
      <w:szCs w:val="16"/>
      <w:lang w:val="x-none" w:eastAsia="x-none"/>
    </w:rPr>
  </w:style>
  <w:style w:type="paragraph" w:styleId="Annotationtext">
    <w:name w:val="annotation text"/>
    <w:basedOn w:val="Normal"/>
    <w:link w:val="Style9"/>
    <w:qFormat/>
    <w:rsid w:val="00d36934"/>
    <w:pPr/>
    <w:rPr/>
  </w:style>
  <w:style w:type="paragraph" w:styleId="Annotationsubject">
    <w:name w:val="annotation subject"/>
    <w:basedOn w:val="Annotationtext"/>
    <w:next w:val="Annotationtext"/>
    <w:link w:val="Style10"/>
    <w:uiPriority w:val="99"/>
    <w:qFormat/>
    <w:rsid w:val="00d36934"/>
    <w:pPr/>
    <w:rPr>
      <w:b/>
      <w:bCs/>
      <w:lang w:val="x-none" w:eastAsia="x-none"/>
    </w:rPr>
  </w:style>
  <w:style w:type="paragraph" w:styleId="ListParagraph">
    <w:name w:val="List Paragraph"/>
    <w:basedOn w:val="Normal"/>
    <w:link w:val="Style17"/>
    <w:uiPriority w:val="34"/>
    <w:qFormat/>
    <w:rsid w:val="00ec6e7d"/>
    <w:pPr>
      <w:spacing w:before="0" w:after="0"/>
      <w:ind w:left="720" w:hanging="0"/>
      <w:contextualSpacing/>
    </w:pPr>
    <w:rPr/>
  </w:style>
  <w:style w:type="paragraph" w:styleId="Style23" w:customStyle="1">
    <w:name w:val="Знак Знак Знак Знак Знак Знак Знак Знак Знак"/>
    <w:basedOn w:val="Normal"/>
    <w:uiPriority w:val="99"/>
    <w:qFormat/>
    <w:rsid w:val="00d31bfd"/>
    <w:pPr>
      <w:widowControl/>
      <w:spacing w:lineRule="exact" w:line="240" w:before="0" w:after="160"/>
      <w:jc w:val="both"/>
    </w:pPr>
    <w:rPr>
      <w:rFonts w:ascii="Verdana" w:hAnsi="Verdana"/>
      <w:sz w:val="22"/>
      <w:lang w:val="en-US" w:eastAsia="en-US"/>
    </w:rPr>
  </w:style>
  <w:style w:type="paragraph" w:styleId="Style24" w:customStyle="1">
    <w:name w:val="Подпункт договора"/>
    <w:basedOn w:val="Normal"/>
    <w:qFormat/>
    <w:rsid w:val="00d31bfd"/>
    <w:pPr>
      <w:widowControl/>
      <w:tabs>
        <w:tab w:val="clear" w:pos="709"/>
        <w:tab w:val="left" w:pos="360" w:leader="none"/>
      </w:tabs>
      <w:jc w:val="both"/>
    </w:pPr>
    <w:rPr>
      <w:rFonts w:ascii="Arial" w:hAnsi="Arial"/>
    </w:rPr>
  </w:style>
  <w:style w:type="paragraph" w:styleId="ConsNormal" w:customStyle="1">
    <w:name w:val="ConsNormal"/>
    <w:qFormat/>
    <w:rsid w:val="00b53021"/>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BodyTextIndent">
    <w:name w:val="Body Text Indent"/>
    <w:basedOn w:val="Normal"/>
    <w:link w:val="Style11"/>
    <w:rsid w:val="00e00bca"/>
    <w:pPr>
      <w:spacing w:before="0" w:after="120"/>
      <w:ind w:left="283" w:hanging="0"/>
    </w:pPr>
    <w:rPr/>
  </w:style>
  <w:style w:type="paragraph" w:styleId="Style25" w:customStyle="1">
    <w:name w:val="Знак"/>
    <w:basedOn w:val="Normal"/>
    <w:qFormat/>
    <w:rsid w:val="00d562c0"/>
    <w:pPr>
      <w:widowControl/>
      <w:spacing w:lineRule="exact" w:line="240" w:before="0" w:after="160"/>
    </w:pPr>
    <w:rPr>
      <w:rFonts w:ascii="Verdana" w:hAnsi="Verdana" w:cs="Verdana"/>
      <w:lang w:val="en-US" w:eastAsia="en-US"/>
    </w:rPr>
  </w:style>
  <w:style w:type="paragraph" w:styleId="FootnoteText">
    <w:name w:val="Footnote Text"/>
    <w:basedOn w:val="Normal"/>
    <w:link w:val="Style13"/>
    <w:uiPriority w:val="99"/>
    <w:rsid w:val="00f47c6a"/>
    <w:pPr/>
    <w:rPr/>
  </w:style>
  <w:style w:type="paragraph" w:styleId="ListBullet3">
    <w:name w:val="List Bullet 3"/>
    <w:basedOn w:val="Normal"/>
    <w:uiPriority w:val="99"/>
    <w:unhideWhenUsed/>
    <w:qFormat/>
    <w:rsid w:val="00fa3bf9"/>
    <w:pPr>
      <w:widowControl/>
      <w:tabs>
        <w:tab w:val="clear" w:pos="709"/>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fa3bf9"/>
    <w:pPr>
      <w:widowControl/>
      <w:tabs>
        <w:tab w:val="clear" w:pos="709"/>
        <w:tab w:val="left" w:pos="851" w:leader="none"/>
      </w:tabs>
      <w:spacing w:lineRule="auto" w:line="360"/>
      <w:ind w:left="851" w:hanging="851"/>
      <w:jc w:val="both"/>
    </w:pPr>
    <w:rPr>
      <w:rFonts w:eastAsia="Calibri"/>
      <w:sz w:val="28"/>
      <w:szCs w:val="28"/>
    </w:rPr>
  </w:style>
  <w:style w:type="paragraph" w:styleId="DocumentMap">
    <w:name w:val="Document Map"/>
    <w:basedOn w:val="Normal"/>
    <w:semiHidden/>
    <w:qFormat/>
    <w:rsid w:val="00936d2a"/>
    <w:pPr>
      <w:shd w:val="clear" w:color="auto" w:fill="000080"/>
    </w:pPr>
    <w:rPr>
      <w:rFonts w:ascii="Tahoma" w:hAnsi="Tahoma" w:cs="Tahoma"/>
    </w:rPr>
  </w:style>
  <w:style w:type="paragraph" w:styleId="Revision">
    <w:name w:val="Revision"/>
    <w:uiPriority w:val="99"/>
    <w:semiHidden/>
    <w:qFormat/>
    <w:rsid w:val="00f2582e"/>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5"/>
    <w:uiPriority w:val="99"/>
    <w:rsid w:val="000449a5"/>
    <w:pPr>
      <w:tabs>
        <w:tab w:val="clear" w:pos="709"/>
        <w:tab w:val="center" w:pos="4677" w:leader="none"/>
        <w:tab w:val="right" w:pos="9355" w:leader="none"/>
      </w:tabs>
    </w:pPr>
    <w:rPr/>
  </w:style>
  <w:style w:type="paragraph" w:styleId="Style26" w:customStyle="1">
    <w:name w:val="Пункт договора"/>
    <w:basedOn w:val="Normal"/>
    <w:qFormat/>
    <w:rsid w:val="00e65842"/>
    <w:pPr>
      <w:jc w:val="both"/>
    </w:pPr>
    <w:rPr>
      <w:rFonts w:ascii="Arial" w:hAnsi="Arial"/>
    </w:rPr>
  </w:style>
  <w:style w:type="paragraph" w:styleId="1" w:customStyle="1">
    <w:name w:val="Знак Знак Знак Знак Знак Знак Знак Знак Знак1"/>
    <w:basedOn w:val="Normal"/>
    <w:qFormat/>
    <w:rsid w:val="007d41d8"/>
    <w:pPr>
      <w:widowControl/>
      <w:spacing w:lineRule="exact" w:line="240" w:before="0" w:after="160"/>
      <w:jc w:val="both"/>
    </w:pPr>
    <w:rPr>
      <w:rFonts w:ascii="Verdana" w:hAnsi="Verdana"/>
      <w:sz w:val="22"/>
      <w:lang w:val="en-US" w:eastAsia="en-US"/>
    </w:rPr>
  </w:style>
  <w:style w:type="paragraph" w:styleId="11" w:customStyle="1">
    <w:name w:val="Обычный1"/>
    <w:qFormat/>
    <w:rsid w:val="0073039c"/>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a510bb"/>
    <w:pPr>
      <w:widowControl w:val="false"/>
      <w:suppressAutoHyphens w:val="true"/>
      <w:bidi w:val="0"/>
      <w:spacing w:before="0" w:after="0"/>
      <w:jc w:val="left"/>
    </w:pPr>
    <w:rPr>
      <w:rFonts w:ascii="Calibri" w:hAnsi="Calibri" w:eastAsia="Times New Roman" w:cs="Calibri"/>
      <w:color w:val="auto"/>
      <w:kern w:val="0"/>
      <w:sz w:val="22"/>
      <w:szCs w:val="20"/>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9">
    <w:name w:val="Table Grid"/>
    <w:basedOn w:val="a1"/>
    <w:rsid w:val="00084bd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hyperlink" Target="http://www.cbr.ru/" TargetMode="External"/><Relationship Id="rId6" Type="http://schemas.openxmlformats.org/officeDocument/2006/relationships/hyperlink" Target="http://www.cbr.ru/" TargetMode="Externa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footnotes" Target="footnotes.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Relationship Id="rId17" Type="http://schemas.openxmlformats.org/officeDocument/2006/relationships/customXml" Target="../customXml/item2.xml"/><Relationship Id="rId18" Type="http://schemas.openxmlformats.org/officeDocument/2006/relationships/customXml" Target="../customXml/item3.xml"/><Relationship Id="rId19"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B0BAB9-8B8F-4B85-B8DF-266ED50E1B2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DDC28637-82A2-4882-B880-456EC7FD591C}">
  <ds:schemaRefs>
    <ds:schemaRef ds:uri="http://schemas.openxmlformats.org/officeDocument/2006/bibliography"/>
  </ds:schemaRefs>
</ds:datastoreItem>
</file>

<file path=customXml/itemProps3.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4.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472</TotalTime>
  <Application>AlterOffice/3.4.0.9$Linux_X86_64 LibreOffice_project/b8daf9e823b1a5463a2f48435ddc2e8696e7d4fc</Application>
  <AppVersion>15.0000</AppVersion>
  <Pages>25</Pages>
  <Words>9109</Words>
  <Characters>65578</Characters>
  <CharactersWithSpaces>74403</CharactersWithSpaces>
  <Paragraphs>421</Paragraphs>
  <Company>Inter RAO UES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2024-04-03T13:12:00Z</dcterms:created>
  <dc:creator>tsypilev_ag</dc:creator>
  <dc:description/>
  <dc:language>ru-RU</dc:language>
  <cp:lastModifiedBy>budnikovanv@corp.gidroogk.com</cp:lastModifiedBy>
  <cp:lastPrinted>2018-05-22T09:46:00Z</cp:lastPrinted>
  <dcterms:modified xsi:type="dcterms:W3CDTF">2026-06-26T08:54:12Z</dcterms:modified>
  <cp:revision>55</cp:revision>
  <dc:subject/>
  <dc:title>Договор № _________</dc:title>
</cp:coreProperties>
</file>

<file path=docProps/custom.xml><?xml version="1.0" encoding="utf-8"?>
<Properties xmlns="http://schemas.openxmlformats.org/officeDocument/2006/custom-properties" xmlns:vt="http://schemas.openxmlformats.org/officeDocument/2006/docPropsVTypes"/>
</file>