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926" w:leader="none"/>
        </w:tabs>
        <w:jc w:val="right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6926" w:leader="none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ОКПД2 19.20.21 Поставка топлива для транспортных средств Южно-Сахалинского участка расчистки просек Дальневосточного филиала АО "ТК РусГидро".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  <w:t>Лот№ 3038-ЭКСП ПРОД-2026-ТК_Дальневост_фил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22118092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2118093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2118094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2118095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1180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21180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21180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1180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_Toc222118099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21181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_Toc222118100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1181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_Toc222118101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21181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_Toc222118102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21181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_Toc222118103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9"/>
              <w:tab w:val="right" w:pos="9911" w:leader="dot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закупки……………………….7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sdtContent>
    </w:sdt>
    <w:p>
      <w:pPr>
        <w:pStyle w:val="ListParagraph"/>
        <w:ind w:left="360" w:hanging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</w:p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6"/>
          <w:szCs w:val="26"/>
        </w:rPr>
      </w:pPr>
      <w:bookmarkStart w:id="0" w:name="_Toc51339692"/>
      <w:bookmarkStart w:id="1" w:name="_Toc222118092"/>
      <w:r>
        <w:rPr>
          <w:sz w:val="26"/>
          <w:szCs w:val="26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spacing w:before="0" w:after="0"/>
        <w:ind w:left="0" w:firstLine="709"/>
        <w:rPr>
          <w:sz w:val="26"/>
          <w:szCs w:val="26"/>
        </w:rPr>
      </w:pPr>
      <w:bookmarkStart w:id="2" w:name="_Toc46743506"/>
      <w:bookmarkStart w:id="3" w:name="_Toc222118093"/>
      <w:r>
        <w:rPr>
          <w:sz w:val="26"/>
          <w:szCs w:val="26"/>
        </w:rPr>
        <w:t>Наименование закупаемой продукции</w:t>
      </w:r>
      <w:bookmarkEnd w:id="2"/>
      <w:bookmarkEnd w:id="3"/>
    </w:p>
    <w:p>
      <w:pPr>
        <w:pStyle w:val="Normal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  <w:t>ОКПД2 19.20.21 Поставка топлива для транспортных средств Южно-Сахалинского участка расчистки просек Дальневосточного филиала АО "ТК РусГидро"</w:t>
      </w:r>
      <w:bookmarkStart w:id="4" w:name="_Toc222118094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ind w:left="0" w:firstLine="709"/>
        <w:rPr>
          <w:sz w:val="26"/>
          <w:szCs w:val="26"/>
        </w:rPr>
      </w:pPr>
      <w:bookmarkStart w:id="5" w:name="_Toc46743507"/>
      <w:r>
        <w:rPr>
          <w:sz w:val="26"/>
          <w:szCs w:val="26"/>
        </w:rPr>
        <w:t xml:space="preserve">Цель </w:t>
      </w:r>
      <w:bookmarkEnd w:id="5"/>
      <w:r>
        <w:rPr>
          <w:sz w:val="26"/>
          <w:szCs w:val="26"/>
        </w:rPr>
        <w:t>использования закупаемой продукции</w:t>
      </w:r>
      <w:bookmarkEnd w:id="4"/>
      <w:r>
        <w:rPr>
          <w:sz w:val="26"/>
          <w:szCs w:val="26"/>
        </w:rPr>
        <w:t xml:space="preserve">  </w:t>
      </w:r>
    </w:p>
    <w:p>
      <w:pPr>
        <w:pStyle w:val="Normal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6" w:name="_Toc50125126"/>
      <w:bookmarkStart w:id="7" w:name="_Toc50125126"/>
      <w:bookmarkEnd w:id="7"/>
    </w:p>
    <w:p>
      <w:pPr>
        <w:pStyle w:val="Normal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бензином и дизельным топливом транспортных средств в целях организации бесперебойной работы Южно-Сахалинского транспортного участка Дальневосточного филиала АО «ТК РусГидро» на АЗС расположенной в селе Взморье, Долинского района, Сахалинской области. </w:t>
      </w:r>
    </w:p>
    <w:p>
      <w:pPr>
        <w:pStyle w:val="Heading4"/>
        <w:numPr>
          <w:ilvl w:val="1"/>
          <w:numId w:val="3"/>
        </w:numPr>
        <w:ind w:left="567" w:hanging="0"/>
        <w:rPr>
          <w:sz w:val="26"/>
          <w:szCs w:val="26"/>
        </w:rPr>
      </w:pPr>
      <w:bookmarkStart w:id="8" w:name="_Toc222118095"/>
      <w:r>
        <w:rPr>
          <w:sz w:val="26"/>
          <w:szCs w:val="26"/>
        </w:rPr>
        <w:t>Существующее положение</w:t>
      </w:r>
      <w:bookmarkEnd w:id="8"/>
    </w:p>
    <w:p>
      <w:pPr>
        <w:pStyle w:val="Normal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Транспортные средства эксплуатируются </w:t>
      </w:r>
      <w:r>
        <w:rPr>
          <w:sz w:val="26"/>
          <w:szCs w:val="26"/>
          <w:lang w:eastAsia="x-none"/>
        </w:rPr>
        <w:t xml:space="preserve">в рамках исполнения обязательств по доходному договору № </w:t>
      </w:r>
      <w:r>
        <w:rPr>
          <w:sz w:val="26"/>
          <w:szCs w:val="26"/>
        </w:rPr>
        <w:t>САХ-25/0175 от 27.02.2025 г.</w:t>
      </w:r>
      <w:r>
        <w:rPr>
          <w:sz w:val="26"/>
          <w:szCs w:val="26"/>
          <w:lang w:eastAsia="x-none"/>
        </w:rPr>
        <w:t xml:space="preserve"> на выполнение работ по расчистке просек ВЛ филиала “Распределительные сети” ПАО “Сахалинэнерго”, в рамках ремонтной деятельности.</w:t>
      </w:r>
    </w:p>
    <w:p>
      <w:pPr>
        <w:pStyle w:val="Heading1"/>
        <w:numPr>
          <w:ilvl w:val="0"/>
          <w:numId w:val="3"/>
        </w:numPr>
        <w:ind w:left="0" w:firstLine="567"/>
        <w:jc w:val="center"/>
        <w:rPr>
          <w:sz w:val="26"/>
          <w:szCs w:val="26"/>
        </w:rPr>
      </w:pPr>
      <w:bookmarkStart w:id="9" w:name="_Toc51339693"/>
      <w:bookmarkStart w:id="10" w:name="_Toc222118096"/>
      <w:bookmarkStart w:id="11" w:name="_Toc754465721"/>
      <w:bookmarkEnd w:id="11"/>
      <w:r>
        <w:rPr>
          <w:sz w:val="26"/>
          <w:szCs w:val="26"/>
        </w:rPr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0"/>
        <w:rPr>
          <w:sz w:val="26"/>
          <w:szCs w:val="26"/>
        </w:rPr>
      </w:pPr>
      <w:bookmarkStart w:id="12" w:name="_Toc222118097"/>
      <w:r>
        <w:rPr>
          <w:sz w:val="26"/>
          <w:szCs w:val="26"/>
        </w:rPr>
        <w:t xml:space="preserve">Требования к объемам и срокам </w:t>
      </w:r>
      <w:r>
        <w:rPr>
          <w:sz w:val="26"/>
          <w:szCs w:val="26"/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567"/>
        <w:rPr>
          <w:sz w:val="26"/>
          <w:szCs w:val="26"/>
        </w:rPr>
      </w:pPr>
      <w:bookmarkStart w:id="13" w:name="_Toc222118098"/>
      <w:r>
        <w:rPr>
          <w:sz w:val="26"/>
          <w:szCs w:val="26"/>
        </w:rPr>
        <w:t>Перечень и объем закупаемой продукции</w:t>
      </w:r>
      <w:bookmarkEnd w:id="13"/>
    </w:p>
    <w:p>
      <w:pPr>
        <w:pStyle w:val="Heading1"/>
        <w:tabs>
          <w:tab w:val="clear" w:pos="0"/>
        </w:tabs>
        <w:ind w:left="567" w:hanging="0"/>
        <w:rPr>
          <w:sz w:val="26"/>
          <w:szCs w:val="26"/>
        </w:rPr>
      </w:pPr>
      <w:bookmarkStart w:id="14" w:name="_Toc222118099"/>
      <w:bookmarkStart w:id="15" w:name="_Toc51339695"/>
      <w:r>
        <w:rPr>
          <w:sz w:val="26"/>
          <w:szCs w:val="26"/>
        </w:rPr>
        <w:t xml:space="preserve">Таблица 1.1 Перечень </w:t>
      </w:r>
      <w:bookmarkEnd w:id="15"/>
      <w:r>
        <w:rPr>
          <w:sz w:val="26"/>
          <w:szCs w:val="26"/>
        </w:rPr>
        <w:t>и объем закупаемой продукции</w:t>
      </w:r>
      <w:bookmarkEnd w:id="14"/>
    </w:p>
    <w:tbl>
      <w:tblPr>
        <w:tblW w:w="99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6"/>
        <w:gridCol w:w="6258"/>
        <w:gridCol w:w="1455"/>
        <w:gridCol w:w="1530"/>
      </w:tblGrid>
      <w:tr>
        <w:trPr>
          <w:trHeight w:val="83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>
          <w:trHeight w:val="44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-421" w:hanging="0"/>
              <w:rPr/>
            </w:pPr>
            <w:r>
              <w:rPr/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Бензин АИ-92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20 000</w:t>
            </w:r>
          </w:p>
        </w:tc>
      </w:tr>
      <w:tr>
        <w:trPr>
          <w:trHeight w:val="3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-421" w:hanging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Дизельное топливо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108 900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both"/>
        <w:rPr>
          <w:sz w:val="26"/>
          <w:szCs w:val="26"/>
        </w:rPr>
      </w:pPr>
      <w:r>
        <w:rPr>
          <w:i/>
          <w:sz w:val="26"/>
          <w:szCs w:val="26"/>
          <w:lang w:eastAsia="x-none"/>
        </w:rPr>
        <w:t>*Объем продукции является ориентировочным, Заказчик не несет ответственности за неполную выборку продукции на общую сумму договора.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lang w:eastAsia="x-none"/>
        </w:rPr>
        <w:t xml:space="preserve">Количество поставляемой Продукции может быть изменено с учетом потребности Заказчика в пределах цены договора. 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jc w:val="center"/>
        <w:rPr/>
      </w:pPr>
      <w:bookmarkStart w:id="16" w:name="_Toc75446578"/>
      <w:bookmarkStart w:id="17" w:name="_Toc222118100"/>
      <w:bookmarkStart w:id="18" w:name="_Toc51339696"/>
      <w:r>
        <w:rPr/>
        <w:t xml:space="preserve">Требования </w:t>
      </w:r>
      <w:bookmarkEnd w:id="18"/>
      <w:r>
        <w:rPr/>
        <w:t>к срокам поставки продукции и оказания сопутствующих услуг</w:t>
      </w:r>
      <w:bookmarkEnd w:id="16"/>
      <w:bookmarkEnd w:id="17"/>
    </w:p>
    <w:p>
      <w:pPr>
        <w:pStyle w:val="Heading1"/>
        <w:tabs>
          <w:tab w:val="clear" w:pos="0"/>
        </w:tabs>
        <w:ind w:left="567" w:hanging="0"/>
        <w:rPr>
          <w:sz w:val="24"/>
          <w:szCs w:val="24"/>
          <w:lang w:val="ru-RU"/>
        </w:rPr>
      </w:pPr>
      <w:bookmarkStart w:id="19" w:name="_Toc222118101"/>
      <w:bookmarkStart w:id="20" w:name="_Toc51339697"/>
      <w:bookmarkStart w:id="21" w:name="_Toc50125127"/>
      <w:bookmarkStart w:id="22" w:name="_Toc50125126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099"/>
        <w:gridCol w:w="3280"/>
        <w:gridCol w:w="311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продукции*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bookmarkStart w:id="24" w:name="_Toc46743510"/>
            <w:r>
              <w:rPr>
                <w:b/>
                <w:szCs w:val="22"/>
              </w:rPr>
              <w:t>4</w:t>
            </w:r>
            <w:bookmarkEnd w:id="24"/>
          </w:p>
        </w:tc>
      </w:tr>
      <w:tr>
        <w:trPr>
          <w:trHeight w:val="41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hyperlink r:id="rId2">
              <w:r>
                <w:rPr>
                  <w:rStyle w:val="Hyperlink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222222"/>
                  <w:spacing w:val="0"/>
                  <w:sz w:val="22"/>
                  <w:szCs w:val="22"/>
                  <w:u w:val="none"/>
                  <w:effect w:val="none"/>
                </w:rPr>
                <w:t>ОКПД2 19.20.21 Поставка топлива для транспортных средств Южно-Сахалинского участка расчистки просек Дальневосточного филиала АО "ТК РусГидро"</w:t>
              </w:r>
            </w:hyperlink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(даты)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Общий срок поставки по 31.12.2027 г.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ab/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1171" w:leader="none"/>
        </w:tabs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ab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567" w:hanging="6"/>
        <w:rPr/>
      </w:pPr>
      <w:bookmarkStart w:id="25" w:name="_Toc51339698"/>
      <w:bookmarkStart w:id="26" w:name="_Toc75446581"/>
      <w:bookmarkStart w:id="27" w:name="_Toc222118102"/>
      <w:bookmarkStart w:id="28" w:name="_Toc46743511"/>
      <w:r>
        <w:rPr/>
        <w:t xml:space="preserve">Требования к </w:t>
      </w:r>
      <w:bookmarkEnd w:id="28"/>
      <w:r>
        <w:rPr/>
        <w:t>качеству продукции</w:t>
      </w:r>
      <w:bookmarkEnd w:id="26"/>
      <w:bookmarkEnd w:id="27"/>
    </w:p>
    <w:p>
      <w:pPr>
        <w:pStyle w:val="Heading1"/>
        <w:tabs>
          <w:tab w:val="clear" w:pos="0"/>
          <w:tab w:val="left" w:pos="851" w:leader="none"/>
        </w:tabs>
        <w:ind w:left="0" w:firstLine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</w:t>
      </w:r>
      <w:bookmarkStart w:id="29" w:name="_Toc222118103"/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продукции</w:t>
      </w:r>
      <w:bookmarkEnd w:id="29"/>
      <w:r>
        <w:rPr>
          <w:sz w:val="26"/>
          <w:szCs w:val="26"/>
        </w:rPr>
        <w:t xml:space="preserve"> </w:t>
      </w:r>
      <w:bookmarkEnd w:id="25"/>
    </w:p>
    <w:p>
      <w:pPr>
        <w:pStyle w:val="Normal"/>
        <w:tabs>
          <w:tab w:val="clear" w:pos="709"/>
          <w:tab w:val="left" w:pos="851" w:leader="none"/>
        </w:tabs>
        <w:ind w:hanging="6"/>
        <w:jc w:val="both"/>
        <w:rPr>
          <w:i w:val="false"/>
          <w:i w:val="false"/>
          <w:iCs w:val="false"/>
          <w:sz w:val="26"/>
          <w:szCs w:val="26"/>
          <w:highlight w:val="none"/>
          <w:shd w:fill="auto" w:val="clear"/>
        </w:rPr>
      </w:pPr>
      <w:r>
        <w:rPr>
          <w:i w:val="false"/>
          <w:iCs w:val="false"/>
          <w:sz w:val="26"/>
          <w:szCs w:val="26"/>
          <w:shd w:fill="auto" w:val="clear"/>
        </w:rPr>
        <w:t xml:space="preserve">Наименование продукции: </w:t>
      </w:r>
    </w:p>
    <w:p>
      <w:pPr>
        <w:pStyle w:val="Normal"/>
        <w:tabs>
          <w:tab w:val="clear" w:pos="709"/>
          <w:tab w:val="left" w:pos="851" w:leader="none"/>
        </w:tabs>
        <w:ind w:hanging="6"/>
        <w:jc w:val="both"/>
        <w:rPr/>
      </w:pPr>
      <w:r>
        <w:rPr>
          <w:rStyle w:val="Style8"/>
          <w:b w:val="false"/>
          <w:i w:val="false"/>
          <w:iCs w:val="false"/>
          <w:sz w:val="26"/>
          <w:szCs w:val="26"/>
          <w:shd w:fill="auto" w:val="clear"/>
        </w:rPr>
        <w:t>ОКПД2 19.20.21 Поставка топлива для транспортных средств Южно-Сахалинского участка расчистки просек Дальневосточного филиала АО "ТК РусГидро"</w:t>
      </w:r>
    </w:p>
    <w:tbl>
      <w:tblPr>
        <w:tblStyle w:val="1d"/>
        <w:tblW w:w="153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6"/>
        <w:gridCol w:w="3117"/>
        <w:gridCol w:w="4820"/>
        <w:gridCol w:w="1811"/>
        <w:gridCol w:w="1591"/>
        <w:gridCol w:w="3119"/>
      </w:tblGrid>
      <w:tr>
        <w:trPr>
          <w:trHeight w:val="311" w:hRule="atLeast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1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48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8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79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3117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Бензин АИ-92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ЕВРО не ниже К5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  <w:t>1.2.</w:t>
            </w:r>
          </w:p>
        </w:tc>
        <w:tc>
          <w:tcPr>
            <w:tcW w:w="3117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Дизельное топливо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ЕВРО не ниже К5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49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поставляемой Продукции должно соответствовать требованиям, определенным Техническим регламентом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топочному мазуту», ГОСТ 32511-2013 (EN 590:2009) «Межгосударственный стандарт. Топливо дизельное ЕВРО. Технические условия», ГОСТ 32513-2013 «Топлива моторные. Бензин неэтилированный. Технические условия»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2.2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Качество каждой партии Продукции должно быть подтверждено паспортом Продукции или товара, и/или декларацией/сертификатом соответствия. Партией считают любое количество топлива, однородного по показателям качества, сопровождаемое паспортом, оформленным в соответствии с требованиями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утвержденным Правительством Российской Федерации от 27 февраля 2008 г. N 118, и ГОСТ 1510-2022 «Межгосударственный стандарт. Нефть и нефтепродукты. Маркировка, упаковка, транспортирование и хранение».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68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289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дизельного топлива должен соответствовать сезону согласно регламента о температурных нормах для ГСМ («Летнее»/«Межсезонное»/«Зимнее»).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бензина АИ-92 производится без учета сезона.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311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Отпуск топлива с автозаправочной станции расположенной в селе Взморье, Долинского района, Сахалинской области.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47" w:hRule="atLeast"/>
        </w:trPr>
        <w:tc>
          <w:tcPr>
            <w:tcW w:w="84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4.2</w:t>
            </w:r>
          </w:p>
        </w:tc>
        <w:tc>
          <w:tcPr>
            <w:tcW w:w="31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Требования к поставке 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Поставка осуществляется на условиях самовывоза. Отпуск топлива производится путем заправки в топливный бак/емкость Заказчика.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47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/>
                <w:color w:val="000000" w:themeColor="text1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топлива производится в рабочее время АЗС.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47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Arial"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/>
                <w:color w:val="000000" w:themeColor="text1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Отпуск топлива в топливные баки/емкости Заказчика осуществляется силами Поставщика.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72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3117" w:type="dxa"/>
            <w:vMerge w:val="restart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val="ru-RU" w:eastAsia="en-US" w:bidi="ar-SA"/>
              </w:rPr>
              <w:t>Гарантии качества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гарантирует Заказчику соответствие качества поставляемой им Продукции действующим стандартам и требованиям, установленным на данный вид топлива, указанные в п.2, таблицы 3.</w:t>
            </w:r>
            <w:bookmarkStart w:id="30" w:name="_GoBack"/>
            <w:bookmarkEnd w:id="30"/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При возникновении между Заказчиком и Поставщиком спора о качестве Продукции или вследствие иных причин по требованию Заказчика или Поставщика может быть назначена экспертиза качества Продукции.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Расходы по проведению экспертизы несет сторона, потребовавшая назначение экспертизы. Если экспертиза назначена по требованию Заказчика и экспертиза подтвердила некачественность Продукции, то расходы по экспертизе несет Поставщик.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В случаях выявления несоответствия качеству поставляемого топлива, Заказчик для предъявления претензий, предоставляет Поставщику следующие документы: акт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Росстандарте России), подтверждающий факт ненадлежащего качества топлива. Экспертная организация проводит отбор арбитражных проб топлива согласно Приказа Росстандарта от 29.11.2012 № 1448-ст «ГОСТ 2517-2012. Межгосударственный стандарт. Нефть и нефтепродукты. Методы отбора проб». Поставщик в случае выявления некачественного топлива в течение 5 (пяти) дней с момента поступления претензии осуществляет его замену.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В случае если причиной поломки и/или порчи принадлежащих Заказчику транспортных средств явилось использование отпущенного Поставщиком топлива (определяется независимой экспертизой), Поставщик обязан компенсировать все затраты по ремонту и доставке транспортного средства с места поломки по указанному Заказчиком адресу.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62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6. </w:t>
            </w:r>
          </w:p>
        </w:tc>
        <w:tc>
          <w:tcPr>
            <w:tcW w:w="79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3117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ежемесячно передает Заказчику ведомость заправок, акт сверки, товарную накладную (ТОРГ-12)/УПД, счет-фактуру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Arial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851" w:right="851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ind w:left="360" w:hanging="0"/>
        <w:jc w:val="center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3. Требования к документации по ценообразованию на этапе закупки.</w:t>
      </w:r>
    </w:p>
    <w:p>
      <w:pPr>
        <w:pStyle w:val="ListParagraph"/>
        <w:ind w:left="1080" w:hang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134" w:leader="none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widowControl/>
        <w:numPr>
          <w:ilvl w:val="1"/>
          <w:numId w:val="11"/>
        </w:numPr>
        <w:tabs>
          <w:tab w:val="clear" w:pos="709"/>
          <w:tab w:val="left" w:pos="1134" w:leader="none"/>
        </w:tabs>
        <w:suppressAutoHyphens w:val="true"/>
        <w:bidi w:val="0"/>
        <w:spacing w:before="0" w:after="0"/>
        <w:ind w:left="0" w:right="0" w:firstLine="567"/>
        <w:contextualSpacing/>
        <w:jc w:val="both"/>
        <w:rPr>
          <w:sz w:val="26"/>
          <w:szCs w:val="26"/>
        </w:rPr>
      </w:pPr>
      <w:r>
        <w:rPr>
          <w:iCs/>
          <w:color w:val="000000" w:themeColor="text1"/>
          <w:sz w:val="26"/>
          <w:szCs w:val="26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134" w:leader="none"/>
        </w:tabs>
        <w:ind w:left="0" w:hanging="0"/>
        <w:jc w:val="both"/>
        <w:rPr>
          <w:sz w:val="26"/>
          <w:szCs w:val="26"/>
          <w:highlight w:val="none"/>
          <w:shd w:fill="FFFF00" w:val="clear"/>
        </w:rPr>
      </w:pPr>
      <w:r>
        <w:rPr>
          <w:sz w:val="26"/>
          <w:szCs w:val="26"/>
          <w:shd w:fill="FFFF00" w:val="clear"/>
        </w:rPr>
      </w:r>
    </w:p>
    <w:p>
      <w:pPr>
        <w:pStyle w:val="ListParagraph"/>
        <w:ind w:left="567" w:hanging="0"/>
        <w:jc w:val="both"/>
        <w:rPr>
          <w:iCs/>
          <w:color w:val="000000" w:themeColor="text1"/>
          <w:lang w:eastAsia="x-none"/>
        </w:rPr>
      </w:pPr>
      <w:r>
        <w:rPr>
          <w:iCs/>
          <w:color w:val="000000" w:themeColor="text1"/>
          <w:lang w:eastAsia="x-none"/>
        </w:rPr>
      </w:r>
    </w:p>
    <w:p>
      <w:pPr>
        <w:pStyle w:val="Normal"/>
        <w:ind w:firstLine="851"/>
        <w:rPr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ind w:firstLine="851"/>
        <w:rPr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ind w:firstLine="851"/>
        <w:rPr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275437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75437A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6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7"/>
    <w:lvlOverride w:ilvl="0">
      <w:startOverride w:val="3"/>
    </w:lvlOverride>
    <w:lvlOverride w:ilvl="1">
      <w:startOverride w:val="1"/>
    </w:lvlOverride>
  </w:num>
  <w:num w:numId="11">
    <w:abstractNumId w:val="7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tabs>
        <w:tab w:val="clear" w:pos="709"/>
        <w:tab w:val="left" w:pos="0" w:leader="none"/>
      </w:tabs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14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 w:customStyle="1">
    <w:name w:val="[РГ] Текст"/>
    <w:basedOn w:val="Normal"/>
    <w:qFormat/>
    <w:rsid w:val="00ce338e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bt.rushydro.ru/Planning/Program/View/390524?returnUrl=%2FPlanning%2FProgram%2FIndex_all%3Fnotnull%3DTrue%26page%3D1%26pageSize%3D50%26Filter.Index%3D3038%26Filter.LotYears%3D2026%26Filter.UserOrganizationType%3D10%26Filter.ExtendedFilterOpened%3DFalse%26Filter.UserOrganizationType%3D10%26Filter.tabIndex%3D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76C2-8D35-4829-8229-EC7C853A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AlterOffice/3.4.0.9$Linux_X86_64 LibreOffice_project/b8daf9e823b1a5463a2f48435ddc2e8696e7d4fc</Application>
  <AppVersion>15.0000</AppVersion>
  <Pages>7</Pages>
  <Words>1013</Words>
  <Characters>7103</Characters>
  <CharactersWithSpaces>7949</CharactersWithSpaces>
  <Paragraphs>172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2026-02-11T02:52:00Z</dcterms:created>
  <dc:creator>Быстров Олег Геннадьевич</dc:creator>
  <dc:description/>
  <dc:language>ru-RU</dc:language>
  <cp:lastModifiedBy>ilyashenkoov@corp.gidroogk.com</cp:lastModifiedBy>
  <cp:lastPrinted>2026-06-29T14:42:08Z</cp:lastPrinted>
  <dcterms:modified xsi:type="dcterms:W3CDTF">2026-06-29T16:55:06Z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