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1" w:lastColumn="0" w:firstColumn="1" w:val="04a0" w:noHBand="0" w:noVBand="1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/>
                      <w:kern w:val="0"/>
                      <w:szCs w:val="20"/>
                      <w:lang w:bidi="ar-SA"/>
                    </w:rPr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Default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 xml:space="preserve">Запрос технико-коммерческих предложений </w:t>
      </w:r>
    </w:p>
    <w:p>
      <w:pPr>
        <w:pStyle w:val="Default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по лоту № 303</w:t>
      </w:r>
      <w:r>
        <w:rPr>
          <w:b/>
          <w:color w:val="auto"/>
          <w:sz w:val="28"/>
          <w:szCs w:val="26"/>
        </w:rPr>
        <w:t>8</w:t>
      </w:r>
      <w:r>
        <w:rPr>
          <w:b/>
          <w:color w:val="auto"/>
          <w:sz w:val="28"/>
          <w:szCs w:val="26"/>
        </w:rPr>
        <w:t>-ЭКСП ПРОД-2026-ТК_Дальневост_фил</w:t>
      </w:r>
    </w:p>
    <w:p>
      <w:pPr>
        <w:pStyle w:val="Default"/>
        <w:jc w:val="center"/>
        <w:rPr>
          <w:rStyle w:val="Style10"/>
          <w:rFonts w:eastAsia="Times New Roman"/>
          <w:i w:val="false"/>
          <w:i w:val="false"/>
          <w:sz w:val="28"/>
          <w:szCs w:val="28"/>
          <w:shd w:fill="auto" w:val="clear"/>
        </w:rPr>
      </w:pPr>
      <w:r>
        <w:rPr>
          <w:rStyle w:val="Style10"/>
          <w:rFonts w:eastAsia="Times New Roman"/>
          <w:i w:val="false"/>
          <w:sz w:val="28"/>
          <w:szCs w:val="28"/>
          <w:shd w:fill="auto" w:val="clear"/>
        </w:rPr>
        <w:t>ОКПД2 19.20.21 Поставка топлива для транспортных средств Южно-Сахалинского участка расчистки просек Дальневосточного филиала АО "ТК РусГидро"</w:t>
      </w:r>
    </w:p>
    <w:p>
      <w:pPr>
        <w:pStyle w:val="Default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на </w:t>
      </w:r>
      <w:r>
        <w:rPr>
          <w:rStyle w:val="Style10"/>
          <w:rFonts w:ascii="Times New Roman" w:hAnsi="Times New Roman"/>
          <w:b w:val="false"/>
          <w:bCs w:val="false"/>
          <w:i w:val="false"/>
          <w:iCs w:val="false"/>
          <w:sz w:val="26"/>
          <w:szCs w:val="26"/>
          <w:shd w:fill="auto" w:val="clear"/>
        </w:rPr>
        <w:t>ОКПД2 19.20.21 Поставка топлива для транспортных средств Южно-Сахалинского участка расчистки просек Дальневосточного филиала АО "ТК РусГидро".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pacing w:before="120" w:after="0"/>
        <w:ind w:left="567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08:00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01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 w:eastAsia="Cambria" w:eastAsiaTheme="minorHAnsi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shd w:fill="FFFFFF" w:val="clear"/>
          <w:lang w:eastAsia="ru-RU"/>
        </w:rPr>
        <w:t>Предложения должны быть направлены в виде сканированной электронной копии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Cambria" w:ascii="Times New Roman" w:hAnsi="Times New Roman" w:eastAsiaTheme="minorHAnsi"/>
          <w:b w:val="false"/>
          <w:bCs w:val="false"/>
          <w:sz w:val="26"/>
          <w:szCs w:val="26"/>
          <w:lang w:eastAsia="ru-RU"/>
        </w:rPr>
        <w:t>посредством ЭТП РАД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Default" w:customStyle="1">
    <w:name w:val="Default"/>
    <w:qFormat/>
    <w:rsid w:val="007779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C0EC-530B-4CF8-BE0E-BA078934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2</Pages>
  <Words>496</Words>
  <Characters>3532</Characters>
  <CharactersWithSpaces>3974</CharactersWithSpaces>
  <Paragraphs>38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2026-02-10T05:14:00Z</dcterms:created>
  <dc:creator>Andrey Zhurin</dc:creator>
  <dc:description/>
  <dc:language>ru-RU</dc:language>
  <cp:lastModifiedBy>ilyashenkoov@corp.gidroogk.com</cp:lastModifiedBy>
  <cp:lastPrinted>2026-02-12T23:48:00Z</cp:lastPrinted>
  <dcterms:modified xsi:type="dcterms:W3CDTF">2026-06-29T16:57:38Z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