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8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10"/>
        <w:gridCol w:w="4910"/>
      </w:tblGrid>
      <w:tr>
        <w:trPr/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tabs>
          <w:tab w:val="clear" w:pos="709"/>
          <w:tab w:val="left" w:pos="6926" w:leader="none"/>
        </w:tabs>
        <w:jc w:val="right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6926" w:leader="none"/>
        </w:tabs>
        <w:jc w:val="right"/>
        <w:rPr>
          <w:bCs/>
        </w:rPr>
      </w:pPr>
      <w:r>
        <w:rPr>
          <w:bCs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b/>
          <w:i/>
          <w:i/>
          <w:highlight w:val="yellow"/>
        </w:rPr>
      </w:pPr>
      <w:r>
        <w:rPr>
          <w:b/>
          <w:i/>
        </w:rPr>
        <w:t xml:space="preserve">ОКПД2 19.20.21 Поставка нефтепродуктов через АЗС в населенном пункте Углегорск для нужд Сахалинского ТУ Владивостокского Представительства АО «ТК РусГидро»      </w:t>
      </w:r>
    </w:p>
    <w:p>
      <w:pPr>
        <w:pStyle w:val="Normal"/>
        <w:jc w:val="center"/>
        <w:rPr>
          <w:rFonts w:eastAsia="Calibri"/>
          <w:b/>
          <w:i/>
          <w:i/>
          <w:lang w:val="en-US"/>
        </w:rPr>
      </w:pPr>
      <w:r>
        <w:rPr>
          <w:rFonts w:eastAsia="Calibri"/>
          <w:b/>
          <w:i/>
          <w:lang w:val="en-US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6"/>
              <w:szCs w:val="26"/>
            </w:rPr>
          </w:pPr>
          <w:r>
            <w:fldChar w:fldCharType="begin"/>
          </w:r>
          <w:r>
            <w:rPr>
              <w:webHidden/>
              <w:rStyle w:val="Style14"/>
              <w:sz w:val="26"/>
              <w:szCs w:val="26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z w:val="26"/>
              <w:szCs w:val="26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  <w:sz w:val="26"/>
                <w:szCs w:val="26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Обозначения и сокращения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sz w:val="26"/>
              <w:szCs w:val="26"/>
              <w:lang w:val="en-US"/>
            </w:rPr>
          </w:pPr>
          <w:hyperlink w:anchor="_Toc75446572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Цель использования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left="567" w:hanging="0"/>
            <w:rPr>
              <w:rFonts w:eastAsia="新細明體" w:eastAsiaTheme="minorEastAsia"/>
              <w:sz w:val="26"/>
              <w:szCs w:val="26"/>
            </w:rPr>
          </w:pPr>
          <w:r>
            <w:rPr>
              <w:rFonts w:eastAsia="新細明體" w:eastAsiaTheme="minorEastAsia"/>
              <w:sz w:val="26"/>
              <w:szCs w:val="26"/>
            </w:rPr>
          </w:r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6"/>
              <w:szCs w:val="26"/>
            </w:rPr>
          </w:pPr>
          <w:hyperlink w:anchor="_Toc75446573">
            <w:r>
              <w:rPr>
                <w:webHidden/>
                <w:rStyle w:val="Style14"/>
                <w:vanish w:val="false"/>
                <w:sz w:val="26"/>
                <w:szCs w:val="26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6"/>
                <w:szCs w:val="26"/>
              </w:rPr>
              <w:tab/>
            </w:r>
            <w:r>
              <w:rPr>
                <w:rStyle w:val="Style14"/>
                <w:iCs/>
                <w:sz w:val="26"/>
                <w:szCs w:val="26"/>
              </w:rPr>
              <w:t>Требования к продукции</w:t>
            </w:r>
            <w:r>
              <w:rPr>
                <w:rStyle w:val="Style14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Требования к объемам и срокам поставки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75446575">
            <w:r>
              <w:rPr>
                <w:webHidden/>
                <w:rStyle w:val="Style14"/>
                <w:vanish w:val="false"/>
                <w:sz w:val="26"/>
                <w:szCs w:val="26"/>
              </w:rPr>
              <w:t>2.1.1 Перечень и объем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sz w:val="26"/>
              <w:szCs w:val="26"/>
              <w:lang w:val="en-US"/>
            </w:rPr>
          </w:pPr>
          <w:r>
            <w:rPr>
              <w:vanish w:val="false"/>
              <w:sz w:val="26"/>
              <w:szCs w:val="26"/>
            </w:rPr>
            <w:t xml:space="preserve">        </w:t>
          </w:r>
          <w:hyperlink w:anchor="_Toc75446576"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 1.1 Перечень и объем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Heading3"/>
            <w:rPr>
              <w:b w:val="false"/>
              <w:sz w:val="26"/>
              <w:szCs w:val="26"/>
              <w:lang w:val="ru-RU"/>
            </w:rPr>
          </w:pPr>
          <w:r>
            <w:rPr>
              <w:b w:val="false"/>
              <w:sz w:val="26"/>
              <w:szCs w:val="26"/>
              <w:lang w:val="ru-RU"/>
            </w:rPr>
            <w:t xml:space="preserve">2.1.2 </w:t>
          </w:r>
          <w:r>
            <w:rPr>
              <w:b w:val="false"/>
              <w:sz w:val="26"/>
              <w:szCs w:val="26"/>
            </w:rPr>
            <w:t>Требования к срокам поставки продукции и оказания сопутствующих услуг</w:t>
          </w:r>
          <w:r>
            <w:rPr>
              <w:b w:val="false"/>
              <w:sz w:val="26"/>
              <w:szCs w:val="26"/>
              <w:lang w:val="ru-RU"/>
            </w:rPr>
            <w:t>..3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sz w:val="26"/>
              <w:szCs w:val="26"/>
            </w:rPr>
          </w:pPr>
          <w:r>
            <w:rPr>
              <w:sz w:val="26"/>
              <w:szCs w:val="26"/>
            </w:rPr>
          </w:r>
        </w:p>
        <w:p>
          <w:pPr>
            <w:pStyle w:val="Normal"/>
            <w:ind w:firstLine="567"/>
            <w:rPr>
              <w:rFonts w:eastAsia="新細明體" w:eastAsiaTheme="minorEastAsia"/>
              <w:sz w:val="26"/>
              <w:szCs w:val="26"/>
            </w:rPr>
          </w:pPr>
          <w:r>
            <w:rPr>
              <w:rFonts w:eastAsia="新細明體" w:eastAsiaTheme="minorEastAsia"/>
              <w:sz w:val="26"/>
              <w:szCs w:val="26"/>
            </w:rPr>
            <w:t>2.2 Требования к качеству продукции………………………………………………….4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sz w:val="26"/>
              <w:szCs w:val="26"/>
            </w:rPr>
          </w:pPr>
          <w:r>
            <w:rPr>
              <w:sz w:val="26"/>
              <w:szCs w:val="26"/>
            </w:rPr>
          </w:r>
        </w:p>
        <w:p>
          <w:pPr>
            <w:pStyle w:val="ListParagraph"/>
            <w:numPr>
              <w:ilvl w:val="0"/>
              <w:numId w:val="0"/>
            </w:numPr>
            <w:ind w:left="0" w:hanging="0"/>
            <w:jc w:val="both"/>
            <w:rPr>
              <w:b/>
              <w:color w:val="000000" w:themeColor="text1"/>
              <w:sz w:val="26"/>
              <w:szCs w:val="26"/>
              <w:highlight w:val="yellow"/>
            </w:rPr>
          </w:pPr>
          <w:r>
            <w:rPr>
              <w:b/>
              <w:color w:val="000000" w:themeColor="text1"/>
              <w:sz w:val="26"/>
              <w:szCs w:val="26"/>
            </w:rPr>
            <w:t>3.  Требования к документации по ценообразованию на этапе заключения (исполнения) договора……………………………………………………………………...9</w:t>
          </w:r>
          <w:r>
            <w:rPr>
              <w:sz w:val="26"/>
              <w:b/>
              <w:szCs w:val="26"/>
              <w:color w:val="000000"/>
            </w:rPr>
            <w:fldChar w:fldCharType="end"/>
          </w:r>
        </w:p>
      </w:sdtContent>
    </w:sdt>
    <w:p>
      <w:pPr>
        <w:pStyle w:val="ListParagraph"/>
        <w:ind w:left="108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6"/>
          <w:szCs w:val="26"/>
        </w:rPr>
      </w:pPr>
      <w:bookmarkStart w:id="0" w:name="_Toc75446566"/>
      <w:bookmarkStart w:id="1" w:name="_Toc51339692"/>
      <w:r>
        <w:rPr>
          <w:sz w:val="26"/>
          <w:szCs w:val="26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spacing w:before="120" w:after="60"/>
        <w:ind w:left="567" w:hanging="0"/>
        <w:rPr/>
      </w:pPr>
      <w:bookmarkStart w:id="2" w:name="_Toc75446567"/>
      <w:bookmarkStart w:id="3" w:name="_Toc46743505"/>
      <w:r>
        <w:rPr/>
        <w:t>Обозначения и сокращения</w:t>
      </w:r>
      <w:bookmarkEnd w:id="2"/>
      <w:bookmarkEnd w:id="3"/>
    </w:p>
    <w:tbl>
      <w:tblPr>
        <w:tblStyle w:val="affff8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3"/>
        <w:gridCol w:w="8797"/>
      </w:tblGrid>
      <w:tr>
        <w:trPr/>
        <w:tc>
          <w:tcPr>
            <w:tcW w:w="111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ТТ</w:t>
            </w:r>
          </w:p>
        </w:tc>
        <w:tc>
          <w:tcPr>
            <w:tcW w:w="8797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Технические требования</w:t>
            </w:r>
          </w:p>
        </w:tc>
      </w:tr>
      <w:tr>
        <w:trPr/>
        <w:tc>
          <w:tcPr>
            <w:tcW w:w="111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ТУ</w:t>
            </w:r>
          </w:p>
        </w:tc>
        <w:tc>
          <w:tcPr>
            <w:tcW w:w="8797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Транспортный участок</w:t>
            </w:r>
          </w:p>
        </w:tc>
      </w:tr>
    </w:tbl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  <w:tab w:val="left" w:pos="1134" w:leader="none"/>
        </w:tabs>
        <w:spacing w:before="0" w:after="0"/>
        <w:ind w:left="567" w:hanging="0"/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Heading4"/>
        <w:tabs>
          <w:tab w:val="clear" w:pos="0"/>
        </w:tabs>
        <w:ind w:left="0" w:firstLine="567"/>
        <w:jc w:val="both"/>
        <w:rPr>
          <w:b w:val="false"/>
          <w:bCs w:val="false"/>
          <w:lang w:val="ru-RU"/>
        </w:rPr>
      </w:pPr>
      <w:bookmarkStart w:id="6" w:name="_Toc75446569"/>
      <w:r>
        <w:rPr>
          <w:b w:val="false"/>
          <w:bCs w:val="false"/>
          <w:lang w:val="ru-RU"/>
        </w:rPr>
        <w:t xml:space="preserve">ОКПД2 19.20.21 Поставка нефтепродуктов через АЗС в населенном пункте Углегорск для нужд Сахалинского  ТУ Владивостокского Представительства АО «ТК РусГидро». </w:t>
      </w:r>
    </w:p>
    <w:p>
      <w:pPr>
        <w:pStyle w:val="Heading4"/>
        <w:numPr>
          <w:ilvl w:val="1"/>
          <w:numId w:val="3"/>
        </w:numPr>
        <w:ind w:left="567" w:hanging="0"/>
        <w:rPr/>
      </w:pPr>
      <w:bookmarkStart w:id="7" w:name="_Toc46743507"/>
      <w:r>
        <w:rPr/>
        <w:t xml:space="preserve">Цель </w:t>
      </w:r>
      <w:bookmarkEnd w:id="7"/>
      <w:r>
        <w:rPr/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Heading4"/>
        <w:tabs>
          <w:tab w:val="clear" w:pos="0"/>
        </w:tabs>
        <w:ind w:left="0" w:firstLine="426"/>
        <w:jc w:val="both"/>
        <w:rPr>
          <w:b w:val="false"/>
          <w:lang w:val="ru-RU" w:eastAsia="ru-RU"/>
        </w:rPr>
      </w:pPr>
      <w:bookmarkStart w:id="8" w:name="_Toc50125126"/>
      <w:bookmarkStart w:id="9" w:name="_Toc75446572"/>
      <w:bookmarkEnd w:id="8"/>
      <w:bookmarkEnd w:id="9"/>
      <w:r>
        <w:rPr>
          <w:b w:val="false"/>
          <w:lang w:val="ru-RU" w:eastAsia="ru-RU"/>
        </w:rPr>
        <w:t xml:space="preserve">Обеспечение бензином транспортных средств в целях организации бесперебойной работы Сахалинского ТУ Владивостокского представительства </w:t>
      </w:r>
      <w:r>
        <w:rPr>
          <w:b w:val="false"/>
          <w:bCs w:val="false"/>
          <w:lang w:val="ru-RU"/>
        </w:rPr>
        <w:t>АО «ТК РусГидро»</w:t>
      </w:r>
      <w:r>
        <w:rPr>
          <w:b w:val="false"/>
          <w:lang w:val="ru-RU" w:eastAsia="ru-RU"/>
        </w:rPr>
        <w:t>.</w:t>
      </w:r>
    </w:p>
    <w:p>
      <w:pPr>
        <w:pStyle w:val="Heading1"/>
        <w:numPr>
          <w:ilvl w:val="0"/>
          <w:numId w:val="3"/>
        </w:numPr>
        <w:ind w:left="0" w:firstLine="567"/>
        <w:jc w:val="center"/>
        <w:rPr>
          <w:sz w:val="26"/>
          <w:szCs w:val="26"/>
        </w:rPr>
      </w:pPr>
      <w:bookmarkStart w:id="10" w:name="_Toc51339693"/>
      <w:bookmarkStart w:id="11" w:name="_Toc75446573"/>
      <w:bookmarkStart w:id="12" w:name="_Toc75446572_Копия_1"/>
      <w:bookmarkEnd w:id="12"/>
      <w:r>
        <w:rPr>
          <w:sz w:val="26"/>
          <w:szCs w:val="26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0"/>
        <w:rPr/>
      </w:pPr>
      <w:bookmarkStart w:id="13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Heading3"/>
        <w:numPr>
          <w:ilvl w:val="2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567"/>
        <w:rPr/>
      </w:pPr>
      <w:bookmarkStart w:id="14" w:name="_Toc75446575"/>
      <w:r>
        <w:rPr/>
        <w:t>Перечень и объем закупаемой продукции</w:t>
      </w:r>
      <w:bookmarkEnd w:id="14"/>
    </w:p>
    <w:p>
      <w:pPr>
        <w:pStyle w:val="Heading1"/>
        <w:tabs>
          <w:tab w:val="clear" w:pos="0"/>
        </w:tabs>
        <w:ind w:left="567" w:hanging="0"/>
        <w:rPr>
          <w:sz w:val="24"/>
          <w:szCs w:val="24"/>
        </w:rPr>
      </w:pPr>
      <w:bookmarkStart w:id="15" w:name="_Toc75446576"/>
      <w:bookmarkStart w:id="16" w:name="_Toc51339695"/>
      <w:r>
        <w:rPr>
          <w:sz w:val="24"/>
          <w:szCs w:val="24"/>
        </w:rPr>
        <w:t xml:space="preserve">Таблица 1.1 Перечень </w:t>
      </w:r>
      <w:bookmarkEnd w:id="16"/>
      <w:r>
        <w:rPr>
          <w:sz w:val="24"/>
          <w:szCs w:val="24"/>
        </w:rPr>
        <w:t>и объем закупаемой продукции</w:t>
      </w:r>
      <w:bookmarkEnd w:id="15"/>
    </w:p>
    <w:tbl>
      <w:tblPr>
        <w:tblW w:w="99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6"/>
        <w:gridCol w:w="6258"/>
        <w:gridCol w:w="1441"/>
        <w:gridCol w:w="1544"/>
      </w:tblGrid>
      <w:tr>
        <w:trPr>
          <w:trHeight w:val="83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bookmarkStart w:id="17" w:name="_GoBack"/>
            <w:r>
              <w:rPr>
                <w:sz w:val="24"/>
                <w:szCs w:val="24"/>
              </w:rPr>
              <w:t>Количество*</w:t>
            </w:r>
            <w:bookmarkEnd w:id="17"/>
          </w:p>
        </w:tc>
      </w:tr>
      <w:tr>
        <w:trPr>
          <w:trHeight w:val="44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-421" w:hanging="0"/>
              <w:rPr/>
            </w:pPr>
            <w:r>
              <w:rPr/>
              <w:t>1.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АИ-92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13 980 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6"/>
          <w:szCs w:val="26"/>
          <w:shd w:fill="FFFF99" w:val="clear"/>
        </w:rPr>
      </w:pPr>
      <w:r>
        <w:rPr>
          <w:bCs/>
          <w:sz w:val="26"/>
          <w:szCs w:val="26"/>
          <w:shd w:fill="FFFF99" w:val="clear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rPr>
          <w:i/>
          <w:i/>
          <w:sz w:val="24"/>
          <w:szCs w:val="26"/>
          <w:lang w:eastAsia="x-none"/>
        </w:rPr>
      </w:pPr>
      <w:r>
        <w:rPr>
          <w:i/>
          <w:sz w:val="24"/>
          <w:szCs w:val="26"/>
          <w:lang w:eastAsia="x-none"/>
        </w:rPr>
        <w:t>*Объем продукции является ориентировочным, Заказчик не несет ответственности за неполную выборку продукции на общую сумму договора.</w:t>
      </w:r>
      <w:r>
        <w:rPr/>
        <w:t xml:space="preserve"> </w:t>
      </w:r>
      <w:r>
        <w:rPr>
          <w:i/>
          <w:sz w:val="24"/>
          <w:szCs w:val="26"/>
          <w:lang w:eastAsia="x-none"/>
        </w:rPr>
        <w:t xml:space="preserve">Количество поставляемой Продукции может быть изменено с учетом потребности Заказчика в пределах цены договора. 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6"/>
          <w:szCs w:val="26"/>
          <w:shd w:fill="FFFF99" w:val="clear"/>
        </w:rPr>
      </w:pPr>
      <w:r>
        <w:rPr>
          <w:bCs/>
          <w:sz w:val="26"/>
          <w:szCs w:val="26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567"/>
        <w:jc w:val="center"/>
        <w:rPr/>
      </w:pPr>
      <w:bookmarkStart w:id="18" w:name="_Toc75446578"/>
      <w:bookmarkStart w:id="19" w:name="_Toc51339696"/>
      <w:r>
        <w:rPr/>
        <w:t xml:space="preserve">Требования </w:t>
      </w:r>
      <w:bookmarkEnd w:id="19"/>
      <w:r>
        <w:rPr/>
        <w:t>к срокам поставки продукции и оказания сопутствующих услуг</w:t>
      </w:r>
      <w:bookmarkEnd w:id="18"/>
    </w:p>
    <w:p>
      <w:pPr>
        <w:pStyle w:val="Heading1"/>
        <w:tabs>
          <w:tab w:val="clear" w:pos="0"/>
        </w:tabs>
        <w:ind w:left="567" w:hanging="0"/>
        <w:rPr>
          <w:sz w:val="24"/>
          <w:szCs w:val="24"/>
          <w:lang w:val="ru-RU"/>
        </w:rPr>
      </w:pPr>
      <w:bookmarkStart w:id="20" w:name="_Toc75446579"/>
      <w:bookmarkStart w:id="21" w:name="_Toc51339697"/>
      <w:bookmarkStart w:id="22" w:name="_Toc50125127"/>
      <w:bookmarkStart w:id="23" w:name="_Toc50125126_Копия_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"/>
        <w:gridCol w:w="3102"/>
        <w:gridCol w:w="3277"/>
        <w:gridCol w:w="3117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b/>
                <w:szCs w:val="22"/>
              </w:rPr>
            </w:pPr>
            <w:bookmarkStart w:id="25" w:name="_Toc46743510"/>
            <w:r>
              <w:rPr>
                <w:b/>
                <w:szCs w:val="22"/>
              </w:rPr>
              <w:t>4</w:t>
            </w:r>
            <w:bookmarkEnd w:id="25"/>
          </w:p>
        </w:tc>
      </w:tr>
      <w:tr>
        <w:trPr>
          <w:trHeight w:val="417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АИ-92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(даты) заключения договора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30.06.2029 г.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</w:tabs>
        <w:ind w:left="567" w:hanging="6"/>
        <w:rPr/>
      </w:pPr>
      <w:bookmarkStart w:id="26" w:name="_Toc51339698"/>
      <w:bookmarkStart w:id="27" w:name="_Toc75446581"/>
      <w:bookmarkStart w:id="28" w:name="_Toc46743511"/>
      <w:r>
        <w:rPr/>
        <w:t xml:space="preserve">Требования к </w:t>
      </w:r>
      <w:bookmarkEnd w:id="28"/>
      <w:r>
        <w:rPr/>
        <w:t>качеству продукции</w:t>
      </w:r>
      <w:bookmarkEnd w:id="27"/>
    </w:p>
    <w:p>
      <w:pPr>
        <w:pStyle w:val="Heading1"/>
        <w:tabs>
          <w:tab w:val="clear" w:pos="0"/>
          <w:tab w:val="left" w:pos="851" w:leader="none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6"/>
    </w:p>
    <w:p>
      <w:pPr>
        <w:pStyle w:val="Normal"/>
        <w:tabs>
          <w:tab w:val="clear" w:pos="709"/>
          <w:tab w:val="left" w:pos="851" w:leader="none"/>
        </w:tabs>
        <w:rPr>
          <w:rStyle w:val="Style8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4"/>
        <w:tabs>
          <w:tab w:val="clear" w:pos="0"/>
        </w:tabs>
        <w:ind w:left="0" w:right="394" w:firstLine="567"/>
        <w:jc w:val="both"/>
        <w:rPr>
          <w:b w:val="false"/>
          <w:bCs w:val="false"/>
          <w:lang w:val="ru-RU"/>
        </w:rPr>
      </w:pPr>
      <w:r>
        <w:rPr/>
        <w:t xml:space="preserve">Наименование: </w:t>
      </w:r>
      <w:r>
        <w:rPr>
          <w:i/>
          <w:lang w:val="ru-RU"/>
        </w:rPr>
        <w:t xml:space="preserve">ОКПД2 19.20.21 Поставка нефтепродуктов через АЗС в населенном пункте Углегорск для нужд Сахалинского ТУ Владивостокского представительства АО «ТК РусГидро»      </w:t>
      </w:r>
    </w:p>
    <w:p>
      <w:pPr>
        <w:pStyle w:val="Normal"/>
        <w:tabs>
          <w:tab w:val="clear" w:pos="709"/>
          <w:tab w:val="left" w:pos="851" w:leader="none"/>
        </w:tabs>
        <w:ind w:hanging="6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c"/>
        <w:tblW w:w="15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4"/>
        <w:gridCol w:w="2091"/>
        <w:gridCol w:w="1955"/>
        <w:gridCol w:w="1395"/>
        <w:gridCol w:w="9"/>
        <w:gridCol w:w="1664"/>
        <w:gridCol w:w="9"/>
        <w:gridCol w:w="9"/>
        <w:gridCol w:w="1659"/>
        <w:gridCol w:w="9"/>
        <w:gridCol w:w="2105"/>
        <w:gridCol w:w="19"/>
        <w:gridCol w:w="1376"/>
        <w:gridCol w:w="12"/>
        <w:gridCol w:w="1665"/>
        <w:gridCol w:w="218"/>
      </w:tblGrid>
      <w:tr>
        <w:trPr>
          <w:trHeight w:val="311" w:hRule="atLeast"/>
        </w:trPr>
        <w:tc>
          <w:tcPr>
            <w:tcW w:w="8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0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359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заказчика</w:t>
            </w:r>
          </w:p>
        </w:tc>
        <w:tc>
          <w:tcPr>
            <w:tcW w:w="335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5177" w:type="dxa"/>
            <w:gridSpan w:val="5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59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5177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545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6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2091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Характеристики</w:t>
            </w:r>
          </w:p>
        </w:tc>
        <w:tc>
          <w:tcPr>
            <w:tcW w:w="1395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Количество </w:t>
            </w:r>
          </w:p>
        </w:tc>
        <w:tc>
          <w:tcPr>
            <w:tcW w:w="1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Характеристики</w:t>
            </w:r>
          </w:p>
        </w:tc>
        <w:tc>
          <w:tcPr>
            <w:tcW w:w="1395" w:type="dxa"/>
            <w:gridSpan w:val="2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  <w:tc>
          <w:tcPr>
            <w:tcW w:w="1677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Производитель, страна происхождения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</w:rPr>
            </w:pPr>
            <w:r>
              <w:rPr>
                <w:rFonts w:eastAsia="Calibri" w:cs="Arial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1.1.1</w:t>
            </w:r>
          </w:p>
        </w:tc>
        <w:tc>
          <w:tcPr>
            <w:tcW w:w="2091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Бензин АИ-92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ЕВРО не ниже К5</w:t>
            </w:r>
          </w:p>
        </w:tc>
        <w:tc>
          <w:tcPr>
            <w:tcW w:w="1395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13 980л.</w:t>
            </w:r>
          </w:p>
        </w:tc>
        <w:tc>
          <w:tcPr>
            <w:tcW w:w="1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13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1677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</w:rPr>
            </w:pPr>
            <w:r>
              <w:rPr>
                <w:rFonts w:eastAsia="Calibri" w:cs="Arial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1.1.2</w:t>
            </w:r>
          </w:p>
        </w:tc>
        <w:tc>
          <w:tcPr>
            <w:tcW w:w="2091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Бензин АИ-95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ЕВРО не ниже К5</w:t>
            </w:r>
          </w:p>
        </w:tc>
        <w:tc>
          <w:tcPr>
            <w:tcW w:w="1395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13 980л.</w:t>
            </w:r>
          </w:p>
        </w:tc>
        <w:tc>
          <w:tcPr>
            <w:tcW w:w="1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21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13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1677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</w:rPr>
            </w:pPr>
            <w:r>
              <w:rPr>
                <w:rFonts w:eastAsia="Calibri" w:cs="Arial" w:ascii="Calibri" w:hAnsi="Calibri"/>
              </w:rPr>
            </w:r>
          </w:p>
        </w:tc>
      </w:tr>
      <w:tr>
        <w:trPr>
          <w:trHeight w:val="249" w:hRule="atLeast"/>
        </w:trPr>
        <w:tc>
          <w:tcPr>
            <w:tcW w:w="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545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безопасности</w:t>
            </w:r>
          </w:p>
        </w:tc>
        <w:tc>
          <w:tcPr>
            <w:tcW w:w="16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1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545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Качество поставляемой Продукции должно соответствовать требованиям, определенным Техническим регламентом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6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1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2.2</w:t>
            </w:r>
          </w:p>
        </w:tc>
        <w:tc>
          <w:tcPr>
            <w:tcW w:w="545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Качество каждой партии Продукции должно быть подтверждено паспортом Продукции или товара, и/или декларацией/сертификатом соответствия. Партией считают любое количество топлива, однородного по показателям качества, сопровождаемое паспортом, оформленным в соответствии с требованиями Технического Регламента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 мазуту», утвержденным Решением Комиссии Таможенного союза от 18 октября 2011г. № 826.</w:t>
            </w:r>
          </w:p>
        </w:tc>
        <w:tc>
          <w:tcPr>
            <w:tcW w:w="16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1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545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6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1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24" w:hRule="atLeast"/>
        </w:trPr>
        <w:tc>
          <w:tcPr>
            <w:tcW w:w="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2091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33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Сахалинская область, г. Углегорск, АЗС Поставщика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22" w:hanging="322"/>
              <w:jc w:val="left"/>
              <w:rPr>
                <w:i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iCs/>
                <w:color w:val="000000" w:themeColor="text1"/>
                <w:sz w:val="22"/>
                <w:szCs w:val="22"/>
                <w:shd w:fill="FFFFFF" w:val="clear"/>
              </w:rPr>
            </w:r>
          </w:p>
        </w:tc>
        <w:tc>
          <w:tcPr>
            <w:tcW w:w="16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1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3.2</w:t>
            </w:r>
          </w:p>
        </w:tc>
        <w:tc>
          <w:tcPr>
            <w:tcW w:w="209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поставке</w:t>
            </w:r>
          </w:p>
        </w:tc>
        <w:tc>
          <w:tcPr>
            <w:tcW w:w="33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Поставка осуществляется на условиях самовывоза. Отпуск топлива производится путем заправки в топливный бак/емкость Заказчика. Отпуск топлива в топливные баки/емкости Заказчика осуществляется силами Поставщика.</w:t>
            </w:r>
          </w:p>
        </w:tc>
        <w:tc>
          <w:tcPr>
            <w:tcW w:w="16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177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33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топлива производится в рабочее время АЗС</w:t>
            </w:r>
          </w:p>
        </w:tc>
        <w:tc>
          <w:tcPr>
            <w:tcW w:w="16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177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33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Продукции должен осуществляться в соответствии с действующим законодательством РФ; Техническими условиями; Инструкцией о порядке поступления, хранения, отпуска и учета нефти и нефтепродуктов на нефтебазах, наливных пунктах и автозаправочных станциях системы Госнефтепродукта СССР, утвержденной Госкомнефтепродуктом СССР 15.08.1985 N 06/21-8-446</w:t>
            </w:r>
          </w:p>
        </w:tc>
        <w:tc>
          <w:tcPr>
            <w:tcW w:w="16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177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572" w:hRule="atLeast"/>
        </w:trPr>
        <w:tc>
          <w:tcPr>
            <w:tcW w:w="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545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6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1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2091" w:type="dxa"/>
            <w:vMerge w:val="restart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Гарантии качества, обязательства по качеству</w:t>
            </w:r>
          </w:p>
        </w:tc>
        <w:tc>
          <w:tcPr>
            <w:tcW w:w="33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Поставщик гарантирует Заказчику соответствие качества поставляемой им Продукции действующим стандартам и требованиям, установленным на данный вид топлива, указанные в п.2.</w:t>
            </w:r>
          </w:p>
        </w:tc>
        <w:tc>
          <w:tcPr>
            <w:tcW w:w="1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177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91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При возникновении между Заказчиком и Поставщиком спора о качестве Продукции или вследствие иных причин по требованию Заказчика или Поставщика может быть назначена экспертиза качества Продукции.</w:t>
            </w:r>
          </w:p>
        </w:tc>
        <w:tc>
          <w:tcPr>
            <w:tcW w:w="1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177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91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Расходы по проведению экспертизы несет сторона, потребовавшая назначение экспертизы. Если экспертиза назначена по требованию Заказчика и экспертиза подтвердила некачественность Продукции, то расходы по экспертизе несет Поставщик.</w:t>
            </w:r>
          </w:p>
        </w:tc>
        <w:tc>
          <w:tcPr>
            <w:tcW w:w="1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177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91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В случаях выявления несоответствия качеству поставляемого топлива, Заказчик для предъявления претензий, предоставляет Поставщику следующие документы: акт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Росстандарте России), подтверждающий факт ненадлежащего качества топлива. Экспертная организация проводит отбор арбитражных проб топлива согласно Приказа Росстандарта от 29.11.2012 № 1448-ст «ГОСТ 2517-2012. Межгосударственный стандарт. Нефть и нефтепродукты. Методы отбора проб». Поставщик в случае выявления некачественного топлива в течение 5 (пяти) дней с момента поступления претензии осуществляет его замену.</w:t>
            </w:r>
          </w:p>
        </w:tc>
        <w:tc>
          <w:tcPr>
            <w:tcW w:w="1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177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91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В случае если причиной поломки и/или порчи принадлежащих Заказчику транспортных средств явилось использование отпущенного Поставщиком топлива (определяется независимой экспертизой), Поставщик обязан компенсировать все затраты по ремонту и доставке транспортного средства с места поломки по указанному Заказчиком адресу.</w:t>
            </w:r>
          </w:p>
        </w:tc>
        <w:tc>
          <w:tcPr>
            <w:tcW w:w="1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177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5. </w:t>
            </w:r>
          </w:p>
        </w:tc>
        <w:tc>
          <w:tcPr>
            <w:tcW w:w="545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6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1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2091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33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Поставщик передает Заказчику товарную накладную (ТОРГ-12)/УПД, счет-фактуру</w:t>
            </w:r>
          </w:p>
        </w:tc>
        <w:tc>
          <w:tcPr>
            <w:tcW w:w="1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177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851" w:right="851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ind w:left="360" w:hang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3.Требования к документации по ценообразованию на этапе заключения (исполнения) договора</w:t>
      </w:r>
    </w:p>
    <w:p>
      <w:pPr>
        <w:pStyle w:val="ListParagraph"/>
        <w:ind w:left="1080"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numPr>
          <w:ilvl w:val="1"/>
          <w:numId w:val="11"/>
        </w:numPr>
        <w:ind w:left="0" w:firstLine="567"/>
        <w:jc w:val="both"/>
        <w:rPr>
          <w:iCs/>
          <w:color w:val="000000" w:themeColor="text1"/>
          <w:lang w:eastAsia="x-none"/>
        </w:rPr>
      </w:pPr>
      <w:r>
        <w:rPr>
          <w:rFonts w:eastAsia="Times New Roman"/>
        </w:rPr>
        <w:t>В стоимость Продукции должны быть включены все затраты, связанные с исполнением обязательств по поставке Продукции, расходы на погрузку, разгрузку и доставку Продукции до склада Поставщика, иные расходы, связанные с исполнением обязательств по Договору, в том числе, все налоги, сборы, пошлины при этом сумма НДС (в случае его уплаты) выделяется отдельно и не входит в итоговую стоимость заявки Участника, являющегося плательщиком НДС.</w:t>
      </w:r>
    </w:p>
    <w:p>
      <w:pPr>
        <w:pStyle w:val="ListParagraph"/>
        <w:numPr>
          <w:ilvl w:val="1"/>
          <w:numId w:val="12"/>
        </w:numPr>
        <w:ind w:left="0" w:firstLine="567"/>
        <w:jc w:val="both"/>
        <w:rPr>
          <w:iCs/>
          <w:color w:val="000000" w:themeColor="text1"/>
          <w:lang w:eastAsia="x-none"/>
        </w:rPr>
      </w:pPr>
      <w:r>
        <w:rPr>
          <w:iCs/>
          <w:color w:val="000000" w:themeColor="text1"/>
          <w:lang w:eastAsia="x-none"/>
        </w:rPr>
        <w:t>Цена каждой партии нефтепродуктов, может быть изменена Поставщиком в случае принятия органами государственной власти правовых актов, которые прямо или косвенно смогут оказать влияние на стоимость нефтепродуктов, а также в случае изменения ценовой конъюнктуры на нефтепродукты, изменения закупочных цен, транспортных тарифов, увеличения портовых и других сборов, а также наступления других обстоятельств, независящих от воли Поставщика.</w:t>
      </w:r>
    </w:p>
    <w:p>
      <w:pPr>
        <w:pStyle w:val="ListParagraph"/>
        <w:numPr>
          <w:ilvl w:val="1"/>
          <w:numId w:val="13"/>
        </w:numPr>
        <w:ind w:left="-57" w:firstLine="624"/>
        <w:jc w:val="both"/>
        <w:rPr>
          <w:iCs/>
          <w:color w:val="000000" w:themeColor="text1"/>
          <w:lang w:eastAsia="x-none"/>
        </w:rPr>
      </w:pPr>
      <w:r>
        <w:rPr>
          <w:iCs/>
          <w:color w:val="000000" w:themeColor="text1"/>
          <w:lang w:eastAsia="x-none"/>
        </w:rPr>
        <w:t>В случае изменения цены за периодом выборки она отражается в соответствующих ТТН и счетах-фактурах.</w:t>
      </w:r>
    </w:p>
    <w:p>
      <w:pPr>
        <w:pStyle w:val="ListParagraph"/>
        <w:ind w:left="-57" w:firstLine="624"/>
        <w:jc w:val="both"/>
        <w:rPr>
          <w:iCs/>
          <w:color w:val="000000" w:themeColor="text1"/>
          <w:lang w:eastAsia="x-none"/>
        </w:rPr>
      </w:pPr>
      <w:r>
        <w:rPr>
          <w:iCs/>
          <w:color w:val="000000" w:themeColor="text1"/>
          <w:lang w:eastAsia="x-none"/>
        </w:rPr>
      </w:r>
    </w:p>
    <w:p>
      <w:pPr>
        <w:pStyle w:val="ListParagraph"/>
        <w:ind w:left="-57" w:firstLine="624"/>
        <w:jc w:val="both"/>
        <w:rPr>
          <w:iCs/>
          <w:color w:val="000000" w:themeColor="text1"/>
          <w:lang w:eastAsia="x-none"/>
        </w:rPr>
      </w:pPr>
      <w:r>
        <w:rPr>
          <w:iCs/>
          <w:color w:val="000000" w:themeColor="text1"/>
          <w:lang w:eastAsia="x-none"/>
        </w:rPr>
      </w:r>
    </w:p>
    <w:p>
      <w:pPr>
        <w:pStyle w:val="ListParagraph"/>
        <w:ind w:left="-57" w:firstLine="624"/>
        <w:jc w:val="both"/>
        <w:rPr>
          <w:iCs/>
          <w:color w:val="000000" w:themeColor="text1"/>
          <w:lang w:eastAsia="x-none"/>
        </w:rPr>
      </w:pPr>
      <w:r>
        <w:rPr>
          <w:iCs/>
          <w:color w:val="000000" w:themeColor="text1"/>
          <w:lang w:eastAsia="x-none"/>
        </w:rPr>
      </w:r>
    </w:p>
    <w:p>
      <w:pPr>
        <w:pStyle w:val="ListParagraph"/>
        <w:ind w:left="-57" w:firstLine="624"/>
        <w:jc w:val="both"/>
        <w:rPr>
          <w:iCs/>
          <w:color w:val="000000" w:themeColor="text1"/>
          <w:lang w:eastAsia="x-none"/>
        </w:rPr>
      </w:pPr>
      <w:r>
        <w:rPr>
          <w:iCs/>
          <w:color w:val="000000" w:themeColor="text1"/>
          <w:lang w:eastAsia="x-none"/>
        </w:rPr>
      </w:r>
    </w:p>
    <w:p>
      <w:pPr>
        <w:pStyle w:val="Normal"/>
        <w:ind w:left="720" w:firstLine="851"/>
        <w:rPr>
          <w:color w:val="1F497D"/>
          <w:lang w:eastAsia="en-US"/>
        </w:rPr>
      </w:pPr>
      <w:r>
        <w:rPr>
          <w:color w:val="1F497D"/>
          <w:lang w:eastAsia="en-US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</w:t>
      </w:r>
    </w:p>
    <w:p>
      <w:pPr>
        <w:pStyle w:val="Normal"/>
        <w:spacing w:before="0" w:after="120"/>
        <w:contextualSpacing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contextualSpacing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3"/>
    </w:lvlOverride>
    <w:lvlOverride w:ilvl="1">
      <w:startOverride w:val="1"/>
    </w:lvlOverride>
  </w:num>
  <w:num w:numId="12">
    <w:abstractNumId w:val="7"/>
  </w:num>
  <w:num w:numId="13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tabs>
        <w:tab w:val="clear" w:pos="709"/>
        <w:tab w:val="left" w:pos="0" w:leader="none"/>
      </w:tabs>
      <w:spacing w:before="120" w:after="0"/>
      <w:ind w:left="567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3" w:customStyle="1">
    <w:name w:val="[РГ] Текст"/>
    <w:basedOn w:val="Normal"/>
    <w:qFormat/>
    <w:rsid w:val="00ce338e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5139E-45DE-4175-892C-CF18E281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AlterOffice/3.4.0.9$Linux_X86_64 LibreOffice_project/b8daf9e823b1a5463a2f48435ddc2e8696e7d4fc</Application>
  <AppVersion>15.0000</AppVersion>
  <Pages>9</Pages>
  <Words>1021</Words>
  <Characters>7096</Characters>
  <CharactersWithSpaces>8031</CharactersWithSpaces>
  <Paragraphs>172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2023-03-14T07:58:00Z</dcterms:created>
  <dc:creator>Быстров Олег Геннадьевич</dc:creator>
  <dc:description/>
  <dc:language>ru-RU</dc:language>
  <cp:lastModifiedBy>kovalchukvv@corp.gidroogk.com</cp:lastModifiedBy>
  <cp:lastPrinted>2025-02-10T09:30:32Z</cp:lastPrinted>
  <dcterms:modified xsi:type="dcterms:W3CDTF">2026-06-30T10:53:16Z</dcterms:modified>
  <cp:revision>50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