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8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US" w:eastAsia="ru-RU" w:bidi="ar-SA"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  <w:t>УТВЕРЖДАЮ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  <w:t xml:space="preserve">Директор Дальневосточного филиала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  <w:t>АО «ТК РусГидро»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  <w:t>_____________________ В.Ю. Золотарёв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26"/>
                <w:lang w:val="ru-RU" w:eastAsia="ru-RU" w:bidi="ar-SA"/>
              </w:rPr>
              <w:t>«___» _____________________2026 г.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iCs/>
          <w:sz w:val="26"/>
          <w:szCs w:val="26"/>
        </w:rPr>
      </w:pPr>
      <w:r>
        <w:rPr>
          <w:rFonts w:eastAsia="Calibri"/>
          <w:b/>
          <w:i/>
          <w:iCs/>
          <w:sz w:val="26"/>
          <w:szCs w:val="26"/>
        </w:rPr>
        <w:tab/>
        <w:t>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</w:p>
    <w:p>
      <w:pPr>
        <w:pStyle w:val="Normal"/>
        <w:jc w:val="center"/>
        <w:rPr>
          <w:rFonts w:eastAsia="Calibri"/>
          <w:b/>
          <w:i/>
          <w:i/>
          <w:iCs/>
          <w:sz w:val="26"/>
          <w:szCs w:val="26"/>
        </w:rPr>
      </w:pPr>
      <w:r>
        <w:rPr>
          <w:rFonts w:eastAsia="Calibri"/>
          <w:b/>
          <w:i/>
          <w:iCs/>
          <w:sz w:val="26"/>
          <w:szCs w:val="26"/>
        </w:rPr>
      </w:r>
    </w:p>
    <w:p>
      <w:pPr>
        <w:pStyle w:val="Normal"/>
        <w:jc w:val="center"/>
        <w:rPr>
          <w:i/>
          <w:i/>
          <w:iCs/>
        </w:rPr>
      </w:pPr>
      <w:r>
        <w:rPr>
          <w:rFonts w:eastAsia="Calibri"/>
          <w:b/>
          <w:i/>
          <w:iCs/>
          <w:sz w:val="26"/>
          <w:szCs w:val="26"/>
        </w:rPr>
        <w:t>3172-ЭКСП ПРОД-2026-ТК_Дальневост_фил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5240_1396573411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42_1396573411">
            <w:r>
              <w:rPr>
                <w:webHidden/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44_1396573411">
            <w:r>
              <w:rPr>
                <w:webHidden/>
                <w:rStyle w:val="Style14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46_1396573411">
            <w:r>
              <w:rPr>
                <w:webHidden/>
                <w:rStyle w:val="Style14"/>
              </w:rPr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48_1396573411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50_1396573411">
            <w:r>
              <w:rPr>
                <w:webHidden/>
                <w:rStyle w:val="Style14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52_1396573411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54_1396573411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56_1396573411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  <w:i/>
              </w:rPr>
              <w:t>*Объем продукции является ориентировочным, Заказчик не несет ответственности за неполную выборку продукции на общую сумму договора.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i/>
              </w:rPr>
              <w:t>Количество поставляемой Продукции может быть изменено с учетом потребности Заказчика в пределах цены договора.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58_1396573411">
            <w:r>
              <w:rPr>
                <w:webHidden/>
                <w:rStyle w:val="Style14"/>
              </w:rPr>
              <w:t>2.1.2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60_1396573411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62_1396573411">
            <w:r>
              <w:rPr>
                <w:webHidden/>
                <w:rStyle w:val="Style14"/>
              </w:rPr>
              <w:t>2.2. Требования к качеству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64_1396573411">
            <w:r>
              <w:rPr>
                <w:webHidden/>
                <w:rStyle w:val="Style14"/>
                <w:i w:val="false"/>
                <w:iCs w:val="false"/>
              </w:rPr>
              <w:t>Цель использования закупаемой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66_1396573411">
            <w:r>
              <w:rPr>
                <w:webHidden/>
                <w:rStyle w:val="Style14"/>
              </w:rPr>
              <w:t>3. Требования к документации по ценообразованию на этапе заключения (исполнения) договора</w:t>
              <w:tab/>
              <w:t>10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ind w:left="567" w:hanging="567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709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rPr>
          <w:caps/>
        </w:rPr>
      </w:pPr>
      <w:bookmarkStart w:id="0" w:name="__RefHeading___Toc5240_1396573411"/>
      <w:bookmarkStart w:id="1" w:name="_Toc231468823"/>
      <w:bookmarkEnd w:id="0"/>
      <w:r>
        <w:rPr/>
        <w:t>Общие сведения</w:t>
      </w:r>
      <w:bookmarkEnd w:id="1"/>
    </w:p>
    <w:p>
      <w:pPr>
        <w:pStyle w:val="Heading3"/>
        <w:numPr>
          <w:ilvl w:val="1"/>
          <w:numId w:val="3"/>
        </w:numPr>
        <w:rPr/>
      </w:pPr>
      <w:bookmarkStart w:id="2" w:name="__RefHeading___Toc5242_1396573411"/>
      <w:bookmarkStart w:id="3" w:name="_Toc231468824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международной дорожной перевозке опасных грузов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3"/>
        </w:numPr>
        <w:rPr/>
      </w:pPr>
      <w:bookmarkStart w:id="5" w:name="__RefHeading___Toc5244_1396573411"/>
      <w:bookmarkStart w:id="6" w:name="_Toc231468825"/>
      <w:bookmarkEnd w:id="5"/>
      <w:r>
        <w:rPr/>
        <w:t>Наименование закупаемой продукции</w:t>
      </w:r>
      <w:bookmarkEnd w:id="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</w:p>
    <w:p>
      <w:pPr>
        <w:pStyle w:val="Heading3"/>
        <w:numPr>
          <w:ilvl w:val="1"/>
          <w:numId w:val="3"/>
        </w:numPr>
        <w:rPr/>
      </w:pPr>
      <w:bookmarkStart w:id="7" w:name="__RefHeading___Toc5246_1396573411"/>
      <w:bookmarkStart w:id="8" w:name="_Toc231468826"/>
      <w:bookmarkStart w:id="9" w:name="_Toc46743507_Копия_1"/>
      <w:bookmarkEnd w:id="7"/>
      <w:r>
        <w:rPr/>
        <w:t xml:space="preserve">Цель </w:t>
      </w:r>
      <w:bookmarkEnd w:id="9"/>
      <w:r>
        <w:rPr/>
        <w:t>использования закупаемой продукции</w:t>
      </w:r>
      <w:bookmarkEnd w:id="8"/>
      <w:r>
        <w:rPr/>
        <w:t xml:space="preserve"> </w:t>
      </w:r>
    </w:p>
    <w:p>
      <w:pPr>
        <w:pStyle w:val="Normal"/>
        <w:widowControl w:val="false"/>
        <w:rPr>
          <w:sz w:val="24"/>
          <w:szCs w:val="24"/>
        </w:rPr>
      </w:pPr>
      <w:bookmarkStart w:id="10" w:name="_Toc125378695"/>
      <w:r>
        <w:rPr>
          <w:sz w:val="24"/>
          <w:szCs w:val="24"/>
        </w:rPr>
        <w:t xml:space="preserve">Транспортировка по маршруту </w:t>
      </w:r>
      <w:r>
        <w:rPr>
          <w:iCs/>
          <w:sz w:val="22"/>
          <w:szCs w:val="22"/>
        </w:rPr>
        <w:t>ООО «Колыманефтепродукт» РФ, Магаданская область, г. Магадан до</w:t>
      </w:r>
      <w:r>
        <w:rPr>
          <w:sz w:val="24"/>
          <w:szCs w:val="24"/>
        </w:rPr>
        <w:t xml:space="preserve"> </w:t>
      </w:r>
      <w:r>
        <w:rPr>
          <w:iCs/>
          <w:sz w:val="22"/>
          <w:szCs w:val="22"/>
        </w:rPr>
        <w:t xml:space="preserve">РФ, Магаданская область, Среднеканский городской округ, вахтовый посёлок строителей Усть-Среднеканской ГЭС </w:t>
      </w:r>
      <w:r>
        <w:rPr>
          <w:sz w:val="24"/>
          <w:szCs w:val="24"/>
        </w:rPr>
        <w:t>в связи с производственной необходимостью.</w:t>
      </w:r>
      <w:bookmarkEnd w:id="10"/>
    </w:p>
    <w:p>
      <w:pPr>
        <w:pStyle w:val="Normal"/>
        <w:widowControl w:val="false"/>
        <w:rPr>
          <w:iCs/>
          <w:sz w:val="22"/>
          <w:szCs w:val="22"/>
        </w:rPr>
      </w:pPr>
      <w:r>
        <w:rPr>
          <w:iCs/>
          <w:sz w:val="22"/>
          <w:szCs w:val="22"/>
        </w:rPr>
      </w:r>
      <w:bookmarkStart w:id="11" w:name="_GoBack"/>
      <w:bookmarkStart w:id="12" w:name="_GoBack"/>
      <w:bookmarkEnd w:id="12"/>
    </w:p>
    <w:p>
      <w:pPr>
        <w:pStyle w:val="Heading1"/>
        <w:numPr>
          <w:ilvl w:val="0"/>
          <w:numId w:val="3"/>
        </w:numPr>
        <w:ind w:left="0" w:firstLine="567"/>
        <w:jc w:val="center"/>
        <w:rPr>
          <w:sz w:val="26"/>
          <w:szCs w:val="26"/>
        </w:rPr>
      </w:pPr>
      <w:bookmarkStart w:id="13" w:name="__RefHeading___Toc5248_1396573411"/>
      <w:bookmarkStart w:id="14" w:name="_Toc75446572_Копия_1"/>
      <w:bookmarkEnd w:id="13"/>
      <w:bookmarkEnd w:id="14"/>
      <w:r>
        <w:rPr>
          <w:sz w:val="26"/>
          <w:szCs w:val="26"/>
        </w:rPr>
        <w:t>Требования к продукци</w:t>
      </w:r>
      <w:r>
        <w:rPr>
          <w:sz w:val="26"/>
          <w:szCs w:val="26"/>
        </w:rPr>
        <w:t>и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/>
      </w:pPr>
      <w:bookmarkStart w:id="15" w:name="__RefHeading___Toc5250_1396573411"/>
      <w:bookmarkStart w:id="16" w:name="_Toc232437795"/>
      <w:bookmarkEnd w:id="1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567"/>
        <w:rPr/>
      </w:pPr>
      <w:bookmarkStart w:id="17" w:name="__RefHeading___Toc5252_1396573411"/>
      <w:bookmarkStart w:id="18" w:name="_Toc232437796"/>
      <w:bookmarkEnd w:id="17"/>
      <w:r>
        <w:rPr/>
        <w:t>Перечень и объем закупаемой продукции</w:t>
      </w:r>
      <w:bookmarkEnd w:id="18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</w:rPr>
      </w:pPr>
      <w:bookmarkStart w:id="19" w:name="__RefHeading___Toc5254_1396573411"/>
      <w:bookmarkStart w:id="20" w:name="_Toc232437797"/>
      <w:bookmarkStart w:id="21" w:name="_Toc51339695_Копия_1"/>
      <w:bookmarkEnd w:id="19"/>
      <w:r>
        <w:rPr>
          <w:sz w:val="24"/>
          <w:szCs w:val="24"/>
        </w:rPr>
        <w:t xml:space="preserve">Таблица 1.1 Перечень </w:t>
      </w:r>
      <w:bookmarkEnd w:id="21"/>
      <w:r>
        <w:rPr>
          <w:sz w:val="24"/>
          <w:szCs w:val="24"/>
        </w:rPr>
        <w:t>и объем закупаемой продукции</w:t>
      </w:r>
      <w:bookmarkEnd w:id="20"/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6"/>
        <w:gridCol w:w="6258"/>
        <w:gridCol w:w="1441"/>
        <w:gridCol w:w="1545"/>
      </w:tblGrid>
      <w:tr>
        <w:trPr>
          <w:trHeight w:val="83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>
          <w:trHeight w:val="44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rPr/>
            </w:pPr>
            <w:r>
              <w:rPr/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Дизельное топливо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</w:tbl>
    <w:p>
      <w:pPr>
        <w:pStyle w:val="Heading3"/>
        <w:numPr>
          <w:ilvl w:val="0"/>
          <w:numId w:val="0"/>
        </w:numPr>
        <w:tabs>
          <w:tab w:val="left" w:pos="0" w:leader="none"/>
          <w:tab w:val="left" w:pos="426" w:leader="none"/>
        </w:tabs>
        <w:ind w:left="0" w:hanging="0"/>
        <w:rPr/>
      </w:pPr>
      <w:bookmarkStart w:id="22" w:name="__RefHeading___Toc5256_1396573411"/>
      <w:bookmarkEnd w:id="22"/>
      <w:r>
        <w:rPr/>
        <w:t xml:space="preserve">   </w:t>
      </w:r>
      <w:r>
        <w:rPr>
          <w:b w:val="false"/>
          <w:bCs w:val="false"/>
          <w:i/>
          <w:sz w:val="24"/>
          <w:szCs w:val="26"/>
          <w:lang w:eastAsia="x-none"/>
        </w:rPr>
        <w:t>*Объем продукции является ориентировочным, Заказчик не несет ответственности за неполную выборку продукции на общую сумму договора.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i/>
          <w:sz w:val="24"/>
          <w:szCs w:val="26"/>
          <w:lang w:eastAsia="x-none"/>
        </w:rPr>
        <w:t xml:space="preserve">Количество поставляемой Продукции может быть изменено с учетом потребности Заказчика в пределах цены договора. </w:t>
      </w:r>
    </w:p>
    <w:p>
      <w:pPr>
        <w:pStyle w:val="Heading3"/>
        <w:numPr>
          <w:ilvl w:val="0"/>
          <w:numId w:val="0"/>
        </w:numPr>
        <w:tabs>
          <w:tab w:val="left" w:pos="0" w:leader="none"/>
          <w:tab w:val="left" w:pos="426" w:leader="none"/>
        </w:tabs>
        <w:ind w:left="0" w:hanging="0"/>
        <w:rPr/>
      </w:pPr>
      <w:bookmarkStart w:id="23" w:name="__RefHeading___Toc5258_1396573411"/>
      <w:bookmarkEnd w:id="23"/>
      <w:r>
        <w:rPr/>
        <w:t xml:space="preserve">2.1.2 </w:t>
      </w:r>
      <w:bookmarkStart w:id="24" w:name="_Toc75446578"/>
      <w:bookmarkStart w:id="25" w:name="_Toc51339696"/>
      <w:bookmarkStart w:id="26" w:name="_Toc232437798"/>
      <w:r>
        <w:rPr/>
        <w:t xml:space="preserve">Требования </w:t>
      </w:r>
      <w:bookmarkEnd w:id="25"/>
      <w:r>
        <w:rPr/>
        <w:t>к срокам поставки продукции и оказания сопутствующих услуг</w:t>
      </w:r>
      <w:bookmarkEnd w:id="24"/>
      <w:bookmarkEnd w:id="26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  <w:lang w:val="ru-RU"/>
        </w:rPr>
      </w:pPr>
      <w:bookmarkStart w:id="27" w:name="__RefHeading___Toc5260_1396573411"/>
      <w:bookmarkStart w:id="28" w:name="_Toc232437799"/>
      <w:bookmarkStart w:id="29" w:name="_Toc51339697"/>
      <w:bookmarkStart w:id="30" w:name="_Toc50125127"/>
      <w:bookmarkStart w:id="31" w:name="_Toc50125126_Копия_1"/>
      <w:bookmarkEnd w:id="27"/>
      <w:bookmarkEnd w:id="31"/>
      <w:r>
        <w:rPr>
          <w:rFonts w:eastAsia="Calibri"/>
          <w:sz w:val="24"/>
          <w:szCs w:val="24"/>
        </w:rPr>
        <w:t xml:space="preserve">Таблица </w:t>
      </w:r>
      <w:r>
        <w:rPr>
          <w:rFonts w:eastAsia="Calibri"/>
          <w:sz w:val="24"/>
          <w:szCs w:val="24"/>
          <w:lang w:val="ru-RU"/>
        </w:rPr>
        <w:t>2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ru-RU"/>
        </w:rPr>
        <w:t>1</w:t>
      </w:r>
      <w:r>
        <w:rPr>
          <w:rFonts w:eastAsia="Calibri"/>
          <w:sz w:val="24"/>
          <w:szCs w:val="24"/>
        </w:rPr>
        <w:t xml:space="preserve"> </w:t>
      </w:r>
      <w:bookmarkStart w:id="32" w:name="_Hlk50465284"/>
      <w:r>
        <w:rPr>
          <w:rFonts w:eastAsia="Calibri"/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rFonts w:eastAsia="Calibri"/>
          <w:sz w:val="24"/>
          <w:szCs w:val="24"/>
          <w:lang w:val="ru-RU"/>
        </w:rPr>
        <w:t>поставки продукции</w:t>
      </w:r>
      <w:bookmarkEnd w:id="28"/>
      <w:r>
        <w:rPr>
          <w:rFonts w:eastAsia="Calibri"/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ind w:left="567" w:hanging="0"/>
        <w:rPr>
          <w:sz w:val="24"/>
          <w:szCs w:val="24"/>
          <w:lang w:val="ru-RU"/>
        </w:rPr>
      </w:pPr>
      <w:r>
        <w:rPr/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3102"/>
        <w:gridCol w:w="3277"/>
        <w:gridCol w:w="3118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bookmarkStart w:id="33" w:name="_Toc46743510"/>
            <w:r>
              <w:rPr>
                <w:b/>
                <w:szCs w:val="22"/>
              </w:rPr>
              <w:t>4</w:t>
            </w:r>
            <w:bookmarkEnd w:id="33"/>
          </w:p>
        </w:tc>
      </w:tr>
      <w:tr>
        <w:trPr>
          <w:trHeight w:val="41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Дизельное топливо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31.12.202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/>
      </w:r>
    </w:p>
    <w:p>
      <w:pPr>
        <w:pStyle w:val="Heading3"/>
        <w:numPr>
          <w:ilvl w:val="1"/>
          <w:numId w:val="3"/>
        </w:numPr>
        <w:rPr/>
      </w:pPr>
      <w:bookmarkStart w:id="34" w:name="__RefHeading___Toc5262_1396573411"/>
      <w:bookmarkStart w:id="35" w:name="_Toc231468831"/>
      <w:bookmarkStart w:id="36" w:name="_Toc51339698"/>
      <w:bookmarkStart w:id="37" w:name="_Toc50125131"/>
      <w:bookmarkStart w:id="38" w:name="_Toc46743511"/>
      <w:bookmarkEnd w:id="34"/>
      <w:bookmarkEnd w:id="36"/>
      <w:bookmarkEnd w:id="37"/>
      <w:r>
        <w:rPr/>
        <w:t xml:space="preserve">Требования к </w:t>
      </w:r>
      <w:bookmarkEnd w:id="38"/>
      <w:r>
        <w:rPr/>
        <w:t>качеству услуг</w:t>
      </w:r>
      <w:bookmarkEnd w:id="35"/>
    </w:p>
    <w:p>
      <w:pPr>
        <w:pStyle w:val="Normal"/>
        <w:numPr>
          <w:ilvl w:val="0"/>
          <w:numId w:val="0"/>
        </w:numPr>
        <w:ind w:left="786" w:hanging="0"/>
        <w:rPr/>
      </w:pPr>
      <w:r>
        <w:rPr>
          <w:rFonts w:eastAsia="Calibri"/>
          <w:b/>
          <w:sz w:val="24"/>
          <w:szCs w:val="24"/>
          <w:lang w:val="x-none" w:eastAsia="x-none"/>
        </w:rPr>
        <w:t xml:space="preserve">Таблица 3. Требования к продукции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</w:t>
      </w:r>
    </w:p>
    <w:p>
      <w:pPr>
        <w:pStyle w:val="Heading4"/>
        <w:tabs>
          <w:tab w:val="clear" w:pos="0"/>
        </w:tabs>
        <w:ind w:left="432" w:hanging="0"/>
        <w:rPr>
          <w:b w:val="false"/>
          <w:lang w:val="ru-RU" w:eastAsia="ru-RU"/>
        </w:rPr>
      </w:pPr>
      <w:bookmarkStart w:id="39" w:name="__RefHeading___Toc5264_1396573411"/>
      <w:bookmarkStart w:id="40" w:name="_Toc232437803"/>
      <w:bookmarkEnd w:id="39"/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>Цель использования закупаемой продукции</w:t>
      </w:r>
      <w:bookmarkEnd w:id="40"/>
      <w:r>
        <w:rPr>
          <w:rFonts w:eastAsia="Calibri"/>
          <w:b/>
          <w:bCs/>
          <w:i w:val="false"/>
          <w:iCs w:val="false"/>
          <w:sz w:val="24"/>
          <w:szCs w:val="24"/>
          <w:lang w:eastAsia="x-none"/>
        </w:rPr>
        <w:t xml:space="preserve">  </w:t>
      </w:r>
    </w:p>
    <w:p>
      <w:pPr>
        <w:pStyle w:val="Normal"/>
        <w:tabs>
          <w:tab w:val="clear" w:pos="708"/>
        </w:tabs>
        <w:ind w:left="432" w:hanging="0"/>
        <w:rPr>
          <w:b w:val="false"/>
          <w:lang w:val="ru-RU" w:eastAsia="ru-RU"/>
        </w:rPr>
      </w:pPr>
      <w:r>
        <w:rPr/>
      </w:r>
    </w:p>
    <w:tbl>
      <w:tblPr>
        <w:tblStyle w:val="1c"/>
        <w:tblW w:w="16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4563"/>
        <w:gridCol w:w="1985"/>
        <w:gridCol w:w="1843"/>
        <w:gridCol w:w="6381"/>
        <w:gridCol w:w="755"/>
      </w:tblGrid>
      <w:tr>
        <w:trPr>
          <w:trHeight w:val="311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5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82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839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456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Характеристики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Количество т. </w:t>
            </w:r>
          </w:p>
        </w:tc>
        <w:tc>
          <w:tcPr>
            <w:tcW w:w="71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1.1.1</w:t>
            </w:r>
          </w:p>
        </w:tc>
        <w:tc>
          <w:tcPr>
            <w:tcW w:w="456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Дизельное топливо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ЕВРО не ниже К5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99" w:leader="none"/>
              </w:tabs>
              <w:suppressAutoHyphens w:val="true"/>
              <w:spacing w:before="0" w:after="0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160</w:t>
            </w:r>
          </w:p>
        </w:tc>
        <w:tc>
          <w:tcPr>
            <w:tcW w:w="71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</w:tr>
      <w:tr>
        <w:trPr>
          <w:trHeight w:val="249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поставляемой Продукции должно соответствовать требованиям, определенным Техническим регламентом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топочному мазуту», ГОСТ 32511-2013 (EN 590:2009) «Топливо дизельное ЕВРО. Технические условия», ГОСТ Р 52368-2005 (ЕН 590:2009) «Топливо дизельное ЕВРО. Технические условия»</w:t>
            </w:r>
          </w:p>
        </w:tc>
        <w:tc>
          <w:tcPr>
            <w:tcW w:w="63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каждой партии Продукции должно быть подтверждено паспортом Продукции или товара, и/или декларацией/сертификатом соответствия. Партией считают любое количество топлива, однородного по показателям качества, сопровождаемое паспортом, оформленным в соответствии с требованиями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утвержденным Правительством Российской Федерации от 27 февраля 2008г. N 188, и ГОСТ 1510-84 «Нефть и нефтепродукты. маркировка, упаковка, транспортирование и хранение».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Топливозаправщики поставщика должны соответствовать требованиям ГОСТ 33666-2015 «Автомобильные транспортные средства для транспортирования и заправки нефтепродуктов. Технические требования»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2.4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Организация и выполнение услуг должны выполняться строго в соответствии с требованиями ДОПОГ и Законодательства РФ в области ОТ, ПБ и ОСС и требованиями в области промышленной и пожарной безопасности, охраны труда и окружающей среды.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8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839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конструкции, изготовлению и материалам</w:t>
            </w:r>
          </w:p>
        </w:tc>
        <w:tc>
          <w:tcPr>
            <w:tcW w:w="63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Не установлено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289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дизельного топлива должен соответствовать сезону согласно регламента о температурных нормах для ГСМ («Летнее»/«Межсезонное»/«Зимнее»)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4563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685030, Магаданская область, г. Магадан, склад Поставщика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22" w:hanging="322"/>
              <w:jc w:val="left"/>
              <w:rPr>
                <w:iCs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63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45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поставке</w:t>
            </w:r>
          </w:p>
        </w:tc>
        <w:tc>
          <w:tcPr>
            <w:tcW w:w="3828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Поставка </w:t>
            </w: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продукции </w:t>
            </w: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осуществляется топливозаправщиком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Поставка должна осуществляться по предварительной заявке Заказчика в любое время, включая выходные и праздничные дни, в объеме разовой поставки не менее </w:t>
            </w: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35 тонн.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Отпуск продукции производится силами Исполнителя и осуществляется посредством заправки топливных баков транспортных средств Заказчика.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79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126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119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kern w:val="0"/>
                <w:lang w:val="ru-RU" w:eastAsia="en-US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.1</w:t>
            </w:r>
          </w:p>
        </w:tc>
        <w:tc>
          <w:tcPr>
            <w:tcW w:w="4563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Гарантии качества, обязательства по качеству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Гарантийный срок на Товар должен соответствовать гарантийному сроку, установленному заводом-изготовителем Товара. (ГОСТ Р 52368-2005) </w:t>
            </w:r>
          </w:p>
        </w:tc>
        <w:tc>
          <w:tcPr>
            <w:tcW w:w="63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При возникновении между Заказчиком и Поставщиком спора о качестве Продукции или вследствие иных причин по требованию Заказчика или Поставщика может быть назначена экспертиза качества Продукции.В течение Гарантийного срока Поставщик гарантирует соответствие качества Товара требованиям технического паспорта и иных документов, относящихся к 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устранения.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В случаях выявления несоответствия качеству поставляемого топлива, Заказчик для предъявления претензий, предоставляет Поставщику следующие документы: 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Росстандарте России), подтверждающий факт ненадлежащего качества топлива. Экспертная организация проводит отбор арбитражных проб топлива согласно Приказа Росстандарта от 29.11.2012 № 1448-ст «ГОСТ 2517-2012. Межгосударственный стандарт. Нефть и нефтепродукты. Методы отбора проб». Поставщик в случае выявления некачественного топлива в течение 5 (пяти) дней с момента поступления претензии осуществляет его замену.Поставщик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путем замены. Поставщик вправе по согласованию с Покупателем вместо замены Товара возвратить Покупателю его стоимость. Вывоз Товара для целей устранения недостатков (дефектов) осуществляется силами Поставщика и за его счет.  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63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82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Устранение недостатков, несоответствий и / или дефектов Товара или возврат его стоимости, не освобождает Поставщика от обязанности возмещения убытков, причиненных Покупателю вследствие наличия таких недостатков (дефектов).</w:t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. </w:t>
            </w:r>
          </w:p>
        </w:tc>
        <w:tc>
          <w:tcPr>
            <w:tcW w:w="839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  <w:tr>
        <w:trPr>
          <w:trHeight w:val="688" w:hRule="atLeast"/>
        </w:trPr>
        <w:tc>
          <w:tcPr>
            <w:tcW w:w="8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.1</w:t>
            </w:r>
          </w:p>
        </w:tc>
        <w:tc>
          <w:tcPr>
            <w:tcW w:w="4563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38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передает Заказчику товарную накладную (ТОРГ-12)/УПД, счет-фактуруПоставщик ежемесячно передает Заказчику отчет по транзакциям, акт сверки, товарную накладную (ТОРГ-12)/УПД, счет-фактуру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Arial"/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kern w:val="0"/>
                <w:lang w:val="ru-RU" w:eastAsia="en-US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4"/>
          <w:szCs w:val="24"/>
        </w:rPr>
      </w:pPr>
      <w:bookmarkStart w:id="41" w:name="__RefHeading___Toc5266_1396573411"/>
      <w:bookmarkStart w:id="42" w:name="_Toc231468832"/>
      <w:bookmarkStart w:id="43" w:name="_Toc54643711"/>
      <w:bookmarkStart w:id="44" w:name="_Toc54281228"/>
      <w:bookmarkEnd w:id="41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42"/>
      <w:bookmarkEnd w:id="43"/>
      <w:bookmarkEnd w:id="44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3.1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3"/>
        <w:tabs>
          <w:tab w:val="clear" w:pos="0"/>
        </w:tabs>
        <w:ind w:left="432" w:hanging="0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 w:val="22"/>
          <w:szCs w:val="22"/>
        </w:rPr>
      </w:pPr>
      <w:r>
        <w:rPr>
          <w:iCs/>
          <w:sz w:val="22"/>
          <w:szCs w:val="22"/>
        </w:rPr>
        <w:t>Ведущий инженер группы КЭОиРТС</w:t>
      </w:r>
    </w:p>
    <w:p>
      <w:pPr>
        <w:pStyle w:val="Normal"/>
        <w:rPr>
          <w:sz w:val="22"/>
          <w:szCs w:val="22"/>
        </w:rPr>
      </w:pPr>
      <w:r>
        <w:rPr>
          <w:iCs/>
          <w:sz w:val="22"/>
          <w:szCs w:val="22"/>
        </w:rPr>
        <w:t xml:space="preserve">Дальневосточного филиала АО «ТК РусГидро»                                     </w:t>
        <w:tab/>
        <w:t xml:space="preserve">             </w:t>
        <w:tab/>
        <w:t xml:space="preserve">А.А. Верещак </w:t>
      </w:r>
    </w:p>
    <w:p>
      <w:pPr>
        <w:pStyle w:val="24"/>
        <w:tabs>
          <w:tab w:val="clear" w:pos="1134"/>
        </w:tabs>
        <w:snapToGrid w:val="true"/>
        <w:spacing w:before="0" w:after="0"/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F7DA9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F7DA9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3e8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ind w:left="1224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143dd"/>
    <w:pPr>
      <w:keepNext w:val="true"/>
      <w:tabs>
        <w:tab w:val="clear" w:pos="708"/>
        <w:tab w:val="left" w:pos="0" w:leader="none"/>
      </w:tabs>
      <w:spacing w:before="120" w:after="60"/>
      <w:ind w:left="432" w:hanging="432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143dd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C987-606A-4718-A955-EF082527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Application>AlterOffice/3.4.0.9$Linux_X86_64 LibreOffice_project/b8daf9e823b1a5463a2f48435ddc2e8696e7d4fc</Application>
  <AppVersion>15.0000</AppVersion>
  <Pages>10</Pages>
  <Words>1314</Words>
  <Characters>9425</Characters>
  <CharactersWithSpaces>10648</CharactersWithSpaces>
  <Paragraphs>155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2023-04-12T02:31:00Z</dcterms:created>
  <dc:creator>Быстров Олег Геннадьевич</dc:creator>
  <dc:description/>
  <dc:language>ru-RU</dc:language>
  <cp:lastModifiedBy>vereschakaa@corp.gidroogk.com</cp:lastModifiedBy>
  <cp:lastPrinted>2026-05-20T06:42:00Z</cp:lastPrinted>
  <dcterms:modified xsi:type="dcterms:W3CDTF">2026-06-28T13:40:30Z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