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>ОКПД2: 29.20.21.110 Поставка контейнера общего назначения (универсального) в Нерюнгринский район, Республика Саха (Якутия) для нужд Строительного участка Нерюнгри Дальневосточного филиала АО «ТК РусГидро»</w:t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2114_2713773899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16_2713773899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18_2713773899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20_2713773899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24_2713773899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26_2713773899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28_2713773899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0_2713773899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32_2713773899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4_2713773899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9921" w:leader="dot"/>
            </w:tabs>
            <w:rPr/>
          </w:pPr>
          <w:hyperlink w:anchor="__RefHeading___Toc2136_2713773899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8_2713773899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0" w:name="__RefHeading___Toc2114_2713773899"/>
      <w:bookmarkStart w:id="1" w:name="_Toc51339692"/>
      <w:bookmarkStart w:id="2" w:name="_Toc75446566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>
          <w:sz w:val="24"/>
          <w:szCs w:val="24"/>
        </w:rPr>
      </w:pPr>
      <w:bookmarkStart w:id="3" w:name="__RefHeading___Toc2116_2713773899"/>
      <w:bookmarkStart w:id="4" w:name="_Toc46743505"/>
      <w:bookmarkStart w:id="5" w:name="_Toc75446567"/>
      <w:bookmarkEnd w:id="3"/>
      <w:r>
        <w:rPr>
          <w:sz w:val="24"/>
          <w:szCs w:val="24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709"/>
          <w:tab w:val="left" w:pos="851" w:leader="none"/>
          <w:tab w:val="left" w:pos="1134" w:leader="none"/>
        </w:tabs>
        <w:spacing w:before="0" w:after="0"/>
        <w:ind w:left="567" w:firstLine="135"/>
        <w:rPr>
          <w:sz w:val="24"/>
          <w:szCs w:val="24"/>
        </w:rPr>
      </w:pPr>
      <w:bookmarkStart w:id="6" w:name="__RefHeading___Toc2118_2713773899"/>
      <w:bookmarkStart w:id="7" w:name="_Toc46743506"/>
      <w:bookmarkStart w:id="8" w:name="_Toc75446568"/>
      <w:bookmarkEnd w:id="6"/>
      <w:r>
        <w:rPr>
          <w:sz w:val="24"/>
          <w:szCs w:val="24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ОКПД2: </w:t>
      </w:r>
      <w:r>
        <w:rPr>
          <w:rStyle w:val="Style8"/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29.20.21.110 Поставка контейнера общего назначения (универсального) в Нерюнгринский районе, Республика Саха (Якутия) для нужд Строительного участка Нерюнгри Дальневосточного филиала АО «ТК РусГидро»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val="ru-RU" w:eastAsia="ru-RU"/>
        </w:rPr>
        <w:t>.</w:t>
      </w:r>
    </w:p>
    <w:p>
      <w:pPr>
        <w:pStyle w:val="Heading4"/>
        <w:numPr>
          <w:ilvl w:val="1"/>
          <w:numId w:val="3"/>
        </w:numPr>
        <w:tabs>
          <w:tab w:val="clear" w:pos="709"/>
          <w:tab w:val="left" w:pos="1134" w:leader="none"/>
        </w:tabs>
        <w:ind w:left="567" w:firstLine="135"/>
        <w:rPr>
          <w:sz w:val="24"/>
          <w:szCs w:val="24"/>
        </w:rPr>
      </w:pPr>
      <w:bookmarkStart w:id="9" w:name="__RefHeading___Toc2120_2713773899"/>
      <w:bookmarkStart w:id="10" w:name="_Toc75446569"/>
      <w:bookmarkStart w:id="11" w:name="_Toc46743507"/>
      <w:bookmarkEnd w:id="9"/>
      <w:r>
        <w:rPr>
          <w:sz w:val="24"/>
          <w:szCs w:val="24"/>
        </w:rPr>
        <w:t xml:space="preserve">Цель </w:t>
      </w:r>
      <w:bookmarkEnd w:id="11"/>
      <w:r>
        <w:rPr>
          <w:sz w:val="24"/>
          <w:szCs w:val="24"/>
        </w:rPr>
        <w:t>использования закупаемой продукции</w:t>
      </w:r>
      <w:bookmarkEnd w:id="10"/>
    </w:p>
    <w:p>
      <w:pPr>
        <w:pStyle w:val="Normal"/>
        <w:widowControl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rStyle w:val="Style8"/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Контейнер общего назначения (универсальный) закупается для хранения и сохранности ТМЦ Строительного участка Нерюнгри Дальневосточного филиала АО «ТК РусГидро»</w:t>
      </w:r>
      <w:r>
        <w:rPr/>
        <w:t>.</w:t>
      </w:r>
      <w:bookmarkStart w:id="12" w:name="_Toc51339693"/>
      <w:bookmarkStart w:id="13" w:name="_Toc75446573"/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14" w:name="__RefHeading___Toc2124_2713773899"/>
      <w:bookmarkEnd w:id="14"/>
      <w:r>
        <w:rPr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tabs>
          <w:tab w:val="clear" w:pos="709"/>
          <w:tab w:val="left" w:pos="1134" w:leader="none"/>
        </w:tabs>
        <w:spacing w:before="0" w:after="0"/>
        <w:ind w:left="567" w:firstLine="135"/>
        <w:rPr>
          <w:sz w:val="24"/>
          <w:szCs w:val="24"/>
        </w:rPr>
      </w:pPr>
      <w:bookmarkStart w:id="15" w:name="__RefHeading___Toc2126_2713773899"/>
      <w:bookmarkStart w:id="16" w:name="_Toc75446574"/>
      <w:bookmarkEnd w:id="15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tabs>
          <w:tab w:val="clear" w:pos="709"/>
          <w:tab w:val="left" w:pos="1134" w:leader="none"/>
        </w:tabs>
        <w:spacing w:before="0" w:after="0"/>
        <w:ind w:left="567" w:hanging="0"/>
        <w:rPr>
          <w:sz w:val="24"/>
          <w:szCs w:val="24"/>
        </w:rPr>
      </w:pPr>
      <w:bookmarkStart w:id="17" w:name="__RefHeading___Toc2128_2713773899"/>
      <w:bookmarkStart w:id="18" w:name="_Toc75446575"/>
      <w:bookmarkEnd w:id="17"/>
      <w:r>
        <w:rPr>
          <w:sz w:val="24"/>
          <w:szCs w:val="24"/>
        </w:rPr>
        <w:t>Перечень и объем закупаемой продукции</w:t>
      </w:r>
      <w:bookmarkEnd w:id="18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</w:rPr>
      </w:pPr>
      <w:bookmarkStart w:id="19" w:name="__RefHeading___Toc2130_2713773899"/>
      <w:bookmarkStart w:id="20" w:name="_Toc75446576"/>
      <w:bookmarkStart w:id="21" w:name="_Toc51339695"/>
      <w:bookmarkEnd w:id="19"/>
      <w:r>
        <w:rPr>
          <w:sz w:val="24"/>
          <w:szCs w:val="24"/>
        </w:rPr>
        <w:t xml:space="preserve">Таблица 1.1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0"/>
    </w:p>
    <w:tbl>
      <w:tblPr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8"/>
        <w:gridCol w:w="6099"/>
        <w:gridCol w:w="1272"/>
        <w:gridCol w:w="1558"/>
      </w:tblGrid>
      <w:tr>
        <w:trPr>
          <w:trHeight w:val="8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>
          <w:trHeight w:val="4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Контейнер общего назначения (универсальный)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pacing w:before="0" w:after="0"/>
              <w:jc w:val="center"/>
              <w:rPr>
                <w:rFonts w:ascii="Times New Roman" w:hAnsi="Times New Roman" w:eastAsia="Calibri" w:cs="Arial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rPr>
          <w:sz w:val="24"/>
          <w:szCs w:val="24"/>
        </w:rPr>
      </w:pPr>
      <w:bookmarkStart w:id="22" w:name="__RefHeading___Toc2132_2713773899"/>
      <w:bookmarkStart w:id="23" w:name="_Toc75446578"/>
      <w:bookmarkStart w:id="24" w:name="_Toc51339696"/>
      <w:bookmarkEnd w:id="22"/>
      <w:r>
        <w:rPr>
          <w:sz w:val="24"/>
          <w:szCs w:val="24"/>
        </w:rPr>
        <w:t xml:space="preserve">Требования </w:t>
      </w:r>
      <w:bookmarkEnd w:id="24"/>
      <w:r>
        <w:rPr>
          <w:sz w:val="24"/>
          <w:szCs w:val="24"/>
        </w:rPr>
        <w:t>к срокам поставки продукции и оказания сопутствующих услуг</w:t>
      </w:r>
      <w:bookmarkEnd w:id="23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</w:rPr>
      </w:pPr>
      <w:bookmarkStart w:id="25" w:name="__RefHeading___Toc2134_2713773899"/>
      <w:bookmarkStart w:id="26" w:name="_Toc75446579"/>
      <w:bookmarkStart w:id="27" w:name="_Toc50125127"/>
      <w:bookmarkStart w:id="28" w:name="_Toc51339697"/>
      <w:bookmarkStart w:id="29" w:name="_Toc50125126_Копия_1"/>
      <w:bookmarkEnd w:id="25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поставки продукции</w:t>
      </w:r>
      <w:bookmarkEnd w:id="26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2961"/>
        <w:gridCol w:w="3276"/>
        <w:gridCol w:w="3118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bookmarkStart w:id="31" w:name="_Toc46743510"/>
            <w:r>
              <w:rPr>
                <w:b/>
                <w:sz w:val="24"/>
                <w:szCs w:val="24"/>
              </w:rPr>
              <w:t>4</w:t>
            </w:r>
            <w:bookmarkEnd w:id="31"/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29.20.21.110 Поставка контейнера общего назначения (универсального) в Нерюнгринский район, Республика Саха (Якутия) для нужд Строительного участка Нерюнгри Дальневосточного филиала АО «ТК РусГидро»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С момента (даты) заключения договора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в течение 20</w:t>
            </w:r>
            <w:r>
              <w:rPr>
                <w:bCs/>
                <w:sz w:val="24"/>
                <w:szCs w:val="24"/>
                <w:shd w:fill="auto" w:val="clear"/>
              </w:rPr>
              <w:t xml:space="preserve"> (двадцати)</w:t>
            </w:r>
            <w:r>
              <w:rPr>
                <w:bCs/>
                <w:sz w:val="24"/>
                <w:szCs w:val="24"/>
              </w:rPr>
              <w:t xml:space="preserve"> календарных дней с даты заключения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Toc54785622"/>
            <w:bookmarkStart w:id="33" w:name="_Toc54785622"/>
            <w:bookmarkEnd w:id="33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clear" w:pos="709"/>
          <w:tab w:val="left" w:pos="851" w:leader="none"/>
        </w:tabs>
        <w:ind w:left="567" w:hanging="6"/>
        <w:rPr>
          <w:sz w:val="24"/>
          <w:szCs w:val="24"/>
        </w:rPr>
      </w:pPr>
      <w:bookmarkStart w:id="34" w:name="__RefHeading___Toc2136_2713773899"/>
      <w:bookmarkStart w:id="35" w:name="_Toc51339698"/>
      <w:bookmarkStart w:id="36" w:name="_Toc75446581"/>
      <w:bookmarkStart w:id="37" w:name="_Toc46743511"/>
      <w:bookmarkStart w:id="38" w:name="_Toc54785622_Копия_1"/>
      <w:bookmarkEnd w:id="34"/>
      <w:bookmarkEnd w:id="38"/>
      <w:r>
        <w:rPr>
          <w:sz w:val="24"/>
          <w:szCs w:val="24"/>
        </w:rPr>
        <w:t xml:space="preserve">Требования к </w:t>
      </w:r>
      <w:bookmarkEnd w:id="37"/>
      <w:r>
        <w:rPr>
          <w:sz w:val="24"/>
          <w:szCs w:val="24"/>
        </w:rPr>
        <w:t>качеству продукции</w:t>
      </w:r>
      <w:bookmarkEnd w:id="36"/>
    </w:p>
    <w:p>
      <w:pPr>
        <w:pStyle w:val="Heading1"/>
        <w:numPr>
          <w:ilvl w:val="0"/>
          <w:numId w:val="0"/>
        </w:numPr>
        <w:tabs>
          <w:tab w:val="clear" w:pos="709"/>
          <w:tab w:val="left" w:pos="851" w:leader="none"/>
        </w:tabs>
        <w:ind w:left="0" w:firstLine="284"/>
        <w:rPr>
          <w:sz w:val="24"/>
          <w:szCs w:val="24"/>
        </w:rPr>
      </w:pPr>
      <w:bookmarkStart w:id="39" w:name="__RefHeading___Toc2138_2713773899"/>
      <w:bookmarkEnd w:id="39"/>
      <w:r>
        <w:rPr>
          <w:sz w:val="24"/>
          <w:szCs w:val="24"/>
        </w:rPr>
        <w:t xml:space="preserve"> </w:t>
      </w:r>
      <w:bookmarkStart w:id="40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5"/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>
          <w:rFonts w:eastAsia="Calibri"/>
          <w:lang w:eastAsia="x-none"/>
        </w:rPr>
        <w:t xml:space="preserve"> </w:t>
      </w:r>
      <w:r>
        <w:rPr>
          <w:rFonts w:eastAsia="Calibri"/>
          <w:lang w:eastAsia="x-none"/>
        </w:rPr>
        <w:t>29.20.21.110 Поставка контейнера общего назначения (универсального) в Нерюнгринский район, Республика Саха (Якутия) для нужд Строительного участка Нерюнгри Дальневосточного филиала АО «ТК РусГидро»</w:t>
      </w:r>
      <w:r>
        <w:rPr>
          <w:rStyle w:val="Style8"/>
          <w:rFonts w:eastAsia="Calibri"/>
          <w:b w:val="false"/>
          <w:bCs/>
          <w:i w:val="false"/>
          <w:iCs w:val="false"/>
          <w:shd w:fill="auto" w:val="clear"/>
          <w:lang w:eastAsia="x-none"/>
        </w:rPr>
        <w:t>.</w:t>
      </w:r>
    </w:p>
    <w:tbl>
      <w:tblPr>
        <w:tblStyle w:val="1c"/>
        <w:tblW w:w="15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3"/>
        <w:gridCol w:w="2049"/>
        <w:gridCol w:w="2411"/>
        <w:gridCol w:w="849"/>
        <w:gridCol w:w="1710"/>
        <w:gridCol w:w="1694"/>
        <w:gridCol w:w="2090"/>
        <w:gridCol w:w="1406"/>
        <w:gridCol w:w="1749"/>
      </w:tblGrid>
      <w:tr>
        <w:trPr>
          <w:trHeight w:val="311" w:hRule="atLeast"/>
        </w:trPr>
        <w:tc>
          <w:tcPr>
            <w:tcW w:w="10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0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26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3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524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10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524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7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2049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Технические характеристики (параметры эквивалентности)</w:t>
            </w:r>
          </w:p>
        </w:tc>
        <w:tc>
          <w:tcPr>
            <w:tcW w:w="849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Технические характеристики (параметры эквивалентности)</w:t>
            </w:r>
          </w:p>
        </w:tc>
        <w:tc>
          <w:tcPr>
            <w:tcW w:w="1406" w:type="dxa"/>
            <w:tcBorders>
              <w:bottom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7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Производитель, страна происхождения</w:t>
            </w:r>
          </w:p>
        </w:tc>
      </w:tr>
      <w:tr>
        <w:trPr>
          <w:trHeight w:val="7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2049" w:type="dxa"/>
            <w:tcBorders>
              <w:top w:val="nil"/>
              <w:left w:val="nil"/>
            </w:tcBorders>
            <w:shd w:color="000000" w:fill="FFFFFF" w:val="clear"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Arial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Контейнер общего назначения (универсальный)</w:t>
            </w:r>
          </w:p>
        </w:tc>
        <w:tc>
          <w:tcPr>
            <w:tcW w:w="241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Внешние размеры: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Длина в мм. – не менее 6058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Ширина в мм. – не менее 2438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Высота в мм. – не менее 2591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Внутренние размеры: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Длина в мм. –не менее 5898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Ширина в мм. – не менее 2350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Высота в мм. – не менее 2381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Размеры проемов: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Ширина в мм. – не менее 2336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Высота в мм. – не менее 2291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Прочие характеристики: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Максимальная грузоподъемность в кг. – не менее 24000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Масса тары в кг. –  не более 2370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Полезная нагрузка в кг. – не более 21630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Объем в м.куб. –  не менее 33</w:t>
            </w:r>
          </w:p>
        </w:tc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4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2049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Безопасность продукции</w:t>
            </w:r>
          </w:p>
        </w:tc>
        <w:tc>
          <w:tcPr>
            <w:tcW w:w="32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В соответствии с п. 6.6 ГОСТ Р 58760-2024 здания </w:t>
            </w: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мобильные</w:t>
            </w: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(инвентарные). Общие технические условия.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178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2049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2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Доставка и разгрузка силами Поставщика: Республика Саха (Якутия), Нерюнгринский район, п. Серебряный Бор, территория Нерюнгринской ГРЭС (Строительный участок Нерюнгри).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233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4. 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состоянию товара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2049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32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Контейнер общего назначения (универсальный)  не должен иметь существенных дефектов и неисправностей, при наличии которых невозможна эксплуатация и транспортировка. Контейнер общего назначения (универсальный)  и все его механизмы должны быть в полностью исправном состоянии.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2049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Срок гарантии</w:t>
            </w:r>
          </w:p>
        </w:tc>
        <w:tc>
          <w:tcPr>
            <w:tcW w:w="32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Поставляемый Товар должен быть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правами третьих лиц.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6. </w:t>
            </w:r>
          </w:p>
        </w:tc>
        <w:tc>
          <w:tcPr>
            <w:tcW w:w="53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2049" w:type="dxa"/>
            <w:tcBorders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2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счет-фактуру, копии документов, подтверждающие качество поставляемой продукции.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ListParagraph"/>
        <w:widowControl/>
        <w:numPr>
          <w:ilvl w:val="1"/>
          <w:numId w:val="6"/>
        </w:numPr>
        <w:bidi w:val="0"/>
        <w:spacing w:before="0" w:after="0"/>
        <w:ind w:left="0" w:right="0" w:firstLine="397"/>
        <w:contextualSpacing/>
        <w:jc w:val="both"/>
        <w:rPr>
          <w:sz w:val="24"/>
          <w:szCs w:val="24"/>
        </w:rPr>
      </w:pPr>
      <w:r>
        <w:rPr>
          <w:iCs/>
          <w:color w:val="000000" w:themeColor="text1"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ListParagraph"/>
        <w:tabs>
          <w:tab w:val="clear" w:pos="709"/>
          <w:tab w:val="left" w:pos="851" w:leader="none"/>
        </w:tabs>
        <w:ind w:left="410" w:hanging="0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before="0" w:after="120"/>
        <w:ind w:left="410" w:hanging="0"/>
        <w:jc w:val="both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ind w:firstLine="851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Normal"/>
        <w:ind w:firstLine="851"/>
        <w:rPr>
          <w:color w:val="1F497D"/>
          <w:sz w:val="24"/>
          <w:szCs w:val="24"/>
          <w:lang w:eastAsia="en-US"/>
        </w:rPr>
      </w:pPr>
      <w:r>
        <w:rPr>
          <w:color w:val="1F497D"/>
          <w:sz w:val="24"/>
          <w:szCs w:val="24"/>
          <w:lang w:eastAsia="en-US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ab/>
        <w:tab/>
        <w:tab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numPr>
        <w:ilvl w:val="2"/>
        <w:numId w:val="3"/>
      </w:numPr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lineRule="auto" w:line="360"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9CE6-E0D3-4B72-A1F3-0D6CF605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7</Pages>
  <Words>732</Words>
  <Characters>4825</Characters>
  <CharactersWithSpaces>5413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2024-03-14T00:42:00Z</dcterms:created>
  <dc:creator>Быстров Олег Геннадьевич</dc:creator>
  <dc:description/>
  <dc:language>ru-RU</dc:language>
  <cp:lastModifiedBy>melnikovoi@corp.gidroogk.com</cp:lastModifiedBy>
  <cp:lastPrinted>2023-04-21T04:33:00Z</cp:lastPrinted>
  <dcterms:modified xsi:type="dcterms:W3CDTF">2026-06-30T12:02:45Z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