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bookmarkStart w:id="0" w:name="_GoBack_Копия_1"/>
      <w:bookmarkEnd w:id="0"/>
      <w:r>
        <w:rPr>
          <w:sz w:val="24"/>
          <w:szCs w:val="24"/>
        </w:rPr>
        <w:t>«УТВЕРЖДАЮ»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Директор Центрального</w:t>
      </w:r>
    </w:p>
    <w:p>
      <w:pPr>
        <w:pStyle w:val="Normal"/>
        <w:spacing w:lineRule="auto" w:line="276" w:before="0" w:after="200"/>
        <w:ind w:left="6095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Филиала АО «ТК РусГидро»</w:t>
      </w:r>
    </w:p>
    <w:p>
      <w:pPr>
        <w:pStyle w:val="Normal"/>
        <w:keepNext w:val="true"/>
        <w:keepLines/>
        <w:jc w:val="right"/>
        <w:rPr>
          <w:sz w:val="24"/>
          <w:szCs w:val="24"/>
        </w:rPr>
      </w:pPr>
      <w:r>
        <w:rPr/>
        <w:t xml:space="preserve">____________ </w:t>
      </w:r>
      <w:r>
        <w:rPr>
          <w:sz w:val="24"/>
          <w:szCs w:val="24"/>
        </w:rPr>
        <w:t>К.А. Михайлов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1" w:name="_Toc1416967041"/>
      <w:bookmarkStart w:id="2" w:name="_Toc1375545841"/>
      <w:bookmarkStart w:id="3" w:name="_Toc1398562871"/>
      <w:bookmarkStart w:id="4" w:name="_Toc1416967041"/>
      <w:bookmarkStart w:id="5" w:name="_Toc1375545841"/>
      <w:bookmarkStart w:id="6" w:name="_Toc1398562871"/>
      <w:bookmarkEnd w:id="4"/>
      <w:bookmarkEnd w:id="5"/>
      <w:bookmarkEnd w:id="6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u w:val="none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u w:val="none"/>
          <w:lang w:val="ru-RU" w:eastAsia="ru-RU" w:bidi="ar-SA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u w:val="none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u w:val="none"/>
          <w:lang w:val="ru-RU" w:eastAsia="ru-RU" w:bidi="ar-SA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  <w:u w:val="none"/>
        </w:rPr>
      </w:pPr>
      <w:r>
        <w:rPr>
          <w:rFonts w:eastAsia="Calibri"/>
          <w:b/>
          <w:sz w:val="24"/>
          <w:szCs w:val="24"/>
          <w:u w:val="none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center"/>
        <w:rPr>
          <w:u w:val="none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u w:val="none"/>
          <w:lang w:val="ru-RU" w:eastAsia="ru-RU" w:bidi="ar-SA"/>
        </w:rPr>
        <w:t>«ОКПД2 45.20.11.100 Услуги по текущему ремонту грузовых самосвалов Загорского строительного участка Центрального филиала АО "ТК РусГидро"»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</w:pPr>
      <w:r>
        <w:rPr>
          <w:rFonts w:eastAsia="Calibri" w:cs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u w:val="single"/>
        </w:rPr>
      </w:pPr>
      <w:r>
        <w:rPr>
          <w:rFonts w:eastAsia="Calibri"/>
          <w:b/>
        </w:rPr>
        <w:t>Лот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№ </w:t>
      </w:r>
      <w:r>
        <w:rPr>
          <w:rFonts w:eastAsia="Calibri" w:cs="Times New Roman"/>
          <w:b/>
          <w:color w:val="auto"/>
          <w:kern w:val="0"/>
          <w:sz w:val="28"/>
          <w:szCs w:val="28"/>
          <w:u w:val="single"/>
          <w:lang w:val="ru-RU" w:eastAsia="ru-RU" w:bidi="ar-SA"/>
        </w:rPr>
        <w:t>________________________</w:t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16333_2499933080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335_2499933080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337_2499933080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339_2499933080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16341_2499933080">
            <w:r>
              <w:rPr>
                <w:webHidden/>
                <w:rStyle w:val="Style14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6343_2499933080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6345_2499933080">
            <w:r>
              <w:rPr>
                <w:webHidden/>
                <w:rStyle w:val="Style14"/>
                <w:vanish w:val="false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6347_2499933080">
            <w:r>
              <w:rPr>
                <w:webHidden/>
                <w:rStyle w:val="Style14"/>
                <w:vanish w:val="false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/>
            <w:t>2</w:t>
          </w:r>
          <w:hyperlink w:anchor="__RefHeading___Toc16349_2499933080">
            <w:r>
              <w:rPr>
                <w:webHidden/>
                <w:rStyle w:val="Style14"/>
                <w:vanish w:val="false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Normal"/>
            <w:rPr/>
          </w:pPr>
          <w:r>
            <w:rPr>
              <w:rFonts w:eastAsia="" w:eastAsiaTheme="minorEastAsia"/>
              <w:b/>
              <w:sz w:val="24"/>
              <w:szCs w:val="24"/>
            </w:rPr>
            <w:t>Таблица 2 Перечень и объем оказываемых услуг……………………………    ………………..3</w:t>
          </w:r>
        </w:p>
        <w:p>
          <w:pPr>
            <w:pStyle w:val="Normal"/>
            <w:rPr>
              <w:rFonts w:cs="Calibri" w:cstheme="minorHAnsi"/>
              <w:sz w:val="20"/>
              <w:szCs w:val="20"/>
            </w:rPr>
          </w:pPr>
          <w:r>
            <w:rPr/>
            <w:t xml:space="preserve">        </w:t>
          </w:r>
          <w:r>
            <w:rPr>
              <w:rFonts w:cs="Calibri" w:cstheme="minorHAnsi"/>
              <w:sz w:val="20"/>
              <w:szCs w:val="20"/>
            </w:rPr>
            <w:t>2.1.2 Требования к срокам оказания услуг………………………………………………………………………….4</w:t>
          </w:r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6359_2499933080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ind w:left="0" w:hanging="0"/>
            <w:rPr>
              <w:b/>
            </w:rPr>
          </w:pPr>
          <w:r>
            <w:rPr>
              <w:rFonts w:eastAsia="" w:cs="Times New Roman" w:eastAsiaTheme="minorEastAsia"/>
              <w:b/>
              <w:sz w:val="24"/>
              <w:szCs w:val="24"/>
            </w:rPr>
            <w:t>3. Требования к качеству услуг…………………………………………………</w:t>
          </w:r>
          <w:r>
            <w:rPr>
              <w:b/>
              <w:sz w:val="22"/>
            </w:rPr>
            <w:t>…………….……...5</w:t>
          </w:r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6363_2499933080">
            <w:r>
              <w:rPr>
                <w:webHidden/>
                <w:rStyle w:val="Style14"/>
                <w:vanish w:val="false"/>
              </w:rPr>
              <w:t>Таблица 4. Требования</w:t>
            </w:r>
            <w:bookmarkStart w:id="7" w:name="_GoBack"/>
            <w:bookmarkEnd w:id="7"/>
            <w:r>
              <w:rPr>
                <w:rStyle w:val="Style14"/>
                <w:vanish w:val="false"/>
              </w:rPr>
              <w:t xml:space="preserve"> к качеству услуг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rPr/>
            <w:t>3</w:t>
          </w:r>
          <w:hyperlink w:anchor="__RefHeading___Toc16365_2499933080">
            <w:r>
              <w:rPr>
                <w:webHidden/>
                <w:rStyle w:val="Style14"/>
                <w:vanish w:val="false"/>
              </w:rPr>
              <w:t>. Требования к документации по ценообразованию на этапе закупки</w:t>
              <w:tab/>
            </w:r>
          </w:hyperlink>
          <w:r>
            <w:rPr/>
            <w:t>11</w:t>
          </w:r>
          <w:r>
            <w:rPr/>
            <w:fldChar w:fldCharType="end"/>
          </w:r>
        </w:p>
      </w:sdtContent>
    </w:sdt>
    <w:p>
      <w:pPr>
        <w:pStyle w:val="Normal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TOC1"/>
        <w:rPr/>
      </w:pPr>
      <w:r>
        <w:rPr/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sz w:val="24"/>
          <w:szCs w:val="24"/>
        </w:rPr>
      </w:pPr>
      <w:bookmarkStart w:id="8" w:name="__RefHeading___Toc16333_2499933080"/>
      <w:bookmarkStart w:id="9" w:name="_Toc54643694"/>
      <w:bookmarkEnd w:id="8"/>
      <w:r>
        <w:rPr>
          <w:sz w:val="24"/>
          <w:szCs w:val="24"/>
        </w:rPr>
        <w:t>Общие сведения</w:t>
      </w:r>
      <w:bookmarkEnd w:id="9"/>
    </w:p>
    <w:p>
      <w:pPr>
        <w:pStyle w:val="Heading4"/>
        <w:numPr>
          <w:ilvl w:val="1"/>
          <w:numId w:val="3"/>
        </w:numPr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10" w:name="__RefHeading___Toc16335_2499933080"/>
      <w:bookmarkStart w:id="11" w:name="_Toc46743505"/>
      <w:bookmarkStart w:id="12" w:name="_Toc54643695"/>
      <w:bookmarkEnd w:id="10"/>
      <w:r>
        <w:rPr/>
        <w:t>Обозначения и сокращения</w:t>
      </w:r>
      <w:bookmarkEnd w:id="11"/>
      <w:bookmarkEnd w:id="12"/>
    </w:p>
    <w:tbl>
      <w:tblPr>
        <w:tblW w:w="4678" w:type="dxa"/>
        <w:jc w:val="left"/>
        <w:tblInd w:w="9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</w:tr>
    </w:tbl>
    <w:p>
      <w:pPr>
        <w:pStyle w:val="Heading4"/>
        <w:numPr>
          <w:ilvl w:val="1"/>
          <w:numId w:val="3"/>
        </w:numPr>
        <w:ind w:left="0" w:firstLine="709"/>
        <w:rPr/>
      </w:pPr>
      <w:bookmarkStart w:id="13" w:name="__RefHeading___Toc16337_2499933080"/>
      <w:bookmarkStart w:id="14" w:name="_Toc54643696"/>
      <w:bookmarkStart w:id="15" w:name="_Toc46743506"/>
      <w:bookmarkEnd w:id="13"/>
      <w:r>
        <w:rPr/>
        <w:t>Наименование закупаемой продукции</w:t>
      </w:r>
      <w:bookmarkEnd w:id="14"/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/>
      </w:pPr>
      <w:r>
        <w:rPr>
          <w:rStyle w:val="Style8"/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«ОКПД2 45.20.11.100 Услуги по текущему ремонту грузовых самосвалов Загорского строительного участка Центрального филиала АО "ТК РусГидро"»</w:t>
      </w:r>
      <w:bookmarkStart w:id="16" w:name="_Toc46743507"/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7" w:name="__RefHeading___Toc16339_2499933080"/>
      <w:bookmarkStart w:id="18" w:name="_Toc54643697"/>
      <w:bookmarkEnd w:id="17"/>
      <w:r>
        <w:rPr/>
        <w:t xml:space="preserve">Цель </w:t>
      </w:r>
      <w:bookmarkEnd w:id="16"/>
      <w:r>
        <w:rPr/>
        <w:t>оказания услуг</w:t>
      </w:r>
      <w:bookmarkEnd w:id="18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диагностики и текущего ремонта с целью поддержания надлежащего технического состояния транспортных средств.</w:t>
      </w:r>
    </w:p>
    <w:p>
      <w:pPr>
        <w:pStyle w:val="Heading4"/>
        <w:numPr>
          <w:ilvl w:val="1"/>
          <w:numId w:val="3"/>
        </w:numPr>
        <w:ind w:left="0" w:firstLine="709"/>
        <w:rPr/>
      </w:pPr>
      <w:bookmarkStart w:id="19" w:name="__RefHeading___Toc16341_2499933080"/>
      <w:bookmarkStart w:id="20" w:name="_Toc54643698"/>
      <w:bookmarkStart w:id="21" w:name="_Toc46743508"/>
      <w:bookmarkEnd w:id="19"/>
      <w:r>
        <w:rPr/>
        <w:t>Существующее положение</w:t>
      </w:r>
      <w:bookmarkEnd w:id="20"/>
      <w:bookmarkEnd w:id="21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Эксплуатация самосвальной техники осуществляется в рамках исполнения обязательств по доходным договорам № 82/21-ОКС от 27.07.2021 г., №106/22-ОКС от 09.08.2022. Услуги и ремонт оказываются в отношении транспортных средств указанных в перечне (Таблица 1 Перечень объектов заказчика).</w:t>
      </w:r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</w:rPr>
      </w:pPr>
      <w:bookmarkStart w:id="22" w:name="__RefHeading___Toc16343_2499933080"/>
      <w:bookmarkStart w:id="23" w:name="_Toc54643699"/>
      <w:bookmarkEnd w:id="22"/>
      <w:r>
        <w:rPr>
          <w:sz w:val="24"/>
          <w:szCs w:val="24"/>
        </w:rPr>
        <w:t>Таблица 1. Перечень объектов заказчика</w:t>
      </w:r>
      <w:bookmarkEnd w:id="23"/>
    </w:p>
    <w:tbl>
      <w:tblPr>
        <w:tblW w:w="1020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3226"/>
        <w:gridCol w:w="1859"/>
        <w:gridCol w:w="1977"/>
        <w:gridCol w:w="2576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VIN</w:t>
            </w:r>
            <w:r>
              <w:rPr>
                <w:sz w:val="20"/>
                <w:szCs w:val="20"/>
              </w:rPr>
              <w:t>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«ОКПД2 45.20.11.100 Услуги по текущему ремонту грузовых самосвалов Загорского строительного участка Центрального филиала АО "ТК РусГидро"»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141342, Московская область, Сергиево-Посадский район, п. Богородское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КАМАЗ 43255-НЗ г.н. М 446 УТ 190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X1F432553D0000025</w:t>
            </w:r>
          </w:p>
        </w:tc>
      </w:tr>
      <w:tr>
        <w:trPr>
          <w:trHeight w:val="317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КАМАЗ 45393 </w:t>
              <w:br/>
              <w:t>г.н. А 917 МР 15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X8945393B7OCJ5630</w:t>
            </w:r>
          </w:p>
        </w:tc>
      </w:tr>
      <w:tr>
        <w:trPr>
          <w:trHeight w:val="423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КАМАЗ 55111-15</w:t>
              <w:br/>
              <w:t>г.н. О 638 ВО 07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XTC55111R72325828</w:t>
            </w:r>
          </w:p>
        </w:tc>
      </w:tr>
      <w:tr>
        <w:trPr>
          <w:trHeight w:val="374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 xml:space="preserve">КАМАЗ </w:t>
            </w:r>
            <w:r>
              <w:rPr>
                <w:color w:val="000000"/>
                <w:shd w:fill="auto" w:val="clear"/>
              </w:rPr>
              <w:t xml:space="preserve"> </w:t>
            </w:r>
            <w:r>
              <w:rPr>
                <w:color w:val="000000"/>
                <w:sz w:val="20"/>
                <w:szCs w:val="20"/>
                <w:shd w:fill="auto" w:val="clear"/>
              </w:rPr>
              <w:t>6520-53</w:t>
              <w:br/>
              <w:t>г.н. У 996 ТХ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XTC652005K1409723</w:t>
            </w:r>
          </w:p>
        </w:tc>
      </w:tr>
      <w:tr>
        <w:trPr>
          <w:trHeight w:val="19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КАМАЗ 6520-53</w:t>
              <w:br/>
              <w:t>г.н. У 536 ТТ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XTC652005M1441702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9"/>
              <w:widowControl w:val="false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 xml:space="preserve">МАЗ 650128-584-000 </w:t>
              <w:br/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4"/>
                <w:shd w:fill="auto" w:val="clear"/>
                <w:lang w:val="ru-RU" w:eastAsia="ru-RU" w:bidi="ar-SA"/>
              </w:rPr>
              <w:t>В 581 ЕС 41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Y3M650128J0000165</w:t>
            </w:r>
          </w:p>
        </w:tc>
      </w:tr>
      <w:tr>
        <w:trPr>
          <w:trHeight w:val="9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4"/>
                <w:lang w:val="ru-RU" w:eastAsia="ru-RU" w:bidi="ar-SA"/>
              </w:rPr>
              <w:t>МАЗ-551605-280</w:t>
              <w:br/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 w:ascii="Arial" w:hAnsi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16"/>
                <w:szCs w:val="20"/>
                <w:u w:val="none"/>
                <w:shd w:fill="auto" w:val="clear"/>
                <w:em w:val="none"/>
                <w:lang w:val="ru-RU" w:eastAsia="ru-RU" w:bidi="ar-SA"/>
              </w:rPr>
              <w:t>Р 910 ОВ 790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Y3M551605C0020450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МАЗ-551605-280</w:t>
              <w:br/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4"/>
                <w:shd w:fill="auto" w:val="clear"/>
                <w:lang w:val="ru-RU" w:eastAsia="ru-RU" w:bidi="ar-SA"/>
              </w:rPr>
              <w:t xml:space="preserve">г.н.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С 405 ХТ 790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shd w:fill="auto" w:val="clear"/>
              </w:rPr>
              <w:t>YЗM551605A0016898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 SX3258DR384</w:t>
              <w:br/>
              <w:t>г.н.Т 997 АК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LZGJRDR44LX023826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 SX3258DR384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Х 611 АН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LZGJRDR46LX022886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SX32586T384C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Т 751 МН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LZGJR4T41MX129548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SX32586T384C</w:t>
              <w:br/>
              <w:t>г.н. Т 828 МН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LZGJR4T41MX129547</w:t>
            </w:r>
          </w:p>
        </w:tc>
      </w:tr>
      <w:tr>
        <w:trPr>
          <w:trHeight w:val="987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SX32586Т384С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К 779 ВЕ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LZGJR4T49LX119489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 SX32586Т384С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К 770 ВЕ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LZGJR4T47LX119488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SHACMAN- SX3258DT385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Х 781 РО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LZGRDT56MX122540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SHACMAN- SX3258DT385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Х 697 РО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LZGJRDT58MX122541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658984-02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У 551 ТТ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XE26589K0M0000031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 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Р 155 КР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LJ13R6DJ4M3309334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У 584 ТО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</w:rPr>
              <w:t>LJ13R6DJ1M3306987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У 970 ТХ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LJ13R6DJ6M3308248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Е 735 КУ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LJ13R6DJXM3309421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Е 732 КУ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LJ13R6DJ7M3309425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У 511 КН 790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</w:rPr>
              <w:t>LJ13R6DJ7M3301597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Р 031 КР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LJ13R6DJ7М3309327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г.н.Е 722 КУ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LJ13R6DJ1M3309422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Style39"/>
              <w:widowControl w:val="false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Р 037 КР 19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LJ13R6DJ2M3309333</w:t>
            </w:r>
          </w:p>
        </w:tc>
      </w:tr>
      <w:tr>
        <w:trPr>
          <w:trHeight w:val="201" w:hRule="atLeast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JAC N350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г.н. У 598 ТО 27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sz w:val="20"/>
                <w:szCs w:val="20"/>
                <w:lang w:val="en-US"/>
              </w:rPr>
              <w:t>LJ13R6DJ6M3308251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12"/>
        </w:numPr>
        <w:spacing w:before="240" w:after="60"/>
        <w:ind w:left="0" w:firstLine="993"/>
        <w:rPr>
          <w:caps/>
          <w:sz w:val="24"/>
          <w:szCs w:val="24"/>
          <w:lang w:val="ru-RU"/>
        </w:rPr>
      </w:pPr>
      <w:bookmarkStart w:id="24" w:name="__RefHeading___Toc16345_2499933080"/>
      <w:bookmarkStart w:id="25" w:name="_Toc54643702"/>
      <w:bookmarkStart w:id="26" w:name="_Toc51339693"/>
      <w:bookmarkEnd w:id="24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25"/>
      <w:bookmarkEnd w:id="26"/>
    </w:p>
    <w:p>
      <w:pPr>
        <w:pStyle w:val="Heading4"/>
        <w:numPr>
          <w:ilvl w:val="1"/>
          <w:numId w:val="3"/>
        </w:numPr>
        <w:ind w:left="0" w:firstLine="993"/>
        <w:rPr/>
      </w:pPr>
      <w:bookmarkStart w:id="27" w:name="__RefHeading___Toc16347_2499933080"/>
      <w:bookmarkStart w:id="28" w:name="_Toc54643703"/>
      <w:bookmarkEnd w:id="2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</w:p>
    <w:p>
      <w:pPr>
        <w:pStyle w:val="Heading3"/>
        <w:numPr>
          <w:ilvl w:val="2"/>
          <w:numId w:val="3"/>
        </w:numPr>
        <w:spacing w:before="0" w:after="0"/>
        <w:ind w:left="0" w:firstLine="993"/>
        <w:rPr/>
      </w:pPr>
      <w:bookmarkStart w:id="29" w:name="__RefHeading___Toc16349_2499933080"/>
      <w:bookmarkStart w:id="30" w:name="_Toc54643704"/>
      <w:bookmarkEnd w:id="29"/>
      <w:r>
        <w:rPr/>
        <w:t>Требования к перечню и объему услуг</w:t>
      </w:r>
      <w:bookmarkEnd w:id="30"/>
    </w:p>
    <w:p>
      <w:pPr>
        <w:pStyle w:val="Normal"/>
        <w:ind w:firstLine="993"/>
        <w:rPr>
          <w:b/>
          <w:sz w:val="22"/>
          <w:szCs w:val="20"/>
        </w:rPr>
      </w:pPr>
      <w:r>
        <w:rPr>
          <w:b/>
          <w:sz w:val="22"/>
          <w:szCs w:val="20"/>
        </w:rPr>
        <w:t>Таблица 2. Перечень и объем оказываемых услуг</w:t>
      </w:r>
    </w:p>
    <w:p>
      <w:pPr>
        <w:pStyle w:val="Normal"/>
        <w:ind w:firstLine="993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750" w:type="dxa"/>
        <w:jc w:val="left"/>
        <w:tblInd w:w="-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VBand="1" w:noHBand="0" w:lastColumn="0" w:firstColumn="1" w:lastRow="0" w:firstRow="1"/>
      </w:tblPr>
      <w:tblGrid>
        <w:gridCol w:w="783"/>
        <w:gridCol w:w="5562"/>
        <w:gridCol w:w="2100"/>
        <w:gridCol w:w="1304"/>
      </w:tblGrid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9"/>
              </w:rPr>
              <w:t xml:space="preserve">№ </w:t>
            </w:r>
            <w:r>
              <w:rPr>
                <w:b/>
                <w:sz w:val="19"/>
              </w:rPr>
              <w:t>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9"/>
              </w:rPr>
              <w:t>Наименование услуг / этапа услуг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9"/>
              </w:rPr>
              <w:t>Единица измерения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19"/>
              </w:rPr>
              <w:t>Количество*</w:t>
            </w:r>
          </w:p>
        </w:tc>
      </w:tr>
      <w:tr>
        <w:trPr/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</w:p>
        </w:tc>
      </w:tr>
      <w:tr>
        <w:trPr/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грузовых автомобилей: ОКПД2 45.20.11.100 Услуги по текущему ремонту грузовых самосвалов Загорского строительного участка Центрального филиала АО "ТК РусГидро"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Нормо-час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</w:t>
            </w:r>
          </w:p>
        </w:tc>
      </w:tr>
    </w:tbl>
    <w:p>
      <w:pPr>
        <w:pStyle w:val="Normal"/>
        <w:jc w:val="both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>*</w:t>
      </w:r>
      <w:r>
        <w:rPr>
          <w:rFonts w:eastAsia="Calibri"/>
          <w:b w:val="false"/>
          <w:bCs w:val="false"/>
          <w:iCs/>
          <w:sz w:val="24"/>
          <w:szCs w:val="24"/>
          <w:lang w:val="x-none" w:eastAsia="x-none"/>
        </w:rPr>
        <w:t>Объем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 услуг </w:t>
      </w:r>
      <w:r>
        <w:rPr>
          <w:rFonts w:eastAsia="Calibri"/>
          <w:b w:val="false"/>
          <w:bCs w:val="false"/>
          <w:iCs/>
          <w:sz w:val="24"/>
          <w:szCs w:val="24"/>
          <w:lang w:val="x-none" w:eastAsia="x-none"/>
        </w:rPr>
        <w:t xml:space="preserve">является ориентировочным, Заказчик не несет ответственности за неполную выборку </w:t>
      </w:r>
      <w:r>
        <w:rPr>
          <w:rFonts w:eastAsia="Calibri"/>
          <w:b w:val="false"/>
          <w:bCs w:val="false"/>
          <w:iCs/>
          <w:sz w:val="24"/>
          <w:szCs w:val="24"/>
          <w:lang w:eastAsia="x-none"/>
        </w:rPr>
        <w:t xml:space="preserve">услуг и </w:t>
      </w:r>
      <w:r>
        <w:rPr>
          <w:rFonts w:eastAsia="Calibri"/>
          <w:b w:val="false"/>
          <w:bCs w:val="false"/>
          <w:iCs/>
          <w:sz w:val="24"/>
          <w:szCs w:val="24"/>
          <w:lang w:val="x-none" w:eastAsia="x-none"/>
        </w:rPr>
        <w:t xml:space="preserve">запасных частей на общую </w:t>
      </w:r>
      <w:r>
        <w:rPr>
          <w:rFonts w:eastAsia="Calibri"/>
          <w:b w:val="false"/>
          <w:bCs w:val="false"/>
          <w:iCs/>
          <w:sz w:val="24"/>
          <w:szCs w:val="24"/>
          <w:shd w:fill="auto" w:val="clear"/>
          <w:lang w:val="x-none" w:eastAsia="x-none"/>
        </w:rPr>
        <w:t xml:space="preserve">сумму договора. </w:t>
      </w:r>
      <w:r>
        <w:rPr>
          <w:rFonts w:eastAsia="Calibri"/>
          <w:b w:val="false"/>
          <w:bCs w:val="false"/>
          <w:iCs/>
          <w:sz w:val="24"/>
          <w:szCs w:val="24"/>
          <w:shd w:fill="auto" w:val="clear"/>
        </w:rPr>
        <w:t>В случае если в процессе оказания услуг будут выявлены дополнительные дефекты, требующие устранения, Исполнитель составляет предварительный наряд-заказ по форме контрагента (дефектную ведомость) на ремонт, с указанием стоимости работ (услуг) и запасных частей (материалов), копия которого направляется для рассмотрения представителю Заказчика. После рассмотрения наряд-заказа по форме контрагента (дефектной ведомости), Заказчиком в адрес Исполнителя направляется информация о согласии или отказе от оказания услуг.</w:t>
      </w:r>
    </w:p>
    <w:p>
      <w:pPr>
        <w:pStyle w:val="Normal"/>
        <w:rPr>
          <w:b w:val="false"/>
          <w:bCs w:val="false"/>
        </w:rPr>
      </w:pPr>
      <w:r>
        <w:rPr>
          <w:b w:val="false"/>
          <w:bCs w:val="false"/>
          <w:sz w:val="24"/>
          <w:szCs w:val="24"/>
          <w:lang w:val="x-none" w:eastAsia="x-none"/>
        </w:rPr>
        <w:t>Текущий ремонт автомобилей включает в себя следующий работы: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разборочно-сборочные, слесарные, сварочные и другие работы;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ремонт ходовой части;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ремонт агрегатов и/или их замена;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электромонтажные работы;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ремонт топливной аппаратуры;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диагностические работы;</w:t>
      </w:r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- иные работы связанные с процессом восстановления технической готовности транспортного средства.</w:t>
      </w:r>
    </w:p>
    <w:p>
      <w:pPr>
        <w:pStyle w:val="Normal"/>
        <w:ind w:firstLine="567"/>
        <w:jc w:val="both"/>
        <w:rPr>
          <w:rStyle w:val="Strong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Heading3"/>
        <w:ind w:left="1440" w:hanging="0"/>
        <w:rPr/>
      </w:pPr>
      <w:bookmarkStart w:id="31" w:name="__RefHeading___Toc16357_2499933080"/>
      <w:bookmarkEnd w:id="31"/>
      <w:r>
        <w:rPr/>
        <w:t xml:space="preserve">2.1.2  </w:t>
      </w:r>
      <w:bookmarkStart w:id="32" w:name="_Toc54643706"/>
      <w:bookmarkStart w:id="33" w:name="_Toc51339696"/>
      <w:r>
        <w:rPr/>
        <w:t xml:space="preserve">Требования </w:t>
      </w:r>
      <w:bookmarkEnd w:id="33"/>
      <w:r>
        <w:rPr/>
        <w:t>к срокам оказания услуг</w:t>
      </w:r>
      <w:bookmarkEnd w:id="32"/>
    </w:p>
    <w:p>
      <w:pPr>
        <w:pStyle w:val="Heading1"/>
        <w:tabs>
          <w:tab w:val="clear" w:pos="0"/>
        </w:tabs>
        <w:ind w:left="0" w:firstLine="709"/>
        <w:rPr>
          <w:sz w:val="24"/>
          <w:szCs w:val="24"/>
          <w:lang w:val="ru-RU"/>
        </w:rPr>
      </w:pPr>
      <w:bookmarkStart w:id="34" w:name="__RefHeading___Toc16359_2499933080"/>
      <w:bookmarkStart w:id="35" w:name="_Toc54643707"/>
      <w:bookmarkStart w:id="36" w:name="_Toc51339697"/>
      <w:bookmarkStart w:id="37" w:name="_Toc50125127"/>
      <w:bookmarkEnd w:id="3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6"/>
      <w:bookmarkEnd w:id="37"/>
      <w:bookmarkEnd w:id="38"/>
      <w:r>
        <w:rPr>
          <w:sz w:val="24"/>
          <w:szCs w:val="24"/>
          <w:lang w:val="ru-RU"/>
        </w:rPr>
        <w:t>оказания услуг</w:t>
      </w:r>
      <w:bookmarkEnd w:id="35"/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"/>
        <w:gridCol w:w="3403"/>
        <w:gridCol w:w="2445"/>
        <w:gridCol w:w="2793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3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  <w:shd w:fill="auto" w:val="clear"/>
              </w:rPr>
              <w:t>ОКПД2 45.20.11.100 У</w:t>
            </w:r>
            <w:r>
              <w:rPr>
                <w:iCs/>
                <w:sz w:val="22"/>
                <w:szCs w:val="22"/>
              </w:rPr>
              <w:t>слуги по текущему ремонту грузовых самосвалов Загорского строительного участка Центрального филиала АО "ТК РусГидро"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12 месяцев с даты </w:t>
            </w:r>
            <w:r>
              <w:rPr>
                <w:rFonts w:eastAsia="MS Mincho"/>
                <w:sz w:val="22"/>
                <w:szCs w:val="22"/>
                <w:shd w:fill="auto" w:val="clear"/>
                <w:lang w:eastAsia="ja-JP"/>
              </w:rPr>
              <w:t>заключения д</w:t>
            </w:r>
            <w:r>
              <w:rPr>
                <w:rFonts w:eastAsia="MS Mincho"/>
                <w:sz w:val="22"/>
                <w:szCs w:val="22"/>
                <w:lang w:eastAsia="ja-JP"/>
              </w:rPr>
              <w:t>оговора</w:t>
            </w:r>
            <w:r>
              <w:rPr>
                <w:rFonts w:eastAsia="Calibri"/>
                <w:sz w:val="22"/>
                <w:szCs w:val="22"/>
                <w:lang w:eastAsia="x-none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или до исчерпания предельной стоимости договора, в зависимости от того, что наступит раньше.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0"/>
          <w:numId w:val="9"/>
        </w:numPr>
        <w:rPr/>
      </w:pPr>
      <w:bookmarkStart w:id="39" w:name="__RefHeading___Toc16361_2499933080"/>
      <w:bookmarkEnd w:id="39"/>
      <w:r>
        <w:rPr/>
        <w:t>Требования к качеству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40" w:name="__RefHeading___Toc16363_2499933080"/>
      <w:bookmarkEnd w:id="4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b/>
          <w:bCs/>
          <w:i/>
          <w:i/>
          <w:sz w:val="24"/>
          <w:szCs w:val="24"/>
          <w:shd w:fill="FFFF99" w:val="clear"/>
        </w:rPr>
      </w:pPr>
      <w:r>
        <w:rPr>
          <w:b/>
          <w:bCs/>
          <w:sz w:val="24"/>
          <w:szCs w:val="24"/>
          <w:shd w:fill="auto" w:val="clear"/>
        </w:rPr>
        <w:t>Наименование услуг/этапа услуг</w:t>
      </w:r>
      <w:r>
        <w:rPr>
          <w:b w:val="false"/>
          <w:bCs w:val="false"/>
          <w:iCs/>
          <w:sz w:val="24"/>
          <w:szCs w:val="24"/>
          <w:u w:val="none"/>
          <w:shd w:fill="auto" w:val="clear"/>
        </w:rPr>
        <w:t xml:space="preserve"> </w:t>
      </w:r>
      <w:r>
        <w:rPr>
          <w:b/>
          <w:bCs/>
          <w:iCs/>
          <w:sz w:val="24"/>
          <w:szCs w:val="24"/>
          <w:u w:val="none"/>
          <w:shd w:fill="auto" w:val="clear"/>
        </w:rPr>
        <w:t xml:space="preserve">(позиция № 1 Таблицы 2):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«ОКПД2 45.20.11.100 «Услуги по текущему ремонту грузовых самосвалов Загорского строительного участка Центрального филиала АО "ТК РусГидро"»</w:t>
      </w:r>
    </w:p>
    <w:tbl>
      <w:tblPr>
        <w:tblStyle w:val="affff9"/>
        <w:tblW w:w="14601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81"/>
        <w:gridCol w:w="2745"/>
        <w:gridCol w:w="5773"/>
        <w:gridCol w:w="1974"/>
        <w:gridCol w:w="3328"/>
      </w:tblGrid>
      <w:tr>
        <w:trPr/>
        <w:tc>
          <w:tcPr>
            <w:tcW w:w="7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7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77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30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3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41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1"/>
          </w:p>
        </w:tc>
        <w:tc>
          <w:tcPr>
            <w:tcW w:w="27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3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97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заявке согласие оказать услуги, полностью соответствующие настоящим техническим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требованиям</w:t>
            </w:r>
          </w:p>
        </w:tc>
        <w:tc>
          <w:tcPr>
            <w:tcW w:w="3328" w:type="dxa"/>
            <w:vMerge w:val="restart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услуг/работ</w:t>
            </w:r>
          </w:p>
        </w:tc>
        <w:tc>
          <w:tcPr>
            <w:tcW w:w="57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на основании заявок Заказчика оказывать Заказчику услуги включая техническую диагностику, профилактическое и техническое обслуживание, все виды ремонтных и восстановительных работ, замену узлов, агрегатов, технических жидкостей, масел, прочих расходуемых материалов, установку дополнительного оборудования и поставку запасных частей для ТС Заказчика.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78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услуг/работ</w:t>
            </w:r>
          </w:p>
        </w:tc>
        <w:tc>
          <w:tcPr>
            <w:tcW w:w="577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Услуг/Работ, их стоимость и сроки, а также используемые запасные части, материалы и их стоимость согласовываются сторонами в наряд-заказе.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Техническое обслуживание и ремонт ТС Заказчика осуществляются в месте нахождения Исполнителя с использованием запасных частей и материалов, предоставленных Исполнителем, либо с использованием запасных частей и материалов Заказчика, о чем в 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наряд-заказе по форме контрагента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указывается соответствующая информация. Заказчик имеет право самостоятельно предоставить Исполнителю запасные части и материалы, необходимые для проведения обслуживания и ремонта ТС Заказчика.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Сроки проведения работ по ремонту и/или замене узлов и агрегатов не могут превышать десяти календарных дней с момента передачи ТС Исполнителю, если иной срок не согласован с Заказчиком в 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наряд-заказе по форме контрагента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самостоятельно определяет порядок выполнения согласованных в 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наряд-заказе по форме контрагента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Услуг/Работ.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случае, если в процесс выполнения услуг/работ Исполнителем будут выявлены скрытые дефекты, Исполнитель обязуется направить на согласование Заказчику дополнительный 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наряд-заказе по форме контрагента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 указанием выявленных неисправностей, необходимых для проведения работ расходных материалов, запасных частей, подлежащих замене и/или ремонту, стоимости услуг/работ, а также сроки выполнения соответствующих работ, гарантийные сроки на результат выполненных работ.</w:t>
            </w:r>
          </w:p>
          <w:p>
            <w:pPr>
              <w:pStyle w:val="Normal"/>
              <w:widowControl w:val="false"/>
              <w:suppressAutoHyphens w:val="true"/>
              <w:spacing w:lineRule="exact" w:line="280" w:before="0" w:after="0"/>
              <w:ind w:firstLine="708"/>
              <w:contextualSpacing/>
              <w:jc w:val="both"/>
              <w:rPr>
                <w:sz w:val="24"/>
                <w:szCs w:val="24"/>
              </w:rPr>
            </w:pP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 xml:space="preserve">Объемы и виды услуг/работ являются предварительными, Заказчик имеет право не заказывать все указанные услуги/работы, а Исполнитель не имеет права требовать безусловного исполнения всего перечня указанных услуг/работ. Исполнитель оказывает услуги/работы, только согласованные Заказчиком по каждому конкретному </w:t>
            </w:r>
            <w:r>
              <w:rPr>
                <w:rStyle w:val="Strong"/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наряд-заказу по форме контрагента</w:t>
            </w:r>
            <w:r>
              <w:rPr>
                <w:rStyle w:val="Strong"/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.  Цена договора является ориентировочной и не может превышать согласованную Заказчиком и Исполнителем сумму.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91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сохранности и комплектности ТС на период оказания услуг</w:t>
            </w:r>
          </w:p>
        </w:tc>
        <w:tc>
          <w:tcPr>
            <w:tcW w:w="577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нести полную ответственность за сохранность ТС Заказчика в течение всего времени нахождения ТС Заказчика у Исполнителя.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91" w:hRule="atLeast"/>
        </w:trPr>
        <w:tc>
          <w:tcPr>
            <w:tcW w:w="78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качеству оказания услуг</w:t>
            </w:r>
          </w:p>
        </w:tc>
        <w:tc>
          <w:tcPr>
            <w:tcW w:w="5773" w:type="dxa"/>
            <w:tcBorders>
              <w:top w:val="nil"/>
            </w:tcBorders>
            <w:shd w:color="auto" w:fill="auto" w:val="clear"/>
          </w:tcPr>
          <w:p>
            <w:pPr>
              <w:pStyle w:val="Style32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exact" w:line="280" w:before="0" w:after="0"/>
              <w:ind w:left="0" w:hanging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обязуется оказывать услуги/выполнять работы с надлежащим качеством в соответствии с установленными нормами и правилами, регулирующими вопросы технического обслуживания и ремонта ТС, в т.ч. установленными заводом-изготовителем, а также с соблюдением сроков проведения работ, обусловленных договором.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1291" w:hRule="atLeast"/>
        </w:trPr>
        <w:tc>
          <w:tcPr>
            <w:tcW w:w="78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местонахождению ремонтной базы исполнителя</w:t>
            </w:r>
          </w:p>
        </w:tc>
        <w:tc>
          <w:tcPr>
            <w:tcW w:w="57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Местонахождение ремонтной базы исполнителя должно быть не далее не далее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0 км от  </w:t>
            </w:r>
            <w:r>
              <w:rPr>
                <w:sz w:val="24"/>
                <w:szCs w:val="24"/>
              </w:rPr>
              <w:t>пгт.</w:t>
            </w:r>
            <w:r>
              <w:rPr>
                <w:sz w:val="24"/>
                <w:szCs w:val="24"/>
              </w:rPr>
              <w:t xml:space="preserve"> Богородское, Сергиево-Посадского </w:t>
            </w:r>
            <w:r>
              <w:rPr>
                <w:sz w:val="24"/>
                <w:szCs w:val="24"/>
              </w:rPr>
              <w:t>городского округа,</w:t>
            </w:r>
            <w:r>
              <w:rPr>
                <w:sz w:val="24"/>
                <w:szCs w:val="24"/>
              </w:rPr>
              <w:t xml:space="preserve"> Московской области. 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5708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оповещению Заказчика при возникновении ситуации которые могут привести к снижению безопасности эксплуатации ТС</w:t>
            </w:r>
          </w:p>
        </w:tc>
        <w:tc>
          <w:tcPr>
            <w:tcW w:w="577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не позднее 1 (одного) рабочего дня с момента обнаружения отступлений от Договора, ухудшающих результат работы, или иных недостатков в работе письменно известить Заказчика и до получения от него указаний приостановить оказание услуг/выполнение работ при обнаружении: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- возможных неблагоприятных для Заказчика последствий выполнения его указаний о способе исполнения услуг/работы,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обстоятельств, угрожающих годности или прочности результатов оказываемых услуг и выполняемой работы либо создающих невозможность ее завершения в срок.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возобновить работы после исключения обстоятельств, послуживших причиной приостановки. Срок работ продлевается на остававшейся у Исполнителя срок на выполнение Услуг/Работ до даты приостановки, если иное не установлено соглашением сторон.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1.3.1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оборудованию,  запасным частям и расходным материалам.</w:t>
            </w:r>
          </w:p>
        </w:tc>
        <w:tc>
          <w:tcPr>
            <w:tcW w:w="57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оказать услуги с использованием современного, безопасного, эффективного оборудования, техники, инструментов, материалов и методов.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Закупка запчастей и материалов производится за счет Исполнителя. Запчасти должны быть новыми, ранее не используемыми, за исключением топливных форсунок (Топливные форсунки могут быть восстановленными, с приложенными результатами проверок на специальном стенде)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Стоимость запасных частей и расходных материалов, не учтенных в настоящем договоре, согласовывается Сторонами в  дополнительном </w:t>
            </w:r>
            <w:r>
              <w:rPr>
                <w:rFonts w:eastAsia="Calibri" w:cs="Times New Roman"/>
                <w:b w:val="false"/>
                <w:bCs w:val="false"/>
                <w:iCs/>
                <w:kern w:val="0"/>
                <w:sz w:val="24"/>
                <w:szCs w:val="24"/>
                <w:lang w:val="ru-RU" w:eastAsia="ru-RU" w:bidi="ar-SA"/>
              </w:rPr>
              <w:t>наряд-заказе по форме контрагента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8518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25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1.3.2</w:t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57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привлекать квалифицированный персонал в оказании услуг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exact" w:line="28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57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exact" w:line="280"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Услуги/Работы выполняются в целях содержания ТС в исправном состоянии в соответствии с нормами, правилами, процедурами технического обслуживания и ремонта, установленными заводом-изготовителем с учетом условий эксплуатации и должны обеспечивать безопасную работу ТС в т.ч. исключающие наличие после оказания услуг/работ неисправностей, при которых эксплуатация ТС запрещается.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162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Проверка качества оказанных услуг</w:t>
            </w:r>
          </w:p>
        </w:tc>
        <w:tc>
          <w:tcPr>
            <w:tcW w:w="577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передается Исполнителем Заказчику или его представителю при предъявлении –наряд-заказа по форме контрагента, а для представителя Заказчика - также доверенности, оформленной в установленном порядке.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автомобиля Заказчику производится по акту приема-передачи после проведения Сторонами контроля полноты и качества выполненных работ, комплектности и сохранности товарного вида ТС.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результата оказанных услуг/выполненных работ производится Сторонами по акту оказанных услуг/выполненных работ, наряд-заказу по форме контрагента подписываемому Сторонами. Акт оказанных услуг/выполненных работ предоставляется Исполнителем Заказчику в момент передачи ТС Заказчику после оказания услуг/выполнения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Заказчик обязан при приемке проверить с участием Исполнителя комплектность и техническое состояние ТС, а также объем и качество выполненных работ, их соответствие сведениям, указанным в наряд-заказе, исправность узлов и агрегатов, подвергшихся ремонту, и принять результат выполненных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обнаружении отступлений от Договора, ухудшающих результат оказанных услуг/выполненных работ, подмены составных частей, некомплектности ТС и других недостатков Заказчик вправе немедленно заявить об этом Исполнителю.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exact" w:line="28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выдать Заказчику всю документацию на вновь установленные на автомобиль номерные агрегаты, возвратить остатки неиспользованных запасных частей и материалов, либо с согласия Заказчика уменьшить стоимость услуг/работ с учетом стоимости остающихся у Исполнителя неиспользованных запасных частей и материалов, а также возвратить замененные (неисправные) узлы и детали.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5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экземплярах, наряд-заказ по форме контрагента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65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5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>
          <w:trHeight w:val="359" w:hRule="atLeast"/>
        </w:trPr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74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57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со дня подписания Акта сдачи-приемки оказанных услуг.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51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Гарантийные обязательства на установленные в процессе ремонта запчасти должны составлять не менее 6 (шести) месяцев со дня подписания Акта сдачи-приемки оказанных услуг.</w:t>
            </w:r>
          </w:p>
        </w:tc>
        <w:tc>
          <w:tcPr>
            <w:tcW w:w="197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ind w:left="0" w:hanging="0"/>
        <w:jc w:val="center"/>
        <w:rPr>
          <w:sz w:val="26"/>
          <w:szCs w:val="26"/>
        </w:rPr>
      </w:pPr>
      <w:bookmarkStart w:id="42" w:name="__RefHeading___Toc16365_2499933080"/>
      <w:bookmarkEnd w:id="42"/>
      <w:r>
        <w:rPr>
          <w:sz w:val="26"/>
          <w:szCs w:val="26"/>
        </w:rPr>
        <w:t>Требования к документации по ценообразованию на этапе закупки</w:t>
      </w:r>
    </w:p>
    <w:p>
      <w:pPr>
        <w:pStyle w:val="NoSpacing"/>
        <w:spacing w:lineRule="auto" w:line="240"/>
        <w:ind w:firstLine="709"/>
        <w:jc w:val="both"/>
        <w:rPr>
          <w:iCs/>
        </w:rPr>
      </w:pPr>
      <w:r>
        <w:rPr>
          <w:iCs/>
        </w:rPr>
        <w:t xml:space="preserve">3.1. В обоснование стоимости своей заявки Участник предоставляет Коммерческое предложение. 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>
          <w:iCs/>
        </w:rPr>
        <w:t>3.2. Дополнительные документы по ценообразованию в состав заявки не включаются.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>
          <w:iCs/>
          <w:lang w:val="x-none" w:eastAsia="x-none"/>
        </w:rPr>
        <w:t>3.3.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</w:r>
    </w:p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ind w:hanging="0"/>
        <w:jc w:val="center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br/>
        <w:t xml:space="preserve">Руководитель ГКЭОиРТС ЦФ АО «ТК РусГидро»          </w:t>
        <w:tab/>
        <w:t>А.Н. Пышкин   _______________</w:t>
      </w:r>
    </w:p>
    <w:p>
      <w:pPr>
        <w:pStyle w:val="Heading1"/>
        <w:keepLines/>
        <w:tabs>
          <w:tab w:val="clear" w:pos="0"/>
        </w:tabs>
        <w:ind w:left="357" w:hanging="0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  <w:t>Ведущий инженер по эксплуатации транспорта</w:t>
        <w:br/>
        <w:t>ГКЭОиРТС ЦФ АО «ТК РусГидро»</w:t>
        <w:tab/>
        <w:tab/>
        <w:tab/>
        <w:t xml:space="preserve">  </w:t>
        <w:tab/>
        <w:t xml:space="preserve"> А.И. Петров _________________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x-none" w:bidi="ar-SA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</w:r>
    </w:p>
    <w:p>
      <w:pPr>
        <w:pStyle w:val="Normal"/>
        <w:jc w:val="right"/>
        <w:rPr>
          <w:rFonts w:eastAsia="Calibri"/>
          <w:iCs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751635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198144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456762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002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6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4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a3245a"/>
    <w:rPr>
      <w:color w:val="954F72"/>
      <w:u w:val="single"/>
    </w:rPr>
  </w:style>
  <w:style w:type="character" w:styleId="Style15" w:customStyle="1">
    <w:name w:val="Символ нумерации"/>
    <w:qFormat/>
    <w:rPr/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6">
    <w:name w:val="Нижний колонтитул Знак"/>
    <w:qFormat/>
    <w:rPr/>
  </w:style>
  <w:style w:type="character" w:styleId="Style17">
    <w:name w:val="Основной текст с отступом Знак"/>
    <w:basedOn w:val="DefaultParagraphFont"/>
    <w:qFormat/>
    <w:rPr/>
  </w:style>
  <w:style w:type="character" w:styleId="Style18">
    <w:name w:val="Тема примечания Знак"/>
    <w:qFormat/>
    <w:rPr>
      <w:b/>
      <w:bCs/>
    </w:rPr>
  </w:style>
  <w:style w:type="character" w:styleId="33">
    <w:name w:val="Основной текст 3 Знак"/>
    <w:qFormat/>
    <w:rPr>
      <w:sz w:val="16"/>
      <w:szCs w:val="16"/>
    </w:rPr>
  </w:style>
  <w:style w:type="character" w:styleId="Style19">
    <w:name w:val="Заголовок Знак"/>
    <w:qFormat/>
    <w:rPr>
      <w:b/>
      <w:bCs/>
      <w:sz w:val="24"/>
      <w:szCs w:val="24"/>
      <w:lang w:val="ru-RU" w:eastAsia="ru-RU" w:bidi="ar-SA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" w:customStyle="1">
    <w:name w:val="index heading111111111111"/>
    <w:basedOn w:val="Title"/>
    <w:qFormat/>
    <w:pPr/>
    <w:rPr/>
  </w:style>
  <w:style w:type="paragraph" w:styleId="Style22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3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4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6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55692c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7" w:customStyle="1">
    <w:name w:val="Раздел регламента"/>
    <w:basedOn w:val="Normal"/>
    <w:qFormat/>
    <w:rsid w:val="00e228fa"/>
    <w:pPr/>
    <w:rPr/>
  </w:style>
  <w:style w:type="paragraph" w:styleId="Style2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111111" w:customStyle="1">
    <w:name w:val="caption111111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0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1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2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3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4" w:customStyle="1">
    <w:name w:val="Подподпункт"/>
    <w:basedOn w:val="Style26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5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6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7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бычный1"/>
    <w:qFormat/>
    <w:rsid w:val="0006058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8" w:customStyle="1">
    <w:name w:val="Содержимое врезки"/>
    <w:basedOn w:val="Normal"/>
    <w:qFormat/>
    <w:pPr/>
    <w:rPr/>
  </w:style>
  <w:style w:type="paragraph" w:styleId="Style3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0" w:customStyle="1">
    <w:name w:val="Заголовок таблицы"/>
    <w:basedOn w:val="Style39"/>
    <w:qFormat/>
    <w:pPr>
      <w:jc w:val="center"/>
    </w:pPr>
    <w:rPr>
      <w:b/>
      <w:bCs/>
    </w:rPr>
  </w:style>
  <w:style w:type="paragraph" w:styleId="Msonormal" w:customStyle="1">
    <w:name w:val="msonormal"/>
    <w:basedOn w:val="Normal"/>
    <w:qFormat/>
    <w:rsid w:val="00a3245a"/>
    <w:pPr>
      <w:suppressAutoHyphens w:val="false"/>
      <w:spacing w:beforeAutospacing="1" w:afterAutospacing="1"/>
    </w:pPr>
    <w:rPr>
      <w:sz w:val="24"/>
      <w:szCs w:val="24"/>
    </w:rPr>
  </w:style>
  <w:style w:type="paragraph" w:styleId="Xl63" w:customStyle="1">
    <w:name w:val="xl63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Xl64" w:customStyle="1">
    <w:name w:val="xl64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Xl65" w:customStyle="1">
    <w:name w:val="xl65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color w:val="000000"/>
      <w:sz w:val="20"/>
      <w:szCs w:val="20"/>
    </w:rPr>
  </w:style>
  <w:style w:type="paragraph" w:styleId="Xl66" w:customStyle="1">
    <w:name w:val="xl66"/>
    <w:basedOn w:val="Normal"/>
    <w:qFormat/>
    <w:rsid w:val="00a3245a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color w:val="000000"/>
      <w:sz w:val="20"/>
      <w:szCs w:val="20"/>
    </w:rPr>
  </w:style>
  <w:style w:type="paragraph" w:styleId="Xl67" w:customStyle="1">
    <w:name w:val="xl67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color w:val="000000"/>
      <w:sz w:val="20"/>
      <w:szCs w:val="20"/>
    </w:rPr>
  </w:style>
  <w:style w:type="paragraph" w:styleId="Xl68" w:customStyle="1">
    <w:name w:val="xl68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00000"/>
      <w:sz w:val="20"/>
      <w:szCs w:val="20"/>
    </w:rPr>
  </w:style>
  <w:style w:type="paragraph" w:styleId="Xl69" w:customStyle="1">
    <w:name w:val="xl69"/>
    <w:basedOn w:val="Normal"/>
    <w:qFormat/>
    <w:rsid w:val="00a3245a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color w:val="000000"/>
      <w:sz w:val="20"/>
      <w:szCs w:val="20"/>
    </w:rPr>
  </w:style>
  <w:style w:type="paragraph" w:styleId="Xl70" w:customStyle="1">
    <w:name w:val="xl70"/>
    <w:basedOn w:val="Normal"/>
    <w:qFormat/>
    <w:rsid w:val="00a324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</w:pPr>
    <w:rPr>
      <w:b/>
      <w:bCs/>
      <w:sz w:val="20"/>
      <w:szCs w:val="20"/>
    </w:rPr>
  </w:style>
  <w:style w:type="paragraph" w:styleId="Xl71" w:customStyle="1">
    <w:name w:val="xl71"/>
    <w:basedOn w:val="Normal"/>
    <w:qFormat/>
    <w:rsid w:val="00a3245a"/>
    <w:pPr>
      <w:pBdr>
        <w:top w:val="single" w:sz="4" w:space="0" w:color="000000"/>
        <w:bottom w:val="single" w:sz="4" w:space="0" w:color="000000"/>
      </w:pBdr>
      <w:suppressAutoHyphens w:val="false"/>
      <w:spacing w:beforeAutospacing="1" w:afterAutospacing="1"/>
    </w:pPr>
    <w:rPr>
      <w:b/>
      <w:bCs/>
      <w:sz w:val="20"/>
      <w:szCs w:val="20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qFormat/>
    <w:pPr>
      <w:spacing w:before="120" w:after="120"/>
    </w:pPr>
    <w:rPr>
      <w:i/>
      <w:iCs/>
      <w:sz w:val="24"/>
      <w:szCs w:val="24"/>
    </w:rPr>
  </w:style>
  <w:style w:type="paragraph" w:styleId="311">
    <w:name w:val="Список 3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1">
    <w:name w:val="Знак Знак Знак Знак Знак Знак Знак Знак Знак1"/>
    <w:basedOn w:val="Normal"/>
    <w:qFormat/>
    <w:pPr>
      <w:widowControl/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41">
    <w:name w:val="Пункт договора"/>
    <w:basedOn w:val="Normal"/>
    <w:qFormat/>
    <w:pPr>
      <w:jc w:val="both"/>
    </w:pPr>
    <w:rPr>
      <w:rFonts w:ascii="Arial" w:hAnsi="Arial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-1">
    <w:name w:val="Контракт-пункт"/>
    <w:basedOn w:val="Normal"/>
    <w:qFormat/>
    <w:pPr>
      <w:widowControl/>
      <w:tabs>
        <w:tab w:val="clear" w:pos="708"/>
        <w:tab w:val="left" w:pos="851" w:leader="none"/>
      </w:tabs>
      <w:spacing w:lineRule="auto" w:line="360"/>
      <w:ind w:left="851" w:right="0" w:hanging="851"/>
      <w:jc w:val="both"/>
    </w:pPr>
    <w:rPr>
      <w:rFonts w:eastAsia="Calibri"/>
      <w:sz w:val="28"/>
      <w:szCs w:val="28"/>
    </w:rPr>
  </w:style>
  <w:style w:type="paragraph" w:styleId="ListBullet3">
    <w:name w:val="List Bullet 3"/>
    <w:basedOn w:val="Normal"/>
    <w:qFormat/>
    <w:pPr>
      <w:widowControl/>
      <w:tabs>
        <w:tab w:val="clear" w:pos="708"/>
        <w:tab w:val="left" w:pos="1418" w:leader="none"/>
      </w:tabs>
      <w:spacing w:lineRule="auto" w:line="360" w:before="120" w:after="0"/>
      <w:ind w:left="0" w:right="0" w:firstLine="720"/>
      <w:jc w:val="both"/>
    </w:pPr>
    <w:rPr>
      <w:rFonts w:eastAsia="Calibri"/>
      <w:i/>
      <w:iCs/>
      <w:sz w:val="24"/>
      <w:szCs w:val="24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42">
    <w:name w:val="Подпункт договора"/>
    <w:basedOn w:val="Normal"/>
    <w:qFormat/>
    <w:pPr>
      <w:widowControl/>
      <w:tabs>
        <w:tab w:val="clear" w:pos="708"/>
        <w:tab w:val="left" w:pos="360" w:leader="none"/>
      </w:tabs>
      <w:jc w:val="both"/>
    </w:pPr>
    <w:rPr>
      <w:rFonts w:ascii="Arial" w:hAnsi="Arial"/>
    </w:rPr>
  </w:style>
  <w:style w:type="paragraph" w:styleId="Style43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41663570941" w:customStyle="1">
    <w:name w:val="41663570941"/>
    <w:qFormat/>
  </w:style>
  <w:style w:type="numbering" w:styleId="7336082891" w:customStyle="1">
    <w:name w:val="7336082891"/>
    <w:qFormat/>
  </w:style>
  <w:style w:type="numbering" w:styleId="3721824611">
    <w:name w:val="3721824611"/>
    <w:qFormat/>
  </w:style>
  <w:style w:type="numbering" w:styleId="19710058161">
    <w:name w:val="19710058161"/>
    <w:qFormat/>
  </w:style>
  <w:style w:type="numbering" w:styleId="36188626831">
    <w:name w:val="36188626831"/>
    <w:qFormat/>
  </w:style>
  <w:style w:type="numbering" w:styleId="14769168861">
    <w:name w:val="147691688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649E-9EB2-4BC2-8736-215175E6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Application>AlterOffice/3.4.0.9$Linux_X86_64 LibreOffice_project/b8daf9e823b1a5463a2f48435ddc2e8696e7d4fc</Application>
  <AppVersion>15.0000</AppVersion>
  <Pages>13</Pages>
  <Words>1927</Words>
  <Characters>13134</Characters>
  <CharactersWithSpaces>14819</CharactersWithSpaces>
  <Paragraphs>294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2025-05-26T05:18:00Z</dcterms:created>
  <dc:creator>Быстров Олег Геннадьевич</dc:creator>
  <dc:description/>
  <dc:language>ru-RU</dc:language>
  <cp:lastModifiedBy>petrovai@corp.gidroogk.com</cp:lastModifiedBy>
  <cp:lastPrinted>2026-02-26T13:42:20Z</cp:lastPrinted>
  <dcterms:modified xsi:type="dcterms:W3CDTF">2026-06-30T11:22:17Z</dcterms:modified>
  <cp:revision>24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