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bookmarkStart w:id="0" w:name="_Toc123106588"/>
      <w:bookmarkStart w:id="1" w:name="_Toc123106588"/>
      <w:bookmarkEnd w:id="1"/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Запрос технико-коммерческих предложений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 xml:space="preserve">для проведения мониторинга цен 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4"/>
          <w:szCs w:val="24"/>
        </w:rPr>
        <w:t xml:space="preserve">«ОКПД2 </w:t>
      </w:r>
      <w:r>
        <w:rPr>
          <w:rStyle w:val="Strong"/>
          <w:rFonts w:cs="Arial"/>
          <w:color w:val="333333"/>
          <w:sz w:val="24"/>
          <w:szCs w:val="24"/>
          <w:shd w:fill="FFFFFF" w:val="clear"/>
        </w:rPr>
        <w:t>26.51.62.120</w:t>
      </w: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Поставка полочного барабана КП-123 с шумозащитным кожухом для нужд АО «Ленгидропроект»»</w:t>
      </w:r>
    </w:p>
    <w:p>
      <w:pPr>
        <w:pStyle w:val="Normal"/>
        <w:keepNext w:val="true"/>
        <w:keepLines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ab/>
        <w:t xml:space="preserve">АО «Ленгидропроект» (далее – Заказчик) сообщает о проведении анализа технико-коммерческих предложений потенциальных поставщиков </w:t>
      </w:r>
      <w:r>
        <w:rPr>
          <w:b w:val="false"/>
          <w:bCs w:val="false"/>
          <w:sz w:val="24"/>
          <w:szCs w:val="24"/>
        </w:rPr>
        <w:t xml:space="preserve">«ОКПД2 </w:t>
      </w:r>
      <w:r>
        <w:rPr>
          <w:rStyle w:val="Strong"/>
          <w:rFonts w:cs="Arial"/>
          <w:b w:val="false"/>
          <w:bCs w:val="false"/>
          <w:color w:val="333333"/>
          <w:sz w:val="24"/>
          <w:szCs w:val="24"/>
          <w:shd w:fill="FFFFFF" w:val="clear"/>
        </w:rPr>
        <w:t>26.51.62.120</w:t>
      </w:r>
      <w:r>
        <w:rPr>
          <w:b w:val="false"/>
          <w:bCs w:val="false"/>
          <w:i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Поставка полочного барабана КП-123 с шумозащитным кожухом для нужд АО «Ленгидропроект»»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/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>
        <w:rPr>
          <w:lang w:val="en-US"/>
        </w:rPr>
        <w:t> </w:t>
      </w:r>
      <w:r>
        <w:rPr/>
        <w:t>заверен подписью уполномоченного лица, а также печатью организации (при</w:t>
      </w:r>
      <w:r>
        <w:rPr>
          <w:lang w:val="en-US"/>
        </w:rPr>
        <w:t> </w:t>
      </w:r>
      <w:r>
        <w:rPr/>
        <w:t>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полное наименование организации,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юридический адрес, почтовый адрес, ИНН </w:t>
      </w:r>
      <w:r>
        <w:rPr>
          <w:i/>
          <w:shd w:fill="FFFF99" w:val="clear"/>
        </w:rPr>
        <w:t>[для юридических лиц]</w:t>
      </w:r>
      <w:r>
        <w:rPr>
          <w:i/>
        </w:rPr>
        <w:t xml:space="preserve"> / </w:t>
      </w:r>
      <w:r>
        <w:rPr/>
        <w:t xml:space="preserve">паспортные данные, адрес регистрации, ИНН (при наличии) </w:t>
      </w:r>
      <w:r>
        <w:rPr>
          <w:i/>
          <w:shd w:fill="FFFF99" w:val="clear"/>
        </w:rPr>
        <w:t>[для физических лиц]</w:t>
      </w:r>
      <w:r>
        <w:rPr>
          <w:i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 xml:space="preserve">контактные данные: номер телефона, </w:t>
      </w: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60" w:after="60"/>
        <w:ind w:left="567" w:hanging="567"/>
        <w:jc w:val="both"/>
        <w:rPr/>
      </w:pPr>
      <w:r>
        <w:rPr/>
        <w:t>цену предложения в рублях (без учета НДС).</w:t>
      </w:r>
    </w:p>
    <w:p>
      <w:pPr>
        <w:pStyle w:val="Normal"/>
        <w:numPr>
          <w:ilvl w:val="0"/>
          <w:numId w:val="3"/>
        </w:numPr>
        <w:spacing w:before="60" w:after="60"/>
        <w:ind w:left="567" w:hanging="567"/>
        <w:jc w:val="both"/>
        <w:rPr/>
      </w:pPr>
      <w:r>
        <w:rPr/>
        <w:t xml:space="preserve">Срок подачи технико-коммерческих предложений: до </w:t>
      </w:r>
      <w:r>
        <w:rPr>
          <w:u w:val="single"/>
        </w:rPr>
        <w:t>10:00 0</w:t>
      </w:r>
      <w:r>
        <w:rPr>
          <w:u w:val="single"/>
        </w:rPr>
        <w:t>4</w:t>
      </w:r>
      <w:r>
        <w:rPr>
          <w:u w:val="single"/>
        </w:rPr>
        <w:t>.07.2026 </w:t>
      </w:r>
      <w:r>
        <w:rPr/>
        <w:t xml:space="preserve">г. </w:t>
      </w:r>
    </w:p>
    <w:p>
      <w:pPr>
        <w:pStyle w:val="Normal"/>
        <w:numPr>
          <w:ilvl w:val="0"/>
          <w:numId w:val="3"/>
        </w:numPr>
        <w:spacing w:before="60" w:after="60"/>
        <w:ind w:left="0" w:hanging="0"/>
        <w:jc w:val="both"/>
        <w:rPr/>
      </w:pPr>
      <w:r>
        <w:rPr/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hyperlink r:id="rId2" w:tgtFrame="_blank">
        <w:r>
          <w:rPr>
            <w:rStyle w:val="Hyperlink"/>
            <w:rFonts w:ascii="Helvetica Neue;Helvetica;Arial;" w:hAnsi="Helvetica Neue;Helvetica;Arial;"/>
            <w:color w:val="FF9459"/>
            <w:sz w:val="21"/>
            <w:u w:val="none"/>
          </w:rPr>
          <w:t>SeligerskaiaGIu@lhp.ru</w:t>
        </w:r>
      </w:hyperlink>
      <w:r>
        <w:rPr/>
        <w:t>, рабочий телефон: +7 (812) 346-92-21.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false"/>
        <w:spacing w:before="60" w:after="60"/>
        <w:ind w:left="0" w:hanging="0"/>
        <w:jc w:val="both"/>
        <w:rPr/>
      </w:pPr>
      <w:bookmarkStart w:id="2" w:name="_GoBack_Копия_1"/>
      <w:r>
        <w:rPr/>
        <w:t>Технико-коммерческие предложения участниками мониторинга должны быть поданы в соответствии с установленными Заказчиком требованиями проведения мониторинга.</w:t>
      </w:r>
      <w:bookmarkEnd w:id="2"/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/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Nimbus Roman [UKWN]" w:hAnsi="Nimbus Roman [UKWN]" w:eastAsia="Calibri"/>
          <w:b/>
          <w:sz w:val="26"/>
          <w:szCs w:val="26"/>
        </w:rPr>
      </w:pPr>
      <w:r>
        <w:rPr>
          <w:rFonts w:eastAsia="Calibri" w:ascii="Nimbus Roman [UKWN]" w:hAnsi="Nimbus Roman [UKWN]"/>
          <w:b/>
          <w:sz w:val="26"/>
          <w:szCs w:val="26"/>
        </w:rPr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6"/>
          <w:szCs w:val="26"/>
        </w:rPr>
        <w:t xml:space="preserve">«ОКПД2 </w:t>
      </w:r>
      <w:r>
        <w:rPr>
          <w:rStyle w:val="Strong"/>
          <w:rFonts w:cs="Arial"/>
          <w:color w:val="333333"/>
          <w:shd w:fill="FFFFFF" w:val="clear"/>
        </w:rPr>
        <w:t>26.51.62.120</w:t>
      </w:r>
      <w:r>
        <w:rPr>
          <w:i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Поставка полочного барабана КП-123 с шумозащитным кожухом для нужд АО «Ленгидропроект»»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right"/>
        <w:outlineLvl w:val="0"/>
        <w:rPr>
          <w:rFonts w:ascii="Nimbus Roman [UKWN]" w:hAnsi="Nimbus Roman [UKWN]"/>
          <w:sz w:val="26"/>
          <w:szCs w:val="26"/>
        </w:rPr>
      </w:pPr>
      <w:bookmarkStart w:id="3" w:name="_Toc123106592"/>
      <w:r>
        <w:rPr>
          <w:rFonts w:ascii="Nimbus Roman [UKWN]" w:hAnsi="Nimbus Roman [UKWN]"/>
          <w:color w:val="000000" w:themeColor="text1"/>
          <w:sz w:val="26"/>
          <w:szCs w:val="26"/>
        </w:rPr>
        <w:t>.</w:t>
      </w:r>
      <w:bookmarkEnd w:id="3"/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  <w:bookmarkStart w:id="4" w:name="_Toc123106588_Копия_1_Копия_1"/>
      <w:bookmarkStart w:id="5" w:name="_Toc123106588_Копия_1_Копия_1"/>
      <w:bookmarkEnd w:id="5"/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ascii="Nimbus Roman [UKWN]" w:hAnsi="Nimbus Roman [UKWN]"/>
          <w:sz w:val="28"/>
          <w:szCs w:val="28"/>
        </w:rPr>
      </w:pPr>
      <w:r>
        <w:rPr>
          <w:rFonts w:ascii="Nimbus Roman [UKWN]" w:hAnsi="Nimbus Roman [UKWN]"/>
          <w:sz w:val="28"/>
          <w:szCs w:val="28"/>
        </w:rPr>
      </w:r>
    </w:p>
    <w:p>
      <w:pPr>
        <w:pStyle w:val="Normal"/>
        <w:jc w:val="center"/>
        <w:rPr>
          <w:rFonts w:ascii="Nimbus Roman [UKWN]" w:hAnsi="Nimbus Roman [UKWN]" w:eastAsia="Calibri"/>
          <w:b/>
          <w:sz w:val="28"/>
          <w:szCs w:val="28"/>
        </w:rPr>
      </w:pPr>
      <w:r>
        <w:rPr>
          <w:rFonts w:eastAsia="Calibri" w:ascii="Nimbus Roman [UKWN]" w:hAnsi="Nimbus Roman [UKWN]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560" w:leader="none"/>
        </w:tabs>
        <w:spacing w:before="0" w:after="0"/>
        <w:ind w:left="851" w:right="142" w:hanging="0"/>
        <w:contextualSpacing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jc w:val="center"/>
        <w:rPr>
          <w:sz w:val="24"/>
          <w:szCs w:val="24"/>
        </w:rPr>
      </w:pPr>
      <w:bookmarkStart w:id="6" w:name="_Toc51339692"/>
      <w:bookmarkStart w:id="7" w:name="_Toc75446566"/>
      <w:bookmarkEnd w:id="6"/>
      <w:bookmarkEnd w:id="7"/>
      <w:r>
        <w:rPr>
          <w:sz w:val="24"/>
          <w:szCs w:val="24"/>
        </w:rPr>
        <w:t xml:space="preserve">1. </w:t>
      </w:r>
      <w:bookmarkStart w:id="8" w:name="_Toc75446566_Копия_1"/>
      <w:bookmarkStart w:id="9" w:name="_Toc123106593_Копия_1"/>
      <w:bookmarkStart w:id="10" w:name="_Toc51339692_Копия_1"/>
      <w:r>
        <w:rPr>
          <w:sz w:val="24"/>
          <w:szCs w:val="24"/>
        </w:rPr>
        <w:t>Общие сведения</w:t>
      </w:r>
      <w:bookmarkEnd w:id="8"/>
      <w:bookmarkEnd w:id="9"/>
      <w:bookmarkEnd w:id="1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/>
      </w:pPr>
      <w:bookmarkStart w:id="11" w:name="_Toc123106594"/>
      <w:r>
        <w:rPr>
          <w:b/>
        </w:rPr>
        <w:t>1.1. Наименование закупаемой продукции (Товара).</w:t>
      </w:r>
      <w:bookmarkEnd w:id="11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exact" w:line="360" w:before="0" w:after="0"/>
        <w:ind w:left="0" w:hanging="0"/>
        <w:contextualSpacing/>
        <w:jc w:val="both"/>
        <w:outlineLvl w:val="0"/>
        <w:rPr>
          <w:bCs/>
        </w:rPr>
      </w:pPr>
      <w:bookmarkStart w:id="12" w:name="_Toc123106595"/>
      <w:r>
        <w:rPr>
          <w:bCs/>
        </w:rPr>
        <w:t>ОКПД2 26.51.62.120 Поставка полочного барабана КП-123 с шумозащитным кожухом для нужд АО «Ленгидропроект»»</w:t>
      </w:r>
      <w:bookmarkEnd w:id="12"/>
      <w:r>
        <w:rPr>
          <w:bCs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before="0" w:after="0"/>
        <w:ind w:left="0" w:hanging="0"/>
        <w:contextualSpacing/>
        <w:jc w:val="both"/>
        <w:outlineLvl w:val="0"/>
        <w:rPr/>
      </w:pPr>
      <w:bookmarkStart w:id="13" w:name="_Toc123106596"/>
      <w:r>
        <w:rPr>
          <w:b/>
        </w:rPr>
        <w:t>1.2.</w:t>
      </w:r>
      <w:r>
        <w:rPr/>
        <w:t xml:space="preserve"> </w:t>
      </w:r>
      <w:r>
        <w:rPr>
          <w:b/>
        </w:rPr>
        <w:t>Цель использования закупаемой продукции</w:t>
      </w:r>
      <w:bookmarkEnd w:id="13"/>
    </w:p>
    <w:p>
      <w:pPr>
        <w:pStyle w:val="Normal"/>
        <w:jc w:val="both"/>
        <w:rPr/>
      </w:pPr>
      <w:r>
        <w:rPr>
          <w:rFonts w:eastAsia="" w:eastAsiaTheme="minorEastAsia"/>
        </w:rPr>
        <w:t>Для определения истираемости щебня и гравия по показателю потери массы после испытаний</w:t>
      </w:r>
      <w:r>
        <w:rPr/>
        <w:t xml:space="preserve"> </w:t>
      </w:r>
      <w:r>
        <w:rPr>
          <w:rFonts w:eastAsia="" w:eastAsiaTheme="minorEastAsia"/>
        </w:rPr>
        <w:t>в соответствии с требованиями ГОСТ 8269.0-97, ГОСТ 33049-2014 и ГОСТ Р 70257-2022.</w:t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both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Normal"/>
        <w:jc w:val="center"/>
        <w:rPr/>
      </w:pPr>
      <w:r>
        <w:rPr>
          <w:b/>
        </w:rPr>
        <w:t xml:space="preserve">2. </w:t>
      </w:r>
      <w:bookmarkStart w:id="14" w:name="_Toc54279835"/>
      <w:bookmarkStart w:id="15" w:name="_Toc123106598"/>
      <w:bookmarkStart w:id="16" w:name="_Toc54785616"/>
      <w:bookmarkStart w:id="17" w:name="_Toc51921656"/>
      <w:r>
        <w:rPr>
          <w:b/>
        </w:rPr>
        <w:t>Требования к продукции</w:t>
      </w:r>
      <w:bookmarkEnd w:id="14"/>
      <w:bookmarkEnd w:id="15"/>
      <w:bookmarkEnd w:id="16"/>
      <w:bookmarkEnd w:id="17"/>
    </w:p>
    <w:p>
      <w:pPr>
        <w:pStyle w:val="Heading4"/>
        <w:numPr>
          <w:ilvl w:val="1"/>
        </w:numPr>
        <w:rPr/>
      </w:pPr>
      <w:bookmarkStart w:id="18" w:name="_Toc54785617"/>
      <w:r>
        <w:rPr>
          <w:lang w:val="ru-RU"/>
        </w:rPr>
        <w:t xml:space="preserve">2.1. </w:t>
      </w:r>
      <w:r>
        <w:rPr/>
        <w:t>Требования к объемам и срокам поставки</w:t>
      </w:r>
      <w:bookmarkEnd w:id="18"/>
      <w:r>
        <w:rPr>
          <w:lang w:val="ru-RU"/>
        </w:rPr>
        <w:t xml:space="preserve"> продукции</w:t>
      </w:r>
    </w:p>
    <w:p>
      <w:pPr>
        <w:pStyle w:val="Heading3"/>
        <w:rPr/>
      </w:pPr>
      <w:bookmarkStart w:id="19" w:name="_Toc54785618"/>
      <w:bookmarkStart w:id="20" w:name="_Toc123106599"/>
      <w:r>
        <w:rPr>
          <w:lang w:val="ru-RU"/>
        </w:rPr>
        <w:t xml:space="preserve">2.1.1. </w:t>
      </w:r>
      <w:r>
        <w:rPr/>
        <w:t>Перечень и объем закупаемой продукции</w:t>
      </w:r>
      <w:bookmarkEnd w:id="19"/>
      <w:bookmarkEnd w:id="20"/>
    </w:p>
    <w:p>
      <w:pPr>
        <w:pStyle w:val="Heading1"/>
        <w:rPr>
          <w:sz w:val="24"/>
          <w:szCs w:val="24"/>
        </w:rPr>
      </w:pPr>
      <w:bookmarkStart w:id="21" w:name="_Toc123106600"/>
      <w:bookmarkStart w:id="22" w:name="_Toc75446576"/>
      <w:bookmarkStart w:id="23" w:name="_Toc51339695"/>
      <w:r>
        <w:rPr>
          <w:sz w:val="24"/>
          <w:szCs w:val="24"/>
        </w:rPr>
        <w:t xml:space="preserve">Таблица 1. Перечень </w:t>
      </w:r>
      <w:bookmarkEnd w:id="23"/>
      <w:r>
        <w:rPr>
          <w:sz w:val="24"/>
          <w:szCs w:val="24"/>
        </w:rPr>
        <w:t>и объем закупаемой продукции</w:t>
      </w:r>
      <w:bookmarkEnd w:id="21"/>
      <w:bookmarkEnd w:id="22"/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3"/>
        <w:gridCol w:w="4237"/>
        <w:gridCol w:w="3338"/>
        <w:gridCol w:w="1406"/>
      </w:tblGrid>
      <w:tr>
        <w:trPr/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№</w:t>
            </w:r>
            <w:r>
              <w:rPr>
                <w:rFonts w:ascii="Nimbus Roman [UKWN]" w:hAnsi="Nimbus Roman [UKWN]"/>
                <w:b/>
                <w:bCs/>
                <w:sz w:val="22"/>
                <w:szCs w:val="22"/>
                <w:lang w:val="en-US" w:eastAsia="x-none"/>
              </w:rPr>
              <w:t xml:space="preserve"> </w:t>
            </w: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п/п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Наименование продукции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Ед. изм.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Количество</w:t>
            </w:r>
          </w:p>
        </w:tc>
      </w:tr>
      <w:tr>
        <w:trPr/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b/>
                <w:bCs/>
                <w:sz w:val="22"/>
                <w:szCs w:val="22"/>
              </w:rPr>
            </w:pPr>
            <w:r>
              <w:rPr>
                <w:rFonts w:ascii="Nimbus Roman [UKWN]" w:hAnsi="Nimbus Roman [UKWN]"/>
                <w:b/>
                <w:bCs/>
                <w:sz w:val="22"/>
                <w:szCs w:val="22"/>
                <w:lang w:eastAsia="x-none"/>
              </w:rPr>
              <w:t>5</w:t>
            </w:r>
          </w:p>
        </w:tc>
      </w:tr>
      <w:tr>
        <w:trPr>
          <w:trHeight w:val="472" w:hRule="atLeast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eastAsia="Calibri" w:ascii="Nimbus Roman [UKWN]" w:hAnsi="Nimbus Roman [UKWN]"/>
                <w:sz w:val="22"/>
                <w:szCs w:val="22"/>
              </w:rPr>
              <w:t>Барабан полочный КП-123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</w:t>
            </w:r>
          </w:p>
        </w:tc>
      </w:tr>
      <w:tr>
        <w:trPr>
          <w:trHeight w:val="472" w:hRule="atLeast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2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Nimbus Roman [UKWN]" w:hAnsi="Nimbus Roman [UKWN]" w:eastAsia="Calibri"/>
                <w:sz w:val="22"/>
                <w:szCs w:val="22"/>
              </w:rPr>
            </w:pPr>
            <w:r>
              <w:rPr>
                <w:rFonts w:eastAsia="Calibri" w:ascii="Nimbus Roman [UKWN]" w:hAnsi="Nimbus Roman [UKWN]"/>
                <w:sz w:val="22"/>
                <w:szCs w:val="22"/>
              </w:rPr>
              <w:t>Шумозащитный кожух для полочного барабана КП-123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шт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Nimbus Roman [UKWN]" w:hAnsi="Nimbus Roman [UKWN]"/>
                <w:sz w:val="22"/>
                <w:szCs w:val="22"/>
                <w:lang w:eastAsia="x-none"/>
              </w:rPr>
            </w:pPr>
            <w:r>
              <w:rPr>
                <w:rFonts w:ascii="Nimbus Roman [UKWN]" w:hAnsi="Nimbus Roman [UKWN]"/>
                <w:sz w:val="22"/>
                <w:szCs w:val="22"/>
                <w:lang w:eastAsia="x-none"/>
              </w:rPr>
              <w:t>1</w:t>
            </w:r>
          </w:p>
        </w:tc>
      </w:tr>
    </w:tbl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Heading3"/>
        <w:rPr/>
      </w:pPr>
      <w:bookmarkStart w:id="24" w:name="_Toc75446578"/>
      <w:bookmarkStart w:id="25" w:name="_Toc123106601"/>
      <w:bookmarkStart w:id="26" w:name="_Toc51339696"/>
      <w:r>
        <w:rPr/>
        <w:t xml:space="preserve">2.1.2. Требования </w:t>
      </w:r>
      <w:bookmarkEnd w:id="26"/>
      <w:r>
        <w:rPr/>
        <w:t>к срокам поставки продукции</w:t>
      </w:r>
      <w:bookmarkEnd w:id="25"/>
      <w:r>
        <w:rPr/>
        <w:t xml:space="preserve"> </w:t>
      </w:r>
      <w:bookmarkEnd w:id="24"/>
    </w:p>
    <w:p>
      <w:pPr>
        <w:pStyle w:val="Heading1"/>
        <w:rPr>
          <w:sz w:val="24"/>
          <w:szCs w:val="24"/>
        </w:rPr>
      </w:pPr>
      <w:bookmarkStart w:id="27" w:name="_Toc123106602"/>
      <w:bookmarkStart w:id="28" w:name="_Toc50125127"/>
      <w:bookmarkStart w:id="29" w:name="_Toc75446579"/>
      <w:bookmarkStart w:id="30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 Требования к срокам поставки продукции</w:t>
      </w:r>
      <w:bookmarkEnd w:id="27"/>
      <w:bookmarkEnd w:id="28"/>
      <w:bookmarkEnd w:id="29"/>
      <w:bookmarkEnd w:id="3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4"/>
        <w:gridCol w:w="2669"/>
        <w:gridCol w:w="3110"/>
        <w:gridCol w:w="3258"/>
      </w:tblGrid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продукции / партии продукции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началу срока поставки продукции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851" w:leader="none"/>
              </w:tabs>
              <w:spacing w:before="0" w:after="0"/>
              <w:ind w:left="0" w:hanging="0"/>
              <w:contextualSpacing/>
              <w:outlineLvl w:val="0"/>
              <w:rPr/>
            </w:pPr>
            <w:r>
              <w:rPr>
                <w:bCs/>
              </w:rPr>
              <w:t>ОКПД2 26.51.62.120 Поставка полочного барабана КП-123 с шумозащитным кожухом для нужд АО «Ленгидропроект»»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даты, следующей за датой заключения Договора, но не ранее 01.07.2027г.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течение 30 (тридцати) календарных дней с даты, следующей с даты начала поставки</w:t>
            </w:r>
          </w:p>
        </w:tc>
      </w:tr>
    </w:tbl>
    <w:p>
      <w:pPr>
        <w:sectPr>
          <w:type w:val="nextPage"/>
          <w:pgSz w:w="11906" w:h="16838"/>
          <w:pgMar w:left="1134" w:right="850" w:gutter="0" w:header="0" w:top="993" w:footer="0" w:bottom="99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0" w:hanging="0"/>
        <w:rPr/>
      </w:pPr>
      <w:r>
        <w:rPr>
          <w:lang w:val="ru-RU"/>
        </w:rPr>
        <w:t>2.2.</w:t>
      </w:r>
      <w:r>
        <w:rPr/>
        <w:t>Требования к качеству продукции</w:t>
      </w:r>
      <w:bookmarkStart w:id="31" w:name="_Toc123106603"/>
      <w:bookmarkStart w:id="32" w:name="_Toc75446582"/>
    </w:p>
    <w:p>
      <w:pPr>
        <w:pStyle w:val="Heading1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  <w:t xml:space="preserve">Таблица №3. Требования к </w:t>
      </w:r>
      <w:r>
        <w:rPr>
          <w:rFonts w:ascii="Nimbus Roman [UKWN]" w:hAnsi="Nimbus Roman [UKWN]"/>
          <w:sz w:val="26"/>
          <w:szCs w:val="26"/>
          <w:lang w:val="ru-RU"/>
        </w:rPr>
        <w:t>продукции</w:t>
      </w:r>
      <w:bookmarkEnd w:id="31"/>
      <w:bookmarkEnd w:id="32"/>
      <w:r>
        <w:rPr>
          <w:rFonts w:ascii="Nimbus Roman [UKWN]" w:hAnsi="Nimbus Roman [UKWN]"/>
          <w:sz w:val="26"/>
          <w:szCs w:val="26"/>
        </w:rPr>
        <w:t xml:space="preserve"> </w:t>
      </w:r>
    </w:p>
    <w:p>
      <w:pPr>
        <w:pStyle w:val="Normal"/>
        <w:jc w:val="both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  <w:lang w:eastAsia="x-none"/>
        </w:rPr>
        <w:t xml:space="preserve">Наименование продукции: </w:t>
      </w:r>
      <w:r>
        <w:rPr>
          <w:bCs/>
        </w:rPr>
        <w:t>Поставка полочного барабана КП-123 с шумозащитным кожухом для нужд АО «Ленгидропроект»</w:t>
      </w:r>
      <w:r>
        <w:rPr>
          <w:rFonts w:ascii="Nimbus Roman [UKWN]" w:hAnsi="Nimbus Roman [UKWN]"/>
          <w:bCs/>
          <w:sz w:val="26"/>
          <w:szCs w:val="26"/>
          <w:lang w:eastAsia="x-none"/>
        </w:rPr>
        <w:t>.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  <w:lang w:eastAsia="x-none"/>
        </w:rPr>
        <w:t xml:space="preserve"> </w:t>
      </w:r>
      <w:r>
        <w:rPr>
          <w:bCs/>
          <w:i/>
          <w:iCs/>
          <w:sz w:val="22"/>
          <w:szCs w:val="22"/>
          <w:lang w:eastAsia="x-none"/>
        </w:rPr>
        <w:t xml:space="preserve">* </w:t>
      </w:r>
      <w:r>
        <w:rPr>
          <w:rFonts w:eastAsia="Times New Roman" w:cs="Times New Roman"/>
          <w:bCs/>
          <w:i/>
          <w:iCs/>
          <w:sz w:val="22"/>
          <w:szCs w:val="22"/>
          <w:lang w:eastAsia="x-none"/>
        </w:rPr>
        <w:t xml:space="preserve">Указанные в настоящих технических требованиях ссылки на ГОСТ, марку (тип) продукции носят описательный, а не обязательный характер. </w:t>
      </w:r>
      <w:r>
        <w:rPr>
          <w:rFonts w:cs="Times New Roman"/>
          <w:bCs/>
          <w:i/>
          <w:iCs/>
          <w:sz w:val="22"/>
          <w:szCs w:val="22"/>
          <w:lang w:eastAsia="x-none"/>
        </w:rPr>
        <w:br/>
      </w:r>
      <w:r>
        <w:rPr>
          <w:rFonts w:eastAsia="Times New Roman" w:cs="Times New Roman"/>
          <w:b/>
          <w:bCs/>
          <w:i/>
          <w:iCs/>
          <w:sz w:val="22"/>
          <w:szCs w:val="22"/>
          <w:lang w:eastAsia="x-none"/>
        </w:rPr>
        <w:t>Если Участником предлагается эквивалентная продукция</w:t>
      </w:r>
      <w:r>
        <w:rPr>
          <w:rFonts w:eastAsia="Times New Roman" w:cs="Times New Roman"/>
          <w:bCs/>
          <w:i/>
          <w:iCs/>
          <w:sz w:val="22"/>
          <w:szCs w:val="22"/>
          <w:lang w:eastAsia="x-none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</w:t>
      </w:r>
      <w:r>
        <w:rPr>
          <w:rFonts w:eastAsia="Times New Roman" w:cs="Times New Roman"/>
          <w:bCs/>
          <w:i/>
          <w:iCs/>
          <w:sz w:val="22"/>
          <w:szCs w:val="22"/>
          <w:u w:val="single"/>
          <w:lang w:eastAsia="x-none"/>
        </w:rPr>
        <w:t>в объеме, не менее установл</w:t>
      </w:r>
      <w:r>
        <w:rPr>
          <w:rFonts w:cs="Times New Roman"/>
          <w:bCs/>
          <w:i/>
          <w:iCs/>
          <w:sz w:val="22"/>
          <w:szCs w:val="22"/>
          <w:u w:val="single"/>
          <w:lang w:eastAsia="x-none"/>
        </w:rPr>
        <w:t>енных в настоящем ТТ требований, обозначенных как «параметры эквивалентности</w:t>
      </w:r>
      <w:r>
        <w:rPr>
          <w:rFonts w:eastAsia="Times New Roman" w:cs="Times New Roman"/>
          <w:b/>
          <w:bCs/>
          <w:i/>
          <w:iCs/>
          <w:sz w:val="22"/>
          <w:szCs w:val="22"/>
          <w:u w:val="single"/>
          <w:lang w:eastAsia="x-none"/>
        </w:rPr>
        <w:t>».</w:t>
      </w:r>
    </w:p>
    <w:p>
      <w:pPr>
        <w:pStyle w:val="Normal"/>
        <w:jc w:val="both"/>
        <w:rPr>
          <w:rFonts w:ascii="Times New Roman" w:hAnsi="Times New Roman"/>
          <w:i/>
          <w:i/>
          <w:iCs/>
          <w:sz w:val="22"/>
          <w:szCs w:val="22"/>
        </w:rPr>
      </w:pPr>
      <w:r>
        <w:rPr>
          <w:rFonts w:eastAsia="Times New Roman" w:cs="Times New Roman"/>
          <w:bCs/>
          <w:i/>
          <w:iCs/>
          <w:sz w:val="22"/>
          <w:szCs w:val="22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7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2"/>
        <w:gridCol w:w="2071"/>
        <w:gridCol w:w="6566"/>
        <w:gridCol w:w="2311"/>
        <w:gridCol w:w="2962"/>
      </w:tblGrid>
      <w:tr>
        <w:trPr>
          <w:trHeight w:val="833" w:hRule="atLeast"/>
        </w:trPr>
        <w:tc>
          <w:tcPr>
            <w:tcW w:w="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0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6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52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584" w:hRule="atLeast"/>
          <w:cantSplit w:val="true"/>
        </w:trPr>
        <w:tc>
          <w:tcPr>
            <w:tcW w:w="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31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Согласие с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требованием/ указание характеристик</w:t>
            </w:r>
          </w:p>
        </w:tc>
        <w:tc>
          <w:tcPr>
            <w:tcW w:w="2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Предоставление подтверждающего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 xml:space="preserve">документа или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kern w:val="0"/>
                <w:lang w:val="ru-RU" w:bidi="ar-SA"/>
              </w:rPr>
              <w:t>иной способ подтверждения</w:t>
            </w:r>
          </w:p>
        </w:tc>
      </w:tr>
      <w:tr>
        <w:trPr/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231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kern w:val="0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2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b/>
                <w:bCs/>
                <w:sz w:val="20"/>
                <w:szCs w:val="20"/>
              </w:rPr>
            </w:pPr>
            <w:r>
              <w:rPr>
                <w:rFonts w:ascii="Nimbus Roman [UKWN]" w:hAnsi="Nimbus Roman [UKWN]"/>
                <w:b/>
                <w:bCs/>
                <w:kern w:val="0"/>
                <w:sz w:val="20"/>
                <w:szCs w:val="20"/>
                <w:lang w:val="ru-RU" w:bidi="ar-SA"/>
              </w:rPr>
              <w:t>5</w:t>
            </w:r>
          </w:p>
        </w:tc>
      </w:tr>
      <w:tr>
        <w:trPr/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</w:t>
            </w:r>
          </w:p>
        </w:tc>
        <w:tc>
          <w:tcPr>
            <w:tcW w:w="863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техническим и функциональным характеристикам (параметры эквивалентности)</w:t>
            </w:r>
          </w:p>
        </w:tc>
        <w:tc>
          <w:tcPr>
            <w:tcW w:w="2311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Предоставление ответа на запрос ТКП по форме Приложения № 1 к настоящим техническим требованиям.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</w:t>
            </w:r>
          </w:p>
        </w:tc>
        <w:tc>
          <w:tcPr>
            <w:tcW w:w="863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ru-RU" w:bidi="ar-SA"/>
              </w:rPr>
              <w:t>Барабан полочный КП-123 или эквивалент*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2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1.1.1</w:t>
            </w:r>
          </w:p>
        </w:tc>
        <w:tc>
          <w:tcPr>
            <w:tcW w:w="207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Модель: КП-123</w:t>
            </w:r>
            <w:r>
              <w:rPr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shd w:fill="FFFFFF" w:val="clear"/>
                <w:lang w:val="ru-RU" w:bidi="ar-SA"/>
              </w:rPr>
              <w:t>или эквивалент*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98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1.1.2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Диаметр барабана: 700±5 мм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01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1.1.3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Длина барабана: 500±5 мм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1.1.4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Ширина полки на внутренней поверхности барабана: 100±5 мм 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74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1.1.5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Постоянное число оборотов 30 - 33 об/мин 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74" w:hRule="atLeast"/>
        </w:trPr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071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bidi="ar-SA"/>
              </w:rPr>
              <w:t>Наличие люка и съемной крышки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74" w:hRule="atLeast"/>
        </w:trPr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071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Наличие встроенного счетчика импульсов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1.1.6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65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Nimbus Roman [UKWN]" w:hAnsi="Nimbus Roman [UKWN]"/>
                <w:sz w:val="20"/>
              </w:rPr>
            </w:pP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Наличие к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омплект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>а</w:t>
            </w:r>
            <w:r>
              <w:rPr>
                <w:rFonts w:ascii="Nimbus Roman [UKWN]" w:hAnsi="Nimbus Roman [UKWN]"/>
                <w:kern w:val="0"/>
                <w:sz w:val="20"/>
                <w:szCs w:val="20"/>
                <w:lang w:val="ru-RU" w:bidi="ar-SA"/>
              </w:rPr>
              <w:t xml:space="preserve"> шаров стальных или чугунных диаметром 48</w:t>
            </w:r>
            <w:r>
              <w:rPr>
                <w:kern w:val="0"/>
                <w:lang w:val="ru-RU" w:bidi="ar-SA"/>
              </w:rPr>
              <w:t>±</w:t>
            </w:r>
            <w:r>
              <w:rPr>
                <w:kern w:val="0"/>
                <w:sz w:val="20"/>
                <w:lang w:val="ru-RU" w:bidi="ar-SA"/>
              </w:rPr>
              <w:t>2 мм, массой 405±10 г каждый – 12 шт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</w:t>
            </w:r>
          </w:p>
        </w:tc>
        <w:tc>
          <w:tcPr>
            <w:tcW w:w="8637" w:type="dxa"/>
            <w:gridSpan w:val="2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firstLine="113"/>
              <w:contextualSpacing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Шумозащитный кожух для полочного барабана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1.2.1.</w:t>
            </w:r>
          </w:p>
        </w:tc>
        <w:tc>
          <w:tcPr>
            <w:tcW w:w="207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Общие параметры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bidi="ar-SA"/>
              </w:rPr>
              <w:t xml:space="preserve">Кожух применяется совместно с барабаном полочным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bidi="ar-SA"/>
              </w:rPr>
              <w:t xml:space="preserve">(п.1.1),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bidi="ar-SA"/>
              </w:rPr>
              <w:t xml:space="preserve">предназначен для снижения уровня шума при проведении лабораторных испытаний. 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071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и технические характеристики полностью соответствуют эксплуатации Барабана полочного (п.1.1)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1.2.2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Обеспечение свободного доступа к барабану, удобную загрузку и выгрузку испытываемого сырья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Nimbus Roman [UKWN]" w:hAnsi="Nimbus Roman [UKWN]"/>
                <w:sz w:val="20"/>
                <w:szCs w:val="20"/>
              </w:rPr>
            </w:pPr>
            <w:r>
              <w:rPr>
                <w:rFonts w:ascii="Nimbus Roman [UKWN]" w:hAnsi="Nimbus Roman [UKWN]"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1.2.3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Обеспечение доступа к механизму натяжения ремня барабана и его электрическим соединениям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03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1.2.4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Материал корпуса: металлические панели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3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1.2.5</w:t>
            </w:r>
          </w:p>
        </w:tc>
        <w:tc>
          <w:tcPr>
            <w:tcW w:w="207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Шумопоглощающее покрытие: внутреннее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717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2.1.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Место поставки и разгрузки продукции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Продукция должна быть доставлена Продавцом по адресу Покупателя: 197349, город Санкт-Петербург, пр. Испытателей, д. 22, литера А, склад Заказчика (1 этаж).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Часы работы склада Заказчика: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с понедельника по четверг с 9 ч 00 мин до 16 ч 00 мин, в пятницу с 9 ч 00 мин до 15 ч 00 мин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Style1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" w:ascii="Calibri" w:hAnsi="Calibri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656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3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. 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гарантиям, гарантийному и послегара</w:t>
            </w:r>
            <w:bookmarkStart w:id="33" w:name="_GoBack"/>
            <w:bookmarkEnd w:id="33"/>
            <w:r>
              <w:rPr>
                <w:b/>
                <w:kern w:val="0"/>
                <w:sz w:val="20"/>
                <w:szCs w:val="20"/>
                <w:lang w:val="ru-RU" w:bidi="ar-SA"/>
              </w:rPr>
              <w:t>нтийному обслуживанию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3.1.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Гарантийный срок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Не менее 12 месяцев. При этом,гарантийный срок не может быть менее срока, установленного предприятием изготовителем. Гарантийный срок начинает течь с даты подписания сторонами накладной ТОРГ 12/УПД.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717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4. 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4.1.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kern w:val="0"/>
                <w:lang w:val="ru-RU" w:bidi="ar-SA"/>
              </w:rPr>
            </w:pPr>
            <w:bookmarkStart w:id="34" w:name="_Toc123106604_Копия_2"/>
            <w:r>
              <w:rPr>
                <w:kern w:val="0"/>
                <w:sz w:val="20"/>
                <w:szCs w:val="20"/>
                <w:lang w:val="ru-RU" w:bidi="ar-SA"/>
              </w:rPr>
              <w:t xml:space="preserve">а) </w:t>
            </w:r>
            <w:bookmarkStart w:id="35" w:name="_Toc123106606_Копия_2"/>
            <w:bookmarkEnd w:id="34"/>
            <w:r>
              <w:rPr>
                <w:kern w:val="0"/>
                <w:sz w:val="20"/>
                <w:szCs w:val="20"/>
                <w:lang w:val="ru-RU" w:bidi="ar-SA"/>
              </w:rPr>
              <w:t>оригинал счета;</w:t>
            </w:r>
            <w:bookmarkEnd w:id="35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kern w:val="0"/>
                <w:lang w:val="ru-RU" w:bidi="ar-SA"/>
              </w:rPr>
            </w:pPr>
            <w:bookmarkStart w:id="36" w:name="_Toc123106607_Копия_2"/>
            <w:r>
              <w:rPr>
                <w:kern w:val="0"/>
                <w:sz w:val="20"/>
                <w:szCs w:val="20"/>
                <w:lang w:val="ru-RU" w:bidi="ar-SA"/>
              </w:rPr>
              <w:t>б) счёт-фактуру;</w:t>
            </w:r>
            <w:bookmarkEnd w:id="36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74" w:hanging="0"/>
              <w:contextualSpacing/>
              <w:jc w:val="both"/>
              <w:outlineLvl w:val="0"/>
              <w:rPr>
                <w:rFonts w:ascii="Times New Roman" w:hAnsi="Times New Roman"/>
                <w:kern w:val="0"/>
                <w:lang w:val="ru-RU" w:bidi="ar-SA"/>
              </w:rPr>
            </w:pPr>
            <w:bookmarkStart w:id="37" w:name="_Toc123106608_Копия_2"/>
            <w:r>
              <w:rPr>
                <w:kern w:val="0"/>
                <w:sz w:val="20"/>
                <w:szCs w:val="20"/>
                <w:lang w:val="ru-RU" w:bidi="ar-SA"/>
              </w:rPr>
              <w:t>в) товарную накладную (ТОРГ-12) /универсальный передаточный документ (УПД);</w:t>
            </w:r>
            <w:bookmarkEnd w:id="37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kern w:val="0"/>
                <w:lang w:val="ru-RU" w:bidi="ar-SA"/>
              </w:rPr>
            </w:pPr>
            <w:bookmarkStart w:id="38" w:name="_Toc123106609_Копия_2"/>
            <w:r>
              <w:rPr>
                <w:kern w:val="0"/>
                <w:sz w:val="20"/>
                <w:szCs w:val="20"/>
                <w:lang w:val="ru-RU" w:bidi="ar-SA"/>
              </w:rPr>
              <w:t>г) руководство по эксплуатации/инструкция на русском языке;</w:t>
            </w:r>
            <w:bookmarkEnd w:id="38"/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42" w:hanging="0"/>
              <w:contextualSpacing/>
              <w:jc w:val="both"/>
              <w:outlineLvl w:val="0"/>
              <w:rPr>
                <w:rFonts w:ascii="Times New Roman" w:hAnsi="Times New Roman"/>
                <w:kern w:val="0"/>
                <w:lang w:val="ru-RU" w:bidi="ar-SA"/>
              </w:rPr>
            </w:pPr>
            <w:bookmarkStart w:id="39" w:name="_Toc123106610_Копия_2"/>
            <w:r>
              <w:rPr>
                <w:kern w:val="0"/>
                <w:sz w:val="20"/>
                <w:szCs w:val="20"/>
                <w:lang w:val="ru-RU" w:bidi="ar-SA"/>
              </w:rPr>
              <w:t>д) гарантийный талон;</w:t>
            </w:r>
            <w:bookmarkEnd w:id="39"/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427" w:hRule="atLeast"/>
        </w:trPr>
        <w:tc>
          <w:tcPr>
            <w:tcW w:w="942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4.2.</w:t>
            </w:r>
          </w:p>
        </w:tc>
        <w:tc>
          <w:tcPr>
            <w:tcW w:w="20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Комплектация продукции 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Барабан полочный КП-123 или эквивалент*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Обязательная комплектация: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1. Барабан полочный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2. Электропривод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3. Пульт управления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4. Комплект стальных шаров по ГОСТ 33049-2014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Паспорт и инструкция по эксплуатации полочного барабана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Дополнительная комплектация – в соответствии с паспорт</w:t>
            </w: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ом на товар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</w:pPr>
            <w:r>
              <w:rPr/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213" w:hRule="atLeast"/>
        </w:trPr>
        <w:tc>
          <w:tcPr>
            <w:tcW w:w="9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071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Style w:val="Strong"/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Шумозащитный кожух для барабана полочного КП-123 или эквивалент*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Обязательная комплектация: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 xml:space="preserve">1. </w:t>
            </w: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Шумозащитный кожух в сборе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2. Распашная передняя дверца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3. Откидная верхняя крышка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4</w:t>
            </w:r>
            <w:r>
              <w:rPr>
                <w:rStyle w:val="Strong"/>
                <w:b w:val="false"/>
                <w:kern w:val="0"/>
                <w:sz w:val="20"/>
                <w:szCs w:val="20"/>
                <w:shd w:fill="FFFFFF" w:val="clear"/>
                <w:lang w:val="ru-RU" w:bidi="ar-SA"/>
              </w:rPr>
              <w:t>. Паспорт и инструкция по эксплуатации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Дополнительная комплектация – в соответствии с паспорт</w:t>
            </w:r>
            <w:r>
              <w:rPr>
                <w:kern w:val="0"/>
                <w:sz w:val="20"/>
                <w:szCs w:val="20"/>
                <w:lang w:val="ru-RU" w:bidi="ar-SA"/>
              </w:rPr>
              <w:t>ом на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ru-RU" w:bidi="ar-SA"/>
              </w:rPr>
              <w:t>товар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673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5.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5.1.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ГОСТ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b w:val="false"/>
                <w:bCs w:val="false"/>
                <w:kern w:val="0"/>
                <w:sz w:val="20"/>
                <w:szCs w:val="20"/>
                <w:shd w:fill="FFFFFF" w:val="clear"/>
                <w:lang w:val="ru-RU" w:bidi="ar-SA"/>
              </w:rPr>
              <w:t>Барабан должен обеспечивать проведение испытаний в соответствии с требованиями ГОСТ 8269.0-97, ГОСТ 33049-2014 и ГОСТ Р 70257-2022.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7.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7.1.</w:t>
            </w:r>
          </w:p>
        </w:tc>
        <w:tc>
          <w:tcPr>
            <w:tcW w:w="20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 xml:space="preserve">Иные требования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быть новым, не бывшим в эксплуатации, не восстановленным и не собранным из восстановленных компонентов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7.2.</w:t>
            </w:r>
          </w:p>
        </w:tc>
        <w:tc>
          <w:tcPr>
            <w:tcW w:w="20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поставляться в упаковке фирмы-изготовителя, не имеющей повреждений и обеспечивающей защиту товара от его повреждения или порчи во время транспортировки и хранения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7.3.</w:t>
            </w:r>
          </w:p>
        </w:tc>
        <w:tc>
          <w:tcPr>
            <w:tcW w:w="20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Товар должен иметь необходимые сертификаты, маркировки, наклейки в соответствии с законодательством Российской Федерации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590" w:hRule="atLeast"/>
        </w:trPr>
        <w:tc>
          <w:tcPr>
            <w:tcW w:w="9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0"/>
              <w:contextualSpacing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8</w:t>
            </w:r>
            <w:r>
              <w:rPr>
                <w:kern w:val="0"/>
                <w:sz w:val="20"/>
                <w:szCs w:val="20"/>
                <w:lang w:val="ru-RU" w:bidi="ar-SA"/>
              </w:rPr>
              <w:t>.</w:t>
            </w:r>
          </w:p>
        </w:tc>
        <w:tc>
          <w:tcPr>
            <w:tcW w:w="86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b/>
                <w:kern w:val="0"/>
                <w:sz w:val="20"/>
                <w:szCs w:val="20"/>
                <w:lang w:val="ru-RU" w:bidi="ar-SA"/>
              </w:rPr>
              <w:t>Требования к оплате продукции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855" w:hRule="atLeast"/>
        </w:trPr>
        <w:tc>
          <w:tcPr>
            <w:tcW w:w="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8.1.</w:t>
            </w:r>
          </w:p>
        </w:tc>
        <w:tc>
          <w:tcPr>
            <w:tcW w:w="20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iCs/>
                <w:kern w:val="0"/>
                <w:sz w:val="20"/>
                <w:szCs w:val="20"/>
                <w:lang w:val="ru-RU" w:bidi="ar-SA"/>
              </w:rPr>
              <w:t>Условия оплаты</w:t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  <w:t>Авансирование не предусмотрено</w:t>
            </w:r>
          </w:p>
        </w:tc>
        <w:tc>
          <w:tcPr>
            <w:tcW w:w="2311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296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</w:tbl>
    <w:p>
      <w:pPr>
        <w:pStyle w:val="FootnoteText"/>
        <w:widowControl w:val="false"/>
        <w:rPr>
          <w:rFonts w:ascii="Nimbus Roman [UKWN]" w:hAnsi="Nimbus Roman [UKWN]"/>
        </w:rPr>
      </w:pPr>
      <w:r>
        <w:rPr>
          <w:rFonts w:ascii="Nimbus Roman [UKWN]" w:hAnsi="Nimbus Roman [UKWN]"/>
        </w:rPr>
      </w:r>
    </w:p>
    <w:p>
      <w:pPr>
        <w:pStyle w:val="Heading4"/>
        <w:numPr>
          <w:ilvl w:val="1"/>
        </w:numPr>
        <w:ind w:left="720" w:hanging="0"/>
        <w:rPr>
          <w:rFonts w:ascii="Nimbus Roman [UKWN]" w:hAnsi="Nimbus Roman [UKWN]"/>
        </w:rPr>
      </w:pPr>
      <w:r>
        <w:rPr>
          <w:rFonts w:ascii="Nimbus Roman [UKWN]" w:hAnsi="Nimbus Roman [UKWN]"/>
          <w:sz w:val="26"/>
          <w:szCs w:val="26"/>
        </w:rPr>
        <w:t>2.2.1. Состав заявки на мониторинг цен:</w:t>
      </w:r>
    </w:p>
    <w:p>
      <w:pPr>
        <w:sectPr>
          <w:type w:val="nextPage"/>
          <w:pgSz w:orient="landscape" w:w="16838" w:h="11906"/>
          <w:pgMar w:left="993" w:right="993" w:gutter="0" w:header="0" w:top="1134" w:footer="0" w:bottom="850"/>
          <w:pgNumType w:fmt="decimal"/>
          <w:formProt w:val="false"/>
          <w:textDirection w:val="lrTb"/>
          <w:docGrid w:type="default" w:linePitch="360" w:charSpace="0"/>
        </w:sectPr>
        <w:pStyle w:val="Standard"/>
        <w:jc w:val="both"/>
        <w:rPr/>
      </w:pPr>
      <w:r>
        <w:rPr/>
        <w:tab/>
        <w:t xml:space="preserve">В составе заявки </w:t>
      </w:r>
      <w:r>
        <w:rPr>
          <w:iCs/>
          <w:lang w:eastAsia="x-none"/>
        </w:rPr>
        <w:t xml:space="preserve">на </w:t>
      </w:r>
      <w:r>
        <w:rPr>
          <w:iCs/>
          <w:lang w:val="x-none" w:eastAsia="x-none"/>
        </w:rPr>
        <w:t xml:space="preserve">мониторинг цен необходимо представить </w:t>
      </w:r>
      <w:r>
        <w:rPr>
          <w:iCs/>
          <w:lang w:eastAsia="x-none"/>
        </w:rPr>
        <w:t xml:space="preserve">Технико-коммерческое предложение по форме приложения № 1 к настоящим Техническим требованиям.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both"/>
        <w:outlineLvl w:val="0"/>
        <w:rPr>
          <w:rFonts w:ascii="Nimbus Roman [UKWN]" w:hAnsi="Nimbus Roman [UKWN]"/>
          <w:sz w:val="26"/>
          <w:szCs w:val="26"/>
        </w:rPr>
      </w:pPr>
      <w:r>
        <w:rPr>
          <w:rFonts w:ascii="Nimbus Roman [UKWN]" w:hAnsi="Nimbus Roman [UKWN]"/>
          <w:sz w:val="26"/>
          <w:szCs w:val="26"/>
        </w:rPr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 xml:space="preserve">Приложение №1 </w:t>
      </w:r>
    </w:p>
    <w:p>
      <w:pPr>
        <w:pStyle w:val="Standard"/>
        <w:numPr>
          <w:ilvl w:val="0"/>
          <w:numId w:val="0"/>
        </w:numPr>
        <w:tabs>
          <w:tab w:val="clear" w:pos="708"/>
          <w:tab w:val="left" w:pos="0" w:leader="none"/>
          <w:tab w:val="left" w:pos="1560" w:leader="none"/>
        </w:tabs>
        <w:ind w:left="0" w:hanging="0"/>
        <w:jc w:val="right"/>
        <w:outlineLvl w:val="0"/>
        <w:rPr/>
      </w:pPr>
      <w:r>
        <w:rPr>
          <w:rFonts w:ascii="Nimbus Roman [UKWN]" w:hAnsi="Nimbus Roman [UKWN]"/>
          <w:sz w:val="26"/>
          <w:szCs w:val="26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left="6160" w:hanging="0"/>
        <w:jc w:val="right"/>
        <w:rPr/>
      </w:pPr>
      <w:r>
        <w:rPr/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Форма «Технико-коммерческое предложение»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начало формы</w:t>
            </w:r>
          </w:p>
        </w:tc>
      </w:tr>
    </w:tbl>
    <w:p>
      <w:pPr>
        <w:pStyle w:val="Normal"/>
        <w:tabs>
          <w:tab w:val="clear" w:pos="708"/>
          <w:tab w:val="left" w:pos="5812" w:leader="none"/>
        </w:tabs>
        <w:jc w:val="center"/>
        <w:rPr>
          <w:i/>
          <w:i/>
        </w:rPr>
      </w:pPr>
      <w:r>
        <w:rPr>
          <w:i/>
        </w:rPr>
        <w:t>На официальном бланке участника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Технико-коммерческое предложение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3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1136"/>
        <w:gridCol w:w="1699"/>
      </w:tblGrid>
      <w:tr>
        <w:trPr/>
        <w:tc>
          <w:tcPr>
            <w:tcW w:w="181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Исходящий №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83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jc w:val="center"/>
        <w:rPr>
          <w:b/>
          <w:lang w:val="en-US"/>
        </w:rPr>
      </w:pPr>
      <w:r>
        <w:rPr>
          <w:b/>
          <w:lang w:val="en-US"/>
        </w:rPr>
      </w:r>
    </w:p>
    <w:p>
      <w:pPr>
        <w:pStyle w:val="Normal"/>
        <w:rPr>
          <w:b/>
          <w:lang w:val="en-US"/>
        </w:rPr>
      </w:pPr>
      <w:r>
        <w:rPr>
          <w:b/>
          <w:lang w:val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50"/>
        <w:gridCol w:w="271"/>
      </w:tblGrid>
      <w:tr>
        <w:trPr/>
        <w:tc>
          <w:tcPr>
            <w:tcW w:w="992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/>
            </w:pPr>
            <w:r>
              <w:rPr/>
              <w:t>Изучив Технические требования Заказчика в рамках настоящего мониторинга</w:t>
            </w:r>
            <w:bookmarkStart w:id="40" w:name="_Toc123106595_Копия_1"/>
            <w:r>
              <w:rPr>
                <w:bCs/>
              </w:rPr>
              <w:t>ОКПД2 26.51.62.120 Поставка полочного барабана КП-123 с шумозащитным кожухом для нужд АО «Ленгидропроект»»</w:t>
            </w:r>
            <w:bookmarkEnd w:id="40"/>
            <w:r>
              <w:rPr>
                <w:bCs/>
              </w:rPr>
              <w:t>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lang w:val="en-US"/>
              </w:rPr>
              <w:t>.</w:t>
            </w:r>
          </w:p>
        </w:tc>
      </w:tr>
      <w:tr>
        <w:trPr/>
        <w:tc>
          <w:tcPr>
            <w:tcW w:w="9650" w:type="dxa"/>
            <w:tcBorders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(юридический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,</w:t>
            </w:r>
          </w:p>
        </w:tc>
      </w:tr>
      <w:tr>
        <w:trPr/>
        <w:tc>
          <w:tcPr>
            <w:tcW w:w="9650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(почтовый адрес)</w:t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5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,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>
          <w:vertAlign w:val="superscript"/>
        </w:rPr>
        <w:t>(контактные данные номер телефона, e-mail, ФИО контактного лица)</w:t>
      </w:r>
    </w:p>
    <w:p>
      <w:pPr>
        <w:pStyle w:val="Normal"/>
        <w:jc w:val="both"/>
        <w:rPr>
          <w:kern w:val="2"/>
        </w:rPr>
      </w:pPr>
      <w:r>
        <w:rPr/>
        <w:t xml:space="preserve">согласен </w:t>
      </w:r>
      <w:r>
        <w:rPr>
          <w:kern w:val="2"/>
        </w:rPr>
        <w:t>со всеми условиями Технических требований, включая установленные (предложенные Заказчиком) сроки изготовления и поставки Товара, условия оплаты</w:t>
      </w:r>
      <w:r>
        <w:rPr/>
        <w:t xml:space="preserve"> и сообщаю следующее:</w:t>
      </w:r>
    </w:p>
    <w:p>
      <w:pPr>
        <w:pStyle w:val="Normal"/>
        <w:jc w:val="both"/>
        <w:rPr>
          <w:kern w:val="2"/>
        </w:rPr>
      </w:pPr>
      <w:r>
        <w:rPr>
          <w:kern w:val="2"/>
        </w:rPr>
      </w:r>
    </w:p>
    <w:p>
      <w:pPr>
        <w:pStyle w:val="Normal"/>
        <w:shd w:val="clear" w:color="auto" w:fill="FFFFFF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Сводная таблица стоимости продукции</w:t>
      </w:r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1"/>
        <w:gridCol w:w="4049"/>
        <w:gridCol w:w="1130"/>
        <w:gridCol w:w="795"/>
        <w:gridCol w:w="1470"/>
        <w:gridCol w:w="1199"/>
      </w:tblGrid>
      <w:tr>
        <w:trPr>
          <w:trHeight w:val="1065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Ед. 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изм-я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 без учета НДС, руб. коп.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без учета НДС, руб. коп.</w:t>
            </w:r>
          </w:p>
        </w:tc>
      </w:tr>
      <w:tr>
        <w:trPr>
          <w:trHeight w:val="149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221" w:hRule="atLeast"/>
        </w:trPr>
        <w:tc>
          <w:tcPr>
            <w:tcW w:w="99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ind w:left="-10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_Toc123106595_Копия_2"/>
            <w:r>
              <w:rPr>
                <w:b/>
                <w:bCs/>
                <w:sz w:val="24"/>
                <w:szCs w:val="24"/>
              </w:rPr>
              <w:t>ОКПД2 26.51.62.120 Поставка полочного барабана КП-123 с шумозащитным кожухом для нужд АО «Ленгидропроект»»</w:t>
            </w:r>
            <w:bookmarkEnd w:id="41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>
        <w:trPr>
          <w:trHeight w:val="404" w:hRule="atLeast"/>
        </w:trPr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Барабан полочный КП-123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Шумозащитный кожух для полочного барабана КП-123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72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</w:rPr>
              <w:t>Итого, без НДС, руб. коп.: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2"/>
      </w:tblGrid>
      <w:tr>
        <w:trPr/>
        <w:tc>
          <w:tcPr>
            <w:tcW w:w="99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rPr/>
        <w:tc>
          <w:tcPr>
            <w:tcW w:w="992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</w:r>
          </w:p>
        </w:tc>
      </w:tr>
    </w:tbl>
    <w:p>
      <w:pPr>
        <w:pStyle w:val="Normal"/>
        <w:spacing w:before="0" w:after="0"/>
        <w:contextualSpacing/>
        <w:rPr>
          <w:kern w:val="2"/>
        </w:rPr>
      </w:pPr>
      <w:r>
        <w:rPr>
          <w:kern w:val="2"/>
        </w:rPr>
      </w:r>
    </w:p>
    <w:tbl>
      <w:tblPr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93"/>
        <w:gridCol w:w="2550"/>
      </w:tblGrid>
      <w:tr>
        <w:trPr/>
        <w:tc>
          <w:tcPr>
            <w:tcW w:w="4643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43" w:type="dxa"/>
            <w:gridSpan w:val="2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(должность)</w:t>
            </w:r>
          </w:p>
        </w:tc>
      </w:tr>
      <w:tr>
        <w:trPr/>
        <w:tc>
          <w:tcPr>
            <w:tcW w:w="209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53" w:hRule="atLeast"/>
        </w:trPr>
        <w:tc>
          <w:tcPr>
            <w:tcW w:w="209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55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  <w:p>
            <w:pPr>
              <w:pStyle w:val="Normal"/>
              <w:widowControl w:val="false"/>
              <w:rPr>
                <w:vertAlign w:val="superscript"/>
              </w:rPr>
            </w:pPr>
            <w:r>
              <w:rPr>
                <w:vertAlign w:val="superscript"/>
              </w:rPr>
              <w:t>М..П.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2"/>
      </w:tblGrid>
      <w:tr>
        <w:trPr/>
        <w:tc>
          <w:tcPr>
            <w:tcW w:w="9922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конец формы</w:t>
            </w:r>
          </w:p>
        </w:tc>
      </w:tr>
    </w:tbl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0" w:gutter="0" w:header="0" w:top="993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 [UKWN]"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3d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5d4d73"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f2f95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rsid w:val="00b20c7e"/>
    <w:pPr>
      <w:keepNext w:val="true"/>
      <w:spacing w:before="120" w:after="60"/>
      <w:outlineLvl w:val="2"/>
    </w:pPr>
    <w:rPr>
      <w:rFonts w:eastAsia="Calibri"/>
      <w:b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5d4d73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ДТ. Текст"/>
    <w:uiPriority w:val="1"/>
    <w:qFormat/>
    <w:rsid w:val="009d3df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d3df3"/>
    <w:rPr>
      <w:sz w:val="16"/>
      <w:szCs w:val="16"/>
    </w:rPr>
  </w:style>
  <w:style w:type="character" w:styleId="Doctitleimportant1" w:customStyle="1">
    <w:name w:val="doc__title_important1"/>
    <w:basedOn w:val="DefaultParagraphFont"/>
    <w:qFormat/>
    <w:rsid w:val="009d3df3"/>
    <w:rPr>
      <w:vanish w:val="false"/>
      <w:color w:val="000000"/>
    </w:rPr>
  </w:style>
  <w:style w:type="character" w:styleId="Strong">
    <w:name w:val="Strong"/>
    <w:basedOn w:val="DefaultParagraphFont"/>
    <w:uiPriority w:val="22"/>
    <w:qFormat/>
    <w:rsid w:val="009d3df3"/>
    <w:rPr>
      <w:b/>
      <w:bCs/>
    </w:rPr>
  </w:style>
  <w:style w:type="character" w:styleId="Style6" w:customStyle="1">
    <w:name w:val="Текст примечания Знак"/>
    <w:basedOn w:val="DefaultParagraphFont"/>
    <w:link w:val="Annotationtext"/>
    <w:uiPriority w:val="99"/>
    <w:semiHidden/>
    <w:qFormat/>
    <w:rsid w:val="005f0cf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link w:val="Annotationsubject"/>
    <w:uiPriority w:val="99"/>
    <w:semiHidden/>
    <w:qFormat/>
    <w:rsid w:val="005f0cf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f0cf1"/>
    <w:rPr>
      <w:rFonts w:ascii="Segoe UI" w:hAnsi="Segoe UI" w:eastAsia="Times New Roman" w:cs="Segoe UI"/>
      <w:sz w:val="18"/>
      <w:szCs w:val="18"/>
      <w:lang w:eastAsia="ru-RU"/>
    </w:rPr>
  </w:style>
  <w:style w:type="character" w:styleId="Style9" w:customStyle="1">
    <w:name w:val="комментарий"/>
    <w:qFormat/>
    <w:rsid w:val="00eb379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5d4d73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b20c7e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5d4d73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10" w:customStyle="1">
    <w:name w:val="Абзац списка Знак"/>
    <w:link w:val="ListParagraph"/>
    <w:uiPriority w:val="34"/>
    <w:qFormat/>
    <w:locked/>
    <w:rsid w:val="00962f0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461830"/>
    <w:rPr>
      <w:color w:val="0000FF"/>
      <w:u w:val="single"/>
    </w:rPr>
  </w:style>
  <w:style w:type="character" w:styleId="Style11" w:customStyle="1">
    <w:name w:val="Текст сноски Знак"/>
    <w:basedOn w:val="DefaultParagraphFont"/>
    <w:uiPriority w:val="99"/>
    <w:semiHidden/>
    <w:qFormat/>
    <w:rsid w:val="000c0a7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Символ сноски"/>
    <w:uiPriority w:val="99"/>
    <w:semiHidden/>
    <w:unhideWhenUsed/>
    <w:qFormat/>
    <w:rsid w:val="000c0a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Markedcontent" w:customStyle="1">
    <w:name w:val="markedcontent"/>
    <w:basedOn w:val="DefaultParagraphFont"/>
    <w:qFormat/>
    <w:rsid w:val="00c55ac5"/>
    <w:rPr/>
  </w:style>
  <w:style w:type="character" w:styleId="Hgkelc" w:customStyle="1">
    <w:name w:val="hgkelc"/>
    <w:basedOn w:val="DefaultParagraphFont"/>
    <w:qFormat/>
    <w:rsid w:val="006a52f9"/>
    <w:rPr/>
  </w:style>
  <w:style w:type="character" w:styleId="Ecattext" w:customStyle="1">
    <w:name w:val="ecattext"/>
    <w:basedOn w:val="DefaultParagraphFont"/>
    <w:qFormat/>
    <w:rsid w:val="00f608cf"/>
    <w:rPr/>
  </w:style>
  <w:style w:type="character" w:styleId="FollowedHyperlink">
    <w:name w:val="FollowedHyperlink"/>
    <w:basedOn w:val="DefaultParagraphFont"/>
    <w:uiPriority w:val="99"/>
    <w:semiHidden/>
    <w:unhideWhenUsed/>
    <w:rsid w:val="009e6f41"/>
    <w:rPr>
      <w:color w:val="954F72" w:themeColor="followedHyperlink"/>
      <w:u w:val="single"/>
    </w:rPr>
  </w:style>
  <w:style w:type="character" w:styleId="S2" w:customStyle="1">
    <w:name w:val="s2"/>
    <w:basedOn w:val="DefaultParagraphFont"/>
    <w:qFormat/>
    <w:rsid w:val="00030bdc"/>
    <w:rPr/>
  </w:style>
  <w:style w:type="character" w:styleId="2" w:customStyle="1">
    <w:name w:val="Заголовок 2 Знак"/>
    <w:basedOn w:val="DefaultParagraphFont"/>
    <w:uiPriority w:val="9"/>
    <w:semiHidden/>
    <w:qFormat/>
    <w:rsid w:val="009f2f9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Linenumber">
    <w:name w:val="line number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">
    <w:name w:val="index heading1"/>
    <w:basedOn w:val="Style16"/>
    <w:qFormat/>
    <w:pPr/>
    <w:rPr/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" w:customStyle="1">
    <w:name w:val="index heading11"/>
    <w:basedOn w:val="11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" w:customStyle="1">
    <w:name w:val="index heading111"/>
    <w:basedOn w:val="11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111111" w:customStyle="1">
    <w:name w:val="index heading111111"/>
    <w:basedOn w:val="Title"/>
    <w:qFormat/>
    <w:pPr/>
    <w:rPr/>
  </w:style>
  <w:style w:type="paragraph" w:styleId="ListParagraph">
    <w:name w:val="List Paragraph"/>
    <w:basedOn w:val="Normal"/>
    <w:link w:val="Style10"/>
    <w:qFormat/>
    <w:pPr>
      <w:suppressAutoHyphens w:val="false"/>
      <w:spacing w:before="0" w:after="0"/>
      <w:ind w:left="720" w:hanging="0"/>
      <w:contextualSpacing/>
    </w:pPr>
    <w:rPr>
      <w:color w:val="000000"/>
    </w:rPr>
  </w:style>
  <w:style w:type="paragraph" w:styleId="Annotationtext">
    <w:name w:val="annotation text"/>
    <w:basedOn w:val="Normal"/>
    <w:link w:val="Style6"/>
    <w:uiPriority w:val="99"/>
    <w:semiHidden/>
    <w:unhideWhenUsed/>
    <w:qFormat/>
    <w:rsid w:val="005f0cf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uiPriority w:val="99"/>
    <w:semiHidden/>
    <w:unhideWhenUsed/>
    <w:qFormat/>
    <w:rsid w:val="005f0cf1"/>
    <w:pPr/>
    <w:rPr>
      <w:b/>
      <w:bCs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f0cf1"/>
    <w:pPr/>
    <w:rPr>
      <w:rFonts w:ascii="Segoe UI" w:hAnsi="Segoe UI" w:cs="Segoe UI"/>
      <w:sz w:val="18"/>
      <w:szCs w:val="18"/>
    </w:rPr>
  </w:style>
  <w:style w:type="paragraph" w:styleId="21" w:customStyle="1">
    <w:name w:val="Заголовок 2 КВВ"/>
    <w:basedOn w:val="Normal"/>
    <w:qFormat/>
    <w:rsid w:val="005d4d73"/>
    <w:pPr>
      <w:keepNext w:val="true"/>
      <w:numPr>
        <w:ilvl w:val="0"/>
        <w:numId w:val="1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18" w:customStyle="1">
    <w:name w:val="Таблица шапка"/>
    <w:basedOn w:val="Normal"/>
    <w:qFormat/>
    <w:rsid w:val="00962f01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TOC1">
    <w:name w:val="TOC 1"/>
    <w:basedOn w:val="Normal"/>
    <w:next w:val="Normal"/>
    <w:autoRedefine/>
    <w:uiPriority w:val="39"/>
    <w:rsid w:val="00ed4e87"/>
    <w:pPr>
      <w:tabs>
        <w:tab w:val="clear" w:pos="708"/>
        <w:tab w:val="right" w:pos="9912" w:leader="dot"/>
      </w:tabs>
      <w:spacing w:before="120" w:after="0"/>
      <w:jc w:val="center"/>
    </w:pPr>
    <w:rPr>
      <w:rFonts w:ascii="Nimbus Roman [UKWN]" w:hAnsi="Nimbus Roman [UKWN]" w:cs="Calibri Light (Заголовки)"/>
    </w:rPr>
  </w:style>
  <w:style w:type="paragraph" w:styleId="TOC3">
    <w:name w:val="TOC 3"/>
    <w:basedOn w:val="Normal"/>
    <w:next w:val="Normal"/>
    <w:autoRedefine/>
    <w:uiPriority w:val="39"/>
    <w:rsid w:val="00461830"/>
    <w:pPr>
      <w:ind w:left="280" w:hanging="0"/>
    </w:pPr>
    <w:rPr>
      <w:rFonts w:cs="Calibri" w:cstheme="minorHAnsi"/>
    </w:rPr>
  </w:style>
  <w:style w:type="paragraph" w:styleId="TOC4">
    <w:name w:val="TOC 4"/>
    <w:basedOn w:val="Normal"/>
    <w:next w:val="Normal"/>
    <w:autoRedefine/>
    <w:uiPriority w:val="39"/>
    <w:rsid w:val="00461830"/>
    <w:pPr>
      <w:ind w:left="560" w:hanging="0"/>
    </w:pPr>
    <w:rPr>
      <w:rFonts w:cs="Calibri" w:cstheme="minorHAnsi"/>
      <w:sz w:val="20"/>
      <w:szCs w:val="20"/>
    </w:rPr>
  </w:style>
  <w:style w:type="paragraph" w:styleId="FootnoteText">
    <w:name w:val="Footnote Text"/>
    <w:basedOn w:val="Normal"/>
    <w:link w:val="Style11"/>
    <w:uiPriority w:val="99"/>
    <w:semiHidden/>
    <w:unhideWhenUsed/>
    <w:rsid w:val="000c0a75"/>
    <w:pPr/>
    <w:rPr>
      <w:sz w:val="20"/>
      <w:szCs w:val="20"/>
    </w:rPr>
  </w:style>
  <w:style w:type="paragraph" w:styleId="Style19" w:customStyle="1">
    <w:name w:val="Таблица"/>
    <w:basedOn w:val="Normal"/>
    <w:qFormat/>
    <w:rsid w:val="008d116c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c55ac5"/>
    <w:pPr>
      <w:spacing w:beforeAutospacing="1" w:afterAutospacing="1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ed4e87"/>
    <w:pPr>
      <w:keepLines/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color w:val="2E74B5" w:themeColor="accent1" w:themeShade="bf"/>
      <w:sz w:val="32"/>
      <w:szCs w:val="32"/>
      <w:lang w:val="ru-RU" w:eastAsia="ru-RU"/>
    </w:rPr>
  </w:style>
  <w:style w:type="paragraph" w:styleId="Default" w:customStyle="1">
    <w:name w:val="Default"/>
    <w:qFormat/>
    <w:rsid w:val="00d31a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Revision">
    <w:name w:val="Revision"/>
    <w:uiPriority w:val="99"/>
    <w:semiHidden/>
    <w:qFormat/>
    <w:rsid w:val="00b2021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basedOn w:val="Normal"/>
    <w:qFormat/>
    <w:rsid w:val="00823101"/>
    <w:pPr>
      <w:spacing w:beforeAutospacing="1" w:afterAutospacing="1"/>
    </w:pPr>
    <w:rPr/>
  </w:style>
  <w:style w:type="paragraph" w:styleId="Headertext" w:customStyle="1">
    <w:name w:val="headertext"/>
    <w:basedOn w:val="Normal"/>
    <w:qFormat/>
    <w:rsid w:val="00823101"/>
    <w:pPr>
      <w:spacing w:beforeAutospacing="1" w:afterAutospacing="1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Contents1" w:customStyle="1">
    <w:name w:val="Contents 1"/>
    <w:basedOn w:val="Standard"/>
    <w:next w:val="Standard"/>
    <w:qFormat/>
    <w:pPr>
      <w:tabs>
        <w:tab w:val="clear" w:pos="708"/>
        <w:tab w:val="right" w:pos="9912" w:leader="dot"/>
      </w:tabs>
      <w:spacing w:before="120" w:after="0"/>
      <w:jc w:val="center"/>
    </w:pPr>
    <w:rPr>
      <w:rFonts w:cs="Calibri Light (Заголовки)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numbering" w:styleId="29572843031" w:customStyle="1">
    <w:name w:val="29572843031"/>
    <w:qFormat/>
  </w:style>
  <w:style w:type="numbering" w:styleId="9826086631" w:customStyle="1">
    <w:name w:val="98260866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Table Grid"/>
    <w:basedOn w:val="a1"/>
    <w:uiPriority w:val="39"/>
    <w:rsid w:val="008d116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panovaTV@lhp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03C53-358A-4DE7-9D27-31E9512D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AlterOffice/2025.3.0.0$Linux_X86_64 LibreOffice_project/4ba31b6a4271509a884f95065d0a726e9cb2bdbb</Application>
  <AppVersion>15.0000</AppVersion>
  <Pages>8</Pages>
  <Words>1249</Words>
  <Characters>8399</Characters>
  <CharactersWithSpaces>9449</CharactersWithSpaces>
  <Paragraphs>220</Paragraphs>
  <Company>ОАО Ленгидропроект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2026-05-19T06:40:00Z</dcterms:created>
  <dc:creator>Крестьянова Александра Николаевна</dc:creator>
  <dc:description/>
  <dc:language>ru-RU</dc:language>
  <cp:lastModifiedBy>seligerskaiagiu</cp:lastModifiedBy>
  <cp:lastPrinted>2026-04-21T10:15:00Z</cp:lastPrinted>
  <dcterms:modified xsi:type="dcterms:W3CDTF">2026-06-30T12:16:20Z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