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widowControl/>
        <w:shd w:val="clear" w:color="auto" w:fill="FFFFFF"/>
        <w:tabs>
          <w:tab w:val="clear" w:pos="720"/>
          <w:tab w:val="left" w:pos="3060" w:leader="none"/>
          <w:tab w:val="left" w:pos="6519" w:leader="none"/>
        </w:tabs>
        <w:suppressAutoHyphens w:val="true"/>
        <w:bidi w:val="0"/>
        <w:spacing w:before="0" w:after="120"/>
        <w:ind w:left="0" w:right="0" w:firstLine="567"/>
        <w:jc w:val="left"/>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в лице ________________, действующего на основании ______________, с другой стороны,</w:t>
      </w:r>
    </w:p>
    <w:p>
      <w:pPr>
        <w:pStyle w:val="Normal"/>
        <w:spacing w:before="0" w:after="120"/>
        <w:ind w:firstLine="567"/>
        <w:jc w:val="both"/>
        <w:rPr/>
      </w:pPr>
      <w:r>
        <w:rPr>
          <w:bCs/>
          <w:sz w:val="24"/>
          <w:szCs w:val="24"/>
          <w:shd w:fill="auto" w:val="clear"/>
        </w:rPr>
        <w:t xml:space="preserve">совместно в дальнейшем именуемые «Стороны», а по отдельности – «Сторона», </w:t>
      </w:r>
      <w:r>
        <w:rPr>
          <w:bCs/>
          <w:color w:val="000000"/>
          <w:sz w:val="24"/>
          <w:szCs w:val="24"/>
          <w:shd w:fill="auto" w:val="clear"/>
        </w:rPr>
        <w:t xml:space="preserve">по результатам проведенной Покупателем нерегламентированной закупочной процедуры по лоту № </w:t>
      </w:r>
      <w:bookmarkStart w:id="0" w:name="_GoBack"/>
      <w:bookmarkEnd w:id="0"/>
      <w:r>
        <w:rPr>
          <w:rFonts w:cs="Times New Roman"/>
          <w:b w:val="false"/>
          <w:bCs w:val="false"/>
          <w:color w:val="000000"/>
          <w:sz w:val="24"/>
          <w:szCs w:val="24"/>
          <w:shd w:fill="auto" w:val="clear"/>
          <w:lang w:eastAsia="ru-RU"/>
        </w:rPr>
        <w:t>______________________________________</w:t>
      </w:r>
      <w:r>
        <w:rPr>
          <w:bCs/>
          <w:color w:val="000000"/>
          <w:sz w:val="24"/>
          <w:szCs w:val="24"/>
          <w:shd w:fill="auto" w:val="clear"/>
        </w:rPr>
        <w:t>, что подтверждается аналитической запиской от __.__.20__ г.,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cs="Times New Roman"/>
          <w:b/>
          <w:bCs/>
          <w:sz w:val="24"/>
          <w:szCs w:val="24"/>
          <w:lang w:val="ru-RU" w:eastAsia="x-none"/>
        </w:rPr>
        <w:t>светильники</w:t>
      </w:r>
      <w:r>
        <w:rPr>
          <w:rFonts w:eastAsia="Times New Roman"/>
          <w:b/>
          <w:bCs/>
          <w:color w:val="000000"/>
          <w:sz w:val="24"/>
          <w:szCs w:val="24"/>
          <w:shd w:fill="auto" w:val="clear"/>
          <w:lang w:eastAsia="en-US"/>
        </w:rPr>
        <w:t xml:space="preserve"> </w:t>
      </w:r>
      <w:r>
        <w:rPr>
          <w:b w:val="false"/>
          <w:sz w:val="24"/>
          <w:szCs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shd w:fill="auto" w:val="clear"/>
        </w:rPr>
        <w:t>и Техническими требованиями (</w:t>
      </w:r>
      <w:r>
        <w:rPr>
          <w:sz w:val="24"/>
          <w:shd w:fill="auto" w:val="clear"/>
        </w:rPr>
        <w:t>Приложение № 2</w:t>
      </w:r>
      <w:r>
        <w:rPr>
          <w:b w:val="false"/>
          <w:sz w:val="24"/>
          <w:shd w:fill="auto" w:val="clear"/>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w:t>
      </w:r>
      <w:r>
        <w:rPr>
          <w:rFonts w:eastAsia="Times New Roman" w:cs="Times New Roman" w:ascii="Times New Roman" w:hAnsi="Times New Roman"/>
          <w:iCs/>
          <w:color w:val="1C1C1C"/>
          <w:kern w:val="0"/>
          <w:sz w:val="24"/>
          <w:szCs w:val="24"/>
          <w:shd w:fill="auto" w:val="clear"/>
          <w:lang w:val="ru-RU" w:eastAsia="ru-RU" w:bidi="ar-SA"/>
        </w:rPr>
        <w:t>Российская Федерация, 413840, Саратовская обл., город Балаково, территория Филиала ПАО «РусГидро» - «Саратовская ГЭС»</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rPr>
        <w:t>в</w:t>
      </w:r>
      <w:r>
        <w:rPr>
          <w:rFonts w:eastAsia="Times New Roman" w:cs="Times New Roman" w:ascii="Times New Roman" w:hAnsi="Times New Roman"/>
          <w:spacing w:val="2"/>
          <w:sz w:val="24"/>
          <w:szCs w:val="24"/>
          <w:lang w:eastAsia="ru-RU"/>
        </w:rPr>
        <w:t xml:space="preserve"> течение 14 </w:t>
      </w:r>
      <w:r>
        <w:rPr>
          <w:rFonts w:eastAsia="Times New Roman" w:cs="Times New Roman" w:ascii="Times New Roman" w:hAnsi="Times New Roman"/>
          <w:spacing w:val="2"/>
          <w:sz w:val="24"/>
          <w:szCs w:val="24"/>
          <w:lang w:eastAsia="ru-RU"/>
        </w:rPr>
        <w:t>(четырнадцати)</w:t>
      </w:r>
      <w:r>
        <w:rPr>
          <w:rFonts w:eastAsia="Times New Roman" w:cs="Times New Roman" w:ascii="Times New Roman" w:hAnsi="Times New Roman"/>
          <w:spacing w:val="2"/>
          <w:sz w:val="24"/>
          <w:szCs w:val="24"/>
          <w:lang w:eastAsia="ru-RU"/>
        </w:rPr>
        <w:t xml:space="preserve"> календарных дней с даты подписания </w:t>
      </w:r>
      <w:r>
        <w:rPr>
          <w:rFonts w:eastAsia="Times New Roman" w:cs="Times New Roman" w:ascii="Times New Roman" w:hAnsi="Times New Roman"/>
          <w:spacing w:val="2"/>
          <w:sz w:val="24"/>
          <w:szCs w:val="24"/>
          <w:lang w:eastAsia="ru-RU"/>
        </w:rPr>
        <w:t>Д</w:t>
      </w:r>
      <w:r>
        <w:rPr>
          <w:rFonts w:eastAsia="Times New Roman" w:cs="Times New Roman" w:ascii="Times New Roman" w:hAnsi="Times New Roman"/>
          <w:spacing w:val="2"/>
          <w:sz w:val="24"/>
          <w:szCs w:val="24"/>
          <w:lang w:eastAsia="ru-RU"/>
        </w:rPr>
        <w:t>оговора</w:t>
      </w:r>
      <w:r>
        <w:rPr>
          <w:rFonts w:eastAsia="Times New Roman" w:cs="Times New Roman"/>
          <w:color w:val="000000"/>
          <w:sz w:val="24"/>
          <w:szCs w:val="24"/>
        </w:rPr>
        <w:t xml:space="preserve"> Сторонами</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w:t>
      </w:r>
      <w:r>
        <w:rPr>
          <w:bCs/>
          <w:sz w:val="24"/>
          <w:szCs w:val="24"/>
          <w:u w:val="single"/>
          <w:shd w:fill="auto" w:val="clear"/>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shd w:fill="auto" w:val="clear"/>
        </w:rPr>
        <w:footnoteReference w:id="3"/>
      </w:r>
    </w:p>
    <w:p>
      <w:pPr>
        <w:pStyle w:val="Normal"/>
        <w:numPr>
          <w:ilvl w:val="1"/>
          <w:numId w:val="6"/>
        </w:numPr>
        <w:tabs>
          <w:tab w:val="clear" w:pos="720"/>
          <w:tab w:val="left" w:pos="0" w:leader="none"/>
          <w:tab w:val="left" w:pos="426" w:leader="none"/>
          <w:tab w:val="left" w:pos="851" w:leader="none"/>
        </w:tabs>
        <w:spacing w:before="0" w:after="120"/>
        <w:ind w:left="0" w:firstLine="567"/>
        <w:jc w:val="both"/>
        <w:rPr>
          <w:highlight w:val="none"/>
          <w:shd w:fill="auto" w:val="clear"/>
        </w:rPr>
      </w:pPr>
      <w:r>
        <w:rPr>
          <w:bCs/>
          <w:sz w:val="24"/>
          <w:szCs w:val="24"/>
          <w:shd w:fill="auto" w:val="clear"/>
        </w:rPr>
        <w:t xml:space="preserve">Цена Договора включает в себя </w:t>
      </w:r>
      <w:r>
        <w:rPr>
          <w:sz w:val="24"/>
          <w:szCs w:val="24"/>
          <w:shd w:fill="auto" w:val="clear"/>
        </w:rPr>
        <w:t xml:space="preserve">стоимость Продукции, </w:t>
      </w:r>
      <w:r>
        <w:rPr>
          <w:bCs/>
          <w:sz w:val="24"/>
          <w:szCs w:val="24"/>
          <w:shd w:fill="auto" w:val="clear"/>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2.5.1. </w:t>
      </w:r>
      <w:r>
        <w:rPr>
          <w:sz w:val="24"/>
          <w:szCs w:val="24"/>
        </w:rPr>
        <w:t xml:space="preserve">Платеж в размере 100% (сто процентов) от стоимости поставленной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r>
      <w:r>
        <w:rPr>
          <w:sz w:val="24"/>
          <w:szCs w:val="24"/>
        </w:rPr>
        <w:t xml:space="preserve">2.5.2. </w:t>
      </w:r>
      <w:r>
        <w:rPr>
          <w:bCs/>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highlight w:val="none"/>
          <w:shd w:fill="auto" w:val="clear"/>
        </w:rPr>
      </w:pPr>
      <w:r>
        <w:rPr>
          <w:sz w:val="24"/>
          <w:szCs w:val="24"/>
          <w:shd w:fill="auto" w:val="clear"/>
        </w:rPr>
        <w:t xml:space="preserve">Поставщик обязан представить Покупателю счета-фактуры </w:t>
      </w:r>
      <w:r>
        <w:rPr>
          <w:sz w:val="24"/>
          <w:szCs w:val="24"/>
          <w:shd w:fill="auto" w:val="clear"/>
          <w:lang w:val="ru-RU"/>
        </w:rPr>
        <w:t xml:space="preserve"> </w:t>
      </w:r>
      <w:r>
        <w:rPr>
          <w:rFonts w:cs="Times New Roman"/>
          <w:bCs/>
          <w:color w:val="000000"/>
          <w:sz w:val="24"/>
          <w:szCs w:val="24"/>
          <w:shd w:fill="auto" w:val="clear"/>
          <w:lang w:val="ru-RU"/>
        </w:rPr>
        <w:t>или Универсальные передаточные документы (УПД)</w:t>
      </w:r>
      <w:r>
        <w:rPr>
          <w:sz w:val="24"/>
          <w:szCs w:val="24"/>
          <w:shd w:fill="auto" w:val="clear"/>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он обязан произвести замену счета-фактуры</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w:t>
      </w:r>
      <w:r>
        <w:rPr>
          <w:rStyle w:val="FootnoteReference"/>
          <w:bCs/>
          <w:szCs w:val="28"/>
          <w:shd w:fill="auto" w:val="clear"/>
        </w:rPr>
        <w:footnoteReference w:id="4"/>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sz w:val="24"/>
          <w:szCs w:val="24"/>
        </w:rPr>
      </w:pPr>
      <w:r>
        <w:rPr>
          <w:sz w:val="24"/>
          <w:szCs w:val="24"/>
        </w:rPr>
        <w:t xml:space="preserve"> </w:t>
      </w:r>
      <w:r>
        <w:rPr>
          <w:sz w:val="24"/>
          <w:szCs w:val="24"/>
        </w:rPr>
        <w:t>Сертификаты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Сертификаты соответствия требованиям пожарной безопасности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13"/>
        <w:ind w:left="0" w:firstLine="567"/>
        <w:jc w:val="both"/>
        <w:rPr/>
      </w:pPr>
      <w:r>
        <w:rPr>
          <w:sz w:val="24"/>
          <w:szCs w:val="24"/>
        </w:rPr>
        <w:t>Технические паспорта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Руководства по эксплуатации и монтажу в 1 экз.;</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u w:val="none"/>
        </w:rPr>
      </w:pPr>
      <w:r>
        <w:rPr>
          <w:rFonts w:eastAsia="Times New Roman"/>
          <w:b w:val="false"/>
          <w:bCs w:val="false"/>
          <w:i w:val="false"/>
          <w:iCs w:val="false"/>
          <w:spacing w:val="-4"/>
          <w:kern w:val="0"/>
          <w:sz w:val="24"/>
          <w:szCs w:val="24"/>
          <w:u w:val="none"/>
          <w:shd w:fill="auto" w:val="clear"/>
          <w:lang w:val="ru-RU" w:eastAsia="en-US" w:bidi="ar-SA"/>
        </w:rPr>
        <w:t>Протоколы заводских испытаний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shd w:fill="auto" w:val="clear"/>
        </w:rPr>
        <w:t xml:space="preserve">, </w:t>
      </w:r>
      <w:r>
        <w:rPr>
          <w:b w:val="false"/>
          <w:bCs w:val="false"/>
          <w:sz w:val="24"/>
          <w:szCs w:val="24"/>
          <w:shd w:fill="auto" w:val="clear"/>
        </w:rPr>
        <w:t>сертификат о происхождении товара</w:t>
      </w:r>
      <w:r>
        <w:rPr>
          <w:sz w:val="24"/>
          <w:szCs w:val="24"/>
          <w:shd w:fill="auto" w:val="clear"/>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sz w:val="24"/>
          <w:szCs w:val="24"/>
        </w:rPr>
        <w:t xml:space="preserve">)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rFonts w:cs="Times New"/>
          <w:color w:val="000000"/>
          <w:sz w:val="24"/>
          <w:szCs w:val="24"/>
          <w:u w:val="none"/>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shd w:fill="auto" w:val="clear"/>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w:t>
      </w:r>
      <w:r>
        <w:rPr>
          <w:sz w:val="24"/>
          <w:szCs w:val="24"/>
          <w:u w:val="single"/>
          <w:shd w:fill="auto" w:val="clear"/>
        </w:rPr>
        <w:t>10 (десяти) рабочих дней</w:t>
      </w:r>
      <w:r>
        <w:rPr>
          <w:sz w:val="24"/>
          <w:szCs w:val="24"/>
        </w:rPr>
        <w:t xml:space="preserve"> с даты подписания </w:t>
      </w:r>
      <w:r>
        <w:rPr>
          <w:color w:val="000000"/>
          <w:sz w:val="24"/>
          <w:szCs w:val="24"/>
        </w:rPr>
        <w:t>товарно-транспортной накладной по форме №1-Т, или Железнодорожной накладной (форма № ГУ-27),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4">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color w:val="000000"/>
          <w:sz w:val="24"/>
          <w:szCs w:val="24"/>
        </w:rPr>
        <w:t>).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u w:val="single"/>
        </w:rPr>
        <w:t>15 (пятнадцати) календарных дней</w:t>
      </w:r>
      <w:r>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w:t>
      </w:r>
      <w:r>
        <w:rPr>
          <w:sz w:val="24"/>
          <w:szCs w:val="24"/>
          <w:u w:val="none"/>
          <w:shd w:fill="auto" w:val="clear"/>
        </w:rPr>
        <w:t xml:space="preserve"> не менее </w:t>
      </w:r>
      <w:r>
        <w:rPr>
          <w:sz w:val="24"/>
          <w:szCs w:val="24"/>
          <w:u w:val="none"/>
          <w:shd w:fill="auto" w:val="clear"/>
        </w:rPr>
        <w:t>12</w:t>
      </w:r>
      <w:r>
        <w:rPr>
          <w:rFonts w:eastAsia="Times New Roman" w:cs="Times New Roman"/>
          <w:sz w:val="24"/>
          <w:szCs w:val="24"/>
          <w:u w:val="none"/>
          <w:shd w:fill="auto" w:val="clear"/>
          <w:lang w:eastAsia="ru-RU"/>
        </w:rPr>
        <w:t xml:space="preserve"> (</w:t>
      </w:r>
      <w:r>
        <w:rPr>
          <w:rFonts w:eastAsia="Times New Roman" w:cs="Times New Roman"/>
          <w:sz w:val="24"/>
          <w:szCs w:val="24"/>
          <w:u w:val="none"/>
          <w:shd w:fill="auto" w:val="clear"/>
          <w:lang w:eastAsia="ru-RU"/>
        </w:rPr>
        <w:t>двенадцати</w:t>
      </w:r>
      <w:r>
        <w:rPr>
          <w:rFonts w:eastAsia="Times New Roman" w:cs="Times New Roman"/>
          <w:sz w:val="24"/>
          <w:szCs w:val="24"/>
          <w:u w:val="none"/>
          <w:shd w:fill="auto" w:val="clear"/>
          <w:lang w:eastAsia="ru-RU"/>
        </w:rPr>
        <w:t>) месяцев</w:t>
      </w:r>
      <w:r>
        <w:rPr>
          <w:sz w:val="24"/>
          <w:szCs w:val="24"/>
          <w:u w:val="none"/>
          <w:shd w:fill="auto" w:val="clear"/>
        </w:rPr>
        <w:t>,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u w:val="single"/>
        </w:rPr>
        <w:t>2 (два) рабочих дня</w:t>
      </w:r>
      <w:r>
        <w:rPr>
          <w:sz w:val="24"/>
          <w:szCs w:val="24"/>
        </w:rPr>
        <w:t xml:space="preserve">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bCs/>
          <w:color w:val="auto"/>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sz w:val="24"/>
          <w:szCs w:val="24"/>
        </w:rPr>
      </w:pPr>
      <w:r>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305"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305" w:leader="none"/>
        </w:tabs>
        <w:spacing w:before="0" w:after="113"/>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В случае, если в результате составления и выставления Поставщиком счетов-фактур </w:t>
      </w:r>
      <w:r>
        <w:rPr>
          <w:sz w:val="24"/>
          <w:szCs w:val="24"/>
          <w:shd w:fill="auto" w:val="clear"/>
        </w:rPr>
        <w:t>(УПД)</w:t>
      </w:r>
      <w:r>
        <w:rPr>
          <w:sz w:val="24"/>
          <w:szCs w:val="24"/>
          <w:shd w:fill="auto" w:val="clear"/>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u w:val="none"/>
          <w:shd w:fill="auto" w:val="clear"/>
        </w:rPr>
        <w:t xml:space="preserve"> </w:t>
      </w:r>
      <w:r>
        <w:rPr>
          <w:rStyle w:val="FootnoteReference"/>
          <w:bCs/>
          <w:szCs w:val="28"/>
          <w:u w:val="none"/>
          <w:shd w:fill="auto" w:val="clear"/>
        </w:rPr>
        <w:footnoteReference w:id="5"/>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4"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shd w:fill="auto" w:val="clear"/>
        </w:rPr>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92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Normal"/>
              <w:widowControl w:val="false"/>
              <w:rPr>
                <w:sz w:val="24"/>
                <w:szCs w:val="24"/>
              </w:rPr>
            </w:pPr>
            <w:r>
              <w:rPr>
                <w:sz w:val="24"/>
                <w:szCs w:val="24"/>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rPr>
              <w:t>.</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 xml:space="preserve">e-mail: </w:t>
            </w:r>
            <w:hyperlink r:id="rId8">
              <w:r>
                <w:rPr>
                  <w:sz w:val="24"/>
                  <w:szCs w:val="24"/>
                  <w:lang w:val="en-US"/>
                </w:rPr>
                <w:t>balakovo@rushydro.ru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134" w:right="850" w:gutter="0" w:header="850" w:top="1264" w:footer="1020" w:bottom="1434"/>
          <w:pgNumType w:fmt="decimal"/>
          <w:formProt w:val="false"/>
          <w:textDirection w:val="lrTb"/>
          <w:docGrid w:type="default" w:linePitch="100" w:charSpace="8192"/>
        </w:sectPr>
      </w:pP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1</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0"/>
        <w:ind w:left="0" w:firstLine="567"/>
        <w:jc w:val="center"/>
        <w:outlineLvl w:val="0"/>
        <w:rPr>
          <w:sz w:val="24"/>
          <w:szCs w:val="24"/>
        </w:rPr>
      </w:pPr>
      <w:r>
        <w:rPr>
          <w:b/>
          <w:sz w:val="24"/>
          <w:szCs w:val="24"/>
        </w:rPr>
        <w:t>Спецификация</w:t>
      </w:r>
    </w:p>
    <w:p>
      <w:pPr>
        <w:pStyle w:val="Normal"/>
        <w:numPr>
          <w:ilvl w:val="0"/>
          <w:numId w:val="0"/>
        </w:numPr>
        <w:spacing w:before="0" w:after="0"/>
        <w:ind w:left="0" w:firstLine="567"/>
        <w:jc w:val="center"/>
        <w:outlineLvl w:val="0"/>
        <w:rPr>
          <w:b/>
          <w:i/>
          <w:i/>
          <w:sz w:val="12"/>
          <w:szCs w:val="12"/>
        </w:rPr>
      </w:pPr>
      <w:r>
        <w:rPr>
          <w:b/>
          <w:i/>
          <w:sz w:val="12"/>
          <w:szCs w:val="12"/>
        </w:rPr>
      </w:r>
    </w:p>
    <w:tbl>
      <w:tblPr>
        <w:tblW w:w="14995" w:type="dxa"/>
        <w:jc w:val="left"/>
        <w:tblInd w:w="28" w:type="dxa"/>
        <w:tblLayout w:type="fixed"/>
        <w:tblCellMar>
          <w:top w:w="0" w:type="dxa"/>
          <w:left w:w="28" w:type="dxa"/>
          <w:bottom w:w="0" w:type="dxa"/>
          <w:right w:w="28" w:type="dxa"/>
        </w:tblCellMar>
        <w:tblLook w:val="04a0" w:noHBand="0" w:noVBand="1" w:firstColumn="1" w:lastRow="0" w:lastColumn="0" w:firstRow="1"/>
      </w:tblPr>
      <w:tblGrid>
        <w:gridCol w:w="427"/>
        <w:gridCol w:w="4387"/>
        <w:gridCol w:w="2431"/>
        <w:gridCol w:w="2507"/>
        <w:gridCol w:w="1018"/>
        <w:gridCol w:w="1663"/>
        <w:gridCol w:w="1300"/>
        <w:gridCol w:w="1260"/>
      </w:tblGrid>
      <w:tr>
        <w:trPr>
          <w:trHeight w:val="227" w:hRule="atLeast"/>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п/п</w:t>
            </w:r>
          </w:p>
        </w:tc>
        <w:tc>
          <w:tcPr>
            <w:tcW w:w="4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w:t>
            </w:r>
          </w:p>
        </w:tc>
        <w:tc>
          <w:tcPr>
            <w:tcW w:w="24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Страна происхождения Продукции</w:t>
            </w:r>
          </w:p>
        </w:tc>
        <w:tc>
          <w:tcPr>
            <w:tcW w:w="25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Производитель Продукции</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 изм.</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Кол-во</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Цена  за ед., руб. без учета НДС</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Сумма, руб.</w:t>
            </w:r>
          </w:p>
          <w:p>
            <w:pPr>
              <w:pStyle w:val="Normal"/>
              <w:widowControl w:val="false"/>
              <w:jc w:val="center"/>
              <w:rPr>
                <w:sz w:val="20"/>
                <w:szCs w:val="20"/>
              </w:rPr>
            </w:pPr>
            <w:r>
              <w:rPr>
                <w:bCs/>
                <w:sz w:val="20"/>
                <w:szCs w:val="20"/>
              </w:rPr>
              <w:t>без учета НДС</w:t>
            </w:r>
          </w:p>
        </w:tc>
      </w:tr>
      <w:tr>
        <w:trPr>
          <w:trHeight w:val="227" w:hRule="atLeast"/>
        </w:trPr>
        <w:tc>
          <w:tcPr>
            <w:tcW w:w="42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20"/>
                <w:szCs w:val="20"/>
              </w:rPr>
            </w:pPr>
            <w:r>
              <w:rPr>
                <w:sz w:val="20"/>
                <w:szCs w:val="20"/>
              </w:rPr>
              <w:t>1</w:t>
            </w:r>
          </w:p>
        </w:tc>
        <w:tc>
          <w:tcPr>
            <w:tcW w:w="43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sz w:val="20"/>
                <w:szCs w:val="20"/>
                <w:u w:val="single"/>
              </w:rPr>
            </w:pPr>
            <w:r>
              <w:rPr>
                <w:rFonts w:cs="Times New Roman" w:ascii="Times New Roman" w:hAnsi="Times New Roman"/>
                <w:bCs/>
                <w:sz w:val="20"/>
                <w:szCs w:val="20"/>
                <w:u w:val="single"/>
              </w:rPr>
              <w:t>С</w:t>
            </w:r>
            <w:r>
              <w:rPr>
                <w:rFonts w:cs="Times New Roman" w:ascii="Times New Roman" w:hAnsi="Times New Roman"/>
                <w:sz w:val="20"/>
                <w:szCs w:val="20"/>
                <w:u w:val="single"/>
              </w:rPr>
              <w:t>ветильник  светодиодный настенный/потолочный Xlight ДБО-15-WHS-48-02 4500К 17Вт 48В 1400лм 175х110х145мм алюминий IP66 LED</w:t>
            </w:r>
          </w:p>
          <w:p>
            <w:pPr>
              <w:pStyle w:val="Normal"/>
              <w:widowControl w:val="false"/>
              <w:rPr>
                <w:sz w:val="20"/>
                <w:szCs w:val="20"/>
                <w:u w:val="single"/>
              </w:rPr>
            </w:pPr>
            <w:r>
              <w:rPr>
                <w:rFonts w:eastAsia="Times New Roman" w:cs="Times New Roman" w:ascii="Times New Roman" w:hAnsi="Times New Roman"/>
                <w:sz w:val="20"/>
                <w:szCs w:val="20"/>
                <w:u w:val="single"/>
                <w:lang w:eastAsia="ru-RU"/>
              </w:rPr>
              <w:t xml:space="preserve"> </w:t>
            </w:r>
            <w:r>
              <w:rPr>
                <w:rFonts w:eastAsia="Times New Roman" w:cs="Times New Roman" w:ascii="Times New Roman" w:hAnsi="Times New Roman"/>
                <w:color w:val="000000"/>
                <w:sz w:val="20"/>
                <w:szCs w:val="20"/>
                <w:u w:val="single"/>
                <w:lang w:eastAsia="ru-RU"/>
              </w:rPr>
              <w:t>(ОКПД 2 - 27.40.25)</w:t>
            </w:r>
          </w:p>
        </w:tc>
        <w:tc>
          <w:tcPr>
            <w:tcW w:w="243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250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10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шт.</w:t>
            </w:r>
          </w:p>
        </w:tc>
        <w:tc>
          <w:tcPr>
            <w:tcW w:w="166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1</w:t>
            </w:r>
            <w:r>
              <w:rPr>
                <w:rFonts w:eastAsia="Times New Roman"/>
                <w:sz w:val="20"/>
                <w:szCs w:val="20"/>
                <w:lang w:eastAsia="ru-RU"/>
              </w:rPr>
              <w:t>2</w:t>
            </w:r>
          </w:p>
        </w:tc>
        <w:tc>
          <w:tcPr>
            <w:tcW w:w="13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rPr>
              <w:t>ИТОГО:</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Кроме того НДС __ %:</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3"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bCs/>
                <w:u w:val="single"/>
              </w:rPr>
              <w:t>ИТОГО с НДС ___%:</w:t>
            </w:r>
          </w:p>
        </w:tc>
        <w:tc>
          <w:tcPr>
            <w:tcW w:w="1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bl>
    <w:p>
      <w:pPr>
        <w:pStyle w:val="BodyText"/>
        <w:rPr>
          <w:sz w:val="22"/>
          <w:szCs w:val="22"/>
        </w:rPr>
      </w:pPr>
      <w:r>
        <w:rPr>
          <w:b/>
          <w:bCs/>
          <w:i/>
          <w:sz w:val="22"/>
          <w:szCs w:val="22"/>
        </w:rPr>
        <w:t>Условия поставки:</w:t>
      </w:r>
    </w:p>
    <w:p>
      <w:pPr>
        <w:pStyle w:val="ListParagraph"/>
        <w:shd w:val="clear" w:color="auto" w:fill="FFFFFF"/>
        <w:tabs>
          <w:tab w:val="clear" w:pos="720"/>
          <w:tab w:val="left" w:pos="851" w:leader="none"/>
          <w:tab w:val="left" w:pos="5321" w:leader="none"/>
        </w:tabs>
        <w:spacing w:before="0" w:after="0"/>
        <w:ind w:left="0" w:hanging="0"/>
        <w:contextualSpacing w:val="false"/>
        <w:jc w:val="both"/>
        <w:rPr>
          <w:sz w:val="22"/>
          <w:szCs w:val="22"/>
        </w:rPr>
      </w:pPr>
      <w:r>
        <w:rPr>
          <w:bCs/>
          <w:sz w:val="22"/>
          <w:szCs w:val="22"/>
        </w:rPr>
        <w:t xml:space="preserve">1. Общая сумма Спецификации составляет </w:t>
      </w:r>
      <w:r>
        <w:rPr>
          <w:b w:val="false"/>
          <w:bCs w:val="false"/>
          <w:sz w:val="22"/>
          <w:szCs w:val="22"/>
          <w:u w:val="none"/>
        </w:rPr>
        <w:t xml:space="preserve">__________(__________________) рублей _____ </w:t>
      </w:r>
      <w:r>
        <w:rPr>
          <w:b w:val="false"/>
          <w:bCs/>
          <w:sz w:val="22"/>
          <w:szCs w:val="22"/>
          <w:u w:val="none"/>
        </w:rPr>
        <w:t xml:space="preserve">копеек </w:t>
      </w:r>
      <w:r>
        <w:rPr>
          <w:b w:val="false"/>
          <w:bCs/>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 w:val="false"/>
          <w:bCs/>
          <w:sz w:val="22"/>
          <w:szCs w:val="22"/>
          <w:u w:val="single"/>
        </w:rPr>
        <w:footnoteReference w:id="6"/>
      </w:r>
    </w:p>
    <w:p>
      <w:pPr>
        <w:pStyle w:val="Normal"/>
        <w:widowControl w:val="false"/>
        <w:jc w:val="both"/>
        <w:rPr>
          <w:sz w:val="22"/>
          <w:szCs w:val="22"/>
        </w:rPr>
      </w:pPr>
      <w:r>
        <w:rPr>
          <w:sz w:val="22"/>
          <w:szCs w:val="22"/>
        </w:rPr>
        <w:t>2. Характеристики Продукции: согласно настоящей Спецификации и Техническим требованиям (Приложение №2) к Договору.</w:t>
      </w:r>
    </w:p>
    <w:p>
      <w:pPr>
        <w:pStyle w:val="ListParagraph"/>
        <w:tabs>
          <w:tab w:val="clear" w:pos="720"/>
          <w:tab w:val="left" w:pos="284" w:leader="none"/>
        </w:tabs>
        <w:ind w:left="0" w:hanging="0"/>
        <w:jc w:val="both"/>
        <w:rPr>
          <w:sz w:val="22"/>
          <w:szCs w:val="22"/>
        </w:rPr>
      </w:pPr>
      <w:r>
        <w:rPr>
          <w:sz w:val="22"/>
          <w:szCs w:val="22"/>
        </w:rPr>
        <w:t>3. Приемка Продукции осуществляется в Месте доставки</w:t>
      </w:r>
      <w:r>
        <w:rPr>
          <w:bCs/>
          <w:sz w:val="22"/>
          <w:szCs w:val="22"/>
          <w:lang w:eastAsia="en-US"/>
        </w:rPr>
        <w:t xml:space="preserve"> в рабочие дни: пн-чт с 8-00 до 12-00 и с 13-00 до 16-00 (по местному времени), </w:t>
      </w:r>
      <w:r>
        <w:rPr>
          <w:rFonts w:eastAsia="Times New Roman" w:cs="Times New Roman"/>
          <w:bCs/>
          <w:color w:val="1C1C1C"/>
          <w:sz w:val="22"/>
          <w:szCs w:val="22"/>
          <w:lang w:eastAsia="ru-RU"/>
        </w:rPr>
        <w:t>в пятницу с 8-00 до 12-00 и с 13-00 до 15-00 (по местному времени)</w:t>
      </w:r>
      <w:r>
        <w:rPr>
          <w:bCs/>
          <w:sz w:val="22"/>
          <w:szCs w:val="22"/>
          <w:lang w:eastAsia="en-US"/>
        </w:rPr>
        <w:t>. Информация о транспорте, на котором осуществляется доставка Продукции, для оформления допуска на территорию Грузополучателя предоставляется Поставщиком Покупателю не позднее чем за 2 рабочих дня, предшествующих дню поставки.</w:t>
      </w:r>
    </w:p>
    <w:p>
      <w:pPr>
        <w:pStyle w:val="Normal"/>
        <w:widowControl w:val="false"/>
        <w:tabs>
          <w:tab w:val="clear" w:pos="720"/>
          <w:tab w:val="left" w:pos="284" w:leader="none"/>
        </w:tabs>
        <w:jc w:val="both"/>
        <w:rPr>
          <w:sz w:val="22"/>
          <w:szCs w:val="22"/>
        </w:rPr>
      </w:pPr>
      <w:r>
        <w:rPr>
          <w:sz w:val="22"/>
          <w:szCs w:val="22"/>
        </w:rPr>
        <w:t>4. При оформлении первичных документов указывать следующие реквизиты:</w:t>
      </w:r>
    </w:p>
    <w:p>
      <w:pPr>
        <w:pStyle w:val="BodyTextIndent"/>
        <w:ind w:hanging="0"/>
        <w:rPr>
          <w:sz w:val="22"/>
          <w:szCs w:val="22"/>
        </w:rPr>
      </w:pPr>
      <w:r>
        <w:rPr>
          <w:b/>
          <w:sz w:val="22"/>
          <w:szCs w:val="22"/>
        </w:rPr>
        <w:t>Покупатель:</w:t>
      </w:r>
    </w:p>
    <w:p>
      <w:pPr>
        <w:pStyle w:val="Normal"/>
        <w:jc w:val="both"/>
        <w:rPr>
          <w:sz w:val="22"/>
          <w:szCs w:val="22"/>
        </w:rPr>
      </w:pPr>
      <w:r>
        <w:rPr>
          <w:b/>
          <w:sz w:val="22"/>
          <w:szCs w:val="22"/>
        </w:rPr>
        <w:t>АО «Гидроремонт-ВКК»</w:t>
      </w:r>
    </w:p>
    <w:p>
      <w:pPr>
        <w:pStyle w:val="Normal"/>
        <w:jc w:val="both"/>
        <w:rPr>
          <w:sz w:val="22"/>
          <w:szCs w:val="22"/>
        </w:rPr>
      </w:pPr>
      <w:r>
        <w:rPr>
          <w:sz w:val="22"/>
          <w:szCs w:val="22"/>
        </w:rPr>
        <w:t xml:space="preserve">Место нахождения: </w:t>
      </w:r>
      <w:r>
        <w:rPr>
          <w:color w:val="000000"/>
          <w:sz w:val="22"/>
          <w:szCs w:val="22"/>
          <w:lang w:val="ru-RU"/>
        </w:rPr>
        <w:t>603140, Россия, Нижегородская область, г.о. город Нижний Новгород, г. Нижний Новгород, пер. Мотальный, д. 8, помещ. ВП31, офис С1А</w:t>
      </w:r>
      <w:r>
        <w:rPr>
          <w:sz w:val="22"/>
          <w:szCs w:val="22"/>
        </w:rPr>
        <w:t>.</w:t>
      </w:r>
    </w:p>
    <w:p>
      <w:pPr>
        <w:pStyle w:val="Normal"/>
        <w:tabs>
          <w:tab w:val="clear" w:pos="720"/>
          <w:tab w:val="left" w:pos="284" w:leader="none"/>
        </w:tabs>
        <w:jc w:val="both"/>
        <w:rPr>
          <w:sz w:val="22"/>
          <w:szCs w:val="22"/>
        </w:rPr>
      </w:pPr>
      <w:r>
        <w:rPr>
          <w:b w:val="false"/>
          <w:bCs w:val="false"/>
          <w:sz w:val="22"/>
          <w:szCs w:val="22"/>
          <w:shd w:fill="auto" w:val="clear"/>
        </w:rPr>
        <w:t>ИНН/КПП: 6345012488/643903001.</w:t>
      </w:r>
    </w:p>
    <w:p>
      <w:pPr>
        <w:pStyle w:val="Normal"/>
        <w:tabs>
          <w:tab w:val="clear" w:pos="720"/>
          <w:tab w:val="left" w:pos="284" w:leader="none"/>
          <w:tab w:val="left" w:pos="426" w:leader="none"/>
        </w:tabs>
        <w:jc w:val="both"/>
        <w:rPr>
          <w:sz w:val="22"/>
          <w:szCs w:val="22"/>
        </w:rPr>
      </w:pPr>
      <w:r>
        <w:rPr>
          <w:b/>
          <w:sz w:val="22"/>
          <w:szCs w:val="22"/>
        </w:rPr>
        <w:t>Плательщик / Грузополучатель:</w:t>
      </w:r>
    </w:p>
    <w:p>
      <w:pPr>
        <w:pStyle w:val="Normal"/>
        <w:numPr>
          <w:ilvl w:val="0"/>
          <w:numId w:val="0"/>
        </w:numPr>
        <w:ind w:left="0" w:hanging="0"/>
        <w:outlineLvl w:val="0"/>
        <w:rPr>
          <w:b w:val="false"/>
          <w:bCs w:val="false"/>
        </w:rPr>
      </w:pPr>
      <w:r>
        <w:rPr>
          <w:b w:val="false"/>
          <w:bCs w:val="false"/>
          <w:sz w:val="22"/>
          <w:szCs w:val="22"/>
        </w:rPr>
        <w:t>Саратовский филиал АО «Гидроремонт-ВКК» в г. Балаково</w:t>
      </w:r>
    </w:p>
    <w:p>
      <w:pPr>
        <w:pStyle w:val="Normal"/>
        <w:tabs>
          <w:tab w:val="clear" w:pos="720"/>
          <w:tab w:val="left" w:pos="284" w:leader="none"/>
        </w:tabs>
        <w:jc w:val="both"/>
        <w:rPr>
          <w:sz w:val="22"/>
          <w:szCs w:val="22"/>
        </w:rPr>
      </w:pPr>
      <w:r>
        <w:rPr>
          <w:sz w:val="22"/>
          <w:szCs w:val="22"/>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Покупатель</w:t>
            </w:r>
            <w:r>
              <w:rPr>
                <w:rFonts w:ascii="Times New Roman" w:hAnsi="Times New Roman"/>
                <w:b/>
                <w:sz w:val="22"/>
                <w:szCs w:val="22"/>
                <w:u w:val="single"/>
              </w:rPr>
              <w:t>:</w:t>
            </w:r>
          </w:p>
        </w:tc>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Поставщик</w:t>
            </w:r>
            <w:r>
              <w:rPr>
                <w:rFonts w:ascii="Times New Roman" w:hAnsi="Times New Roman"/>
                <w:b/>
                <w:sz w:val="22"/>
                <w:szCs w:val="22"/>
                <w:u w:val="single"/>
              </w:rPr>
              <w:t>:</w:t>
            </w:r>
          </w:p>
        </w:tc>
      </w:tr>
      <w:tr>
        <w:trPr/>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bCs/>
                <w:sz w:val="22"/>
                <w:szCs w:val="22"/>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707" w:gutter="0" w:header="493" w:top="907" w:footer="493" w:bottom="907"/>
          <w:pgNumType w:fmt="decimal"/>
          <w:formProt w:val="false"/>
          <w:textDirection w:val="lrTb"/>
          <w:docGrid w:type="default" w:linePitch="100" w:charSpace="8192"/>
        </w:sectPr>
      </w:pPr>
      <w:r>
        <w:br w:type="page"/>
      </w: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2</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center"/>
        <w:rPr/>
      </w:pPr>
      <w:r>
        <w:rPr>
          <w:b/>
          <w:bCs/>
          <w:sz w:val="24"/>
          <w:szCs w:val="24"/>
          <w:shd w:fill="auto" w:val="clear"/>
        </w:rPr>
        <w:t>ТЕХНИЧЕСКИЕ ТРЕБОВАНИЯ</w:t>
      </w:r>
    </w:p>
    <w:p>
      <w:pPr>
        <w:pStyle w:val="Normal"/>
        <w:widowControl w:val="false"/>
        <w:spacing w:lineRule="auto" w:line="240" w:before="0" w:after="0"/>
        <w:ind w:left="0" w:right="0"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5">
              <wp:simplePos x="0" y="0"/>
              <wp:positionH relativeFrom="margin">
                <wp:posOffset>6112510</wp:posOffset>
              </wp:positionH>
              <wp:positionV relativeFrom="paragraph">
                <wp:posOffset>635</wp:posOffset>
              </wp:positionV>
              <wp:extent cx="276860"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5">
              <wp:simplePos x="0" y="0"/>
              <wp:positionH relativeFrom="margin">
                <wp:posOffset>6112510</wp:posOffset>
              </wp:positionH>
              <wp:positionV relativeFrom="paragraph">
                <wp:posOffset>635</wp:posOffset>
              </wp:positionV>
              <wp:extent cx="276860"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b/>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11">
    <w:name w:val="Гиперссылка1"/>
    <w:basedOn w:val="DefaultParagraphFont"/>
    <w:qFormat/>
    <w:rPr>
      <w:color w:val="0000FF" w:themeColor="hyperlink"/>
      <w:u w:val="single"/>
    </w:rPr>
  </w:style>
  <w:style w:type="character" w:styleId="WW8Num36z0">
    <w:name w:val="WW8Num36z0"/>
    <w:qFormat/>
    <w:rPr/>
  </w:style>
  <w:style w:type="character" w:styleId="FootnoteReference1">
    <w:name w:val="Footnote Reference1"/>
    <w:qFormat/>
    <w:rPr>
      <w:vertAlign w:val="superscript"/>
    </w:rPr>
  </w:style>
  <w:style w:type="character" w:styleId="Style14">
    <w:name w:val="Символ нумерации"/>
    <w:qFormat/>
    <w:rPr/>
  </w:style>
  <w:style w:type="character" w:styleId="WW8Num9z0">
    <w:name w:val="WW8Num9z0"/>
    <w:qFormat/>
    <w:rPr>
      <w:rFonts w:ascii="Symbol" w:hAnsi="Symbol" w:cs="Symbol"/>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2">
    <w:name w:val="Содержимое врезки"/>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3">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WW8Num13">
    <w:name w:val="WW8Num13"/>
    <w:qFormat/>
  </w:style>
  <w:style w:type="numbering" w:styleId="WW8Num36">
    <w:name w:val="WW8Num36"/>
    <w:qFormat/>
  </w:style>
  <w:style w:type="numbering" w:styleId="WW8Num9">
    <w:name w:val="WW8Num9"/>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balakovo@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A7FA-3592-41AA-857B-D223033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Application>AlterOffice/2025.3.1.0$Linux_X86_64 LibreOffice_project/431cd1b79110582f53535c95ed0a2449aadc8bf9</Application>
  <AppVersion>15.0000</AppVersion>
  <Pages>19</Pages>
  <Words>6722</Words>
  <Characters>47785</Characters>
  <CharactersWithSpaces>53998</CharactersWithSpaces>
  <Paragraphs>336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2023-05-04T10:21:00Z</dcterms:created>
  <dc:creator>Света &amp; Алла (Twix)</dc:creator>
  <dc:description/>
  <dc:language>ru-RU</dc:language>
  <cp:lastModifiedBy>konoshenkovon@corp.gidroogk.com</cp:lastModifiedBy>
  <cp:lastPrinted>2017-11-07T14:48:00Z</cp:lastPrinted>
  <dcterms:modified xsi:type="dcterms:W3CDTF">2026-07-01T09:19:43Z</dcterms:modified>
  <cp:revision>75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