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jc w:val="center"/>
        <w:rPr>
          <w:b/>
          <w:i/>
          <w:i/>
          <w:szCs w:val="20"/>
        </w:rPr>
      </w:pPr>
      <w:bookmarkStart w:id="0" w:name="_Toc1375545841"/>
      <w:bookmarkStart w:id="1" w:name="_Toc1398562871"/>
      <w:bookmarkStart w:id="2" w:name="_Toc1416967041"/>
      <w:bookmarkEnd w:id="0"/>
      <w:bookmarkEnd w:id="1"/>
      <w:bookmarkEnd w:id="2"/>
      <w:r>
        <w:rPr>
          <w:sz w:val="26"/>
          <w:szCs w:val="26"/>
        </w:rPr>
        <w:t xml:space="preserve">ТЕХНИЧЕСКИЕ ТРЕБОВАНИЯ </w:t>
      </w:r>
      <w:r>
        <w:rPr>
          <w:rFonts w:eastAsia="Calibri"/>
          <w:b/>
          <w:bCs/>
          <w:i/>
          <w:sz w:val="26"/>
          <w:szCs w:val="26"/>
        </w:rPr>
        <w:t xml:space="preserve"> </w:t>
      </w:r>
    </w:p>
    <w:p>
      <w:pPr>
        <w:pStyle w:val="Normal"/>
        <w:keepNext w:val="true"/>
        <w:keepLines/>
        <w:spacing w:lineRule="auto" w:line="276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по ОКПД2 26.20.30.130  Поставка запчастей для оборудования микропроцессорных устройства ввода-вывода Эзминской ГЭС (Аварийный запас)</w:t>
      </w:r>
      <w:r>
        <w:rPr>
          <w:rFonts w:eastAsia="Calibri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276"/>
        <w:jc w:val="center"/>
        <w:rPr>
          <w:rFonts w:eastAsia="Calibri"/>
          <w:bCs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3628"/>
        <w:jc w:val="left"/>
        <w:rPr>
          <w:rFonts w:eastAsia="Calibri"/>
          <w:b w:val="false"/>
          <w:bCs w:val="false"/>
          <w:sz w:val="24"/>
          <w:szCs w:val="24"/>
          <w:lang w:eastAsia="en-US"/>
        </w:rPr>
      </w:pPr>
      <w:r>
        <w:rPr>
          <w:rFonts w:eastAsia="Calibri"/>
          <w:b w:val="false"/>
          <w:bCs w:val="false"/>
          <w:sz w:val="24"/>
          <w:szCs w:val="24"/>
          <w:lang w:eastAsia="en-US"/>
        </w:rPr>
        <w:t>Лот № 4-АЗ-2027-СОФ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232493636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637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638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639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2493640">
            <w:r>
              <w:rPr>
                <w:webHidden/>
                <w:rStyle w:val="Style12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641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320" w:leader="none"/>
              <w:tab w:val="left" w:pos="1540" w:leader="none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642">
            <w:r>
              <w:rPr>
                <w:webHidden/>
                <w:rStyle w:val="Style12"/>
                <w:vanish w:val="false"/>
                <w:sz w:val="24"/>
                <w:szCs w:val="24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249364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_Toc232493643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1.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320" w:leader="none"/>
              <w:tab w:val="left" w:pos="1540" w:leader="none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644">
            <w:r>
              <w:rPr>
                <w:webHidden/>
                <w:rStyle w:val="Style12"/>
                <w:vanish w:val="false"/>
                <w:sz w:val="24"/>
                <w:szCs w:val="24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249364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_Toc232493645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2. Требования по срокам поставки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646">
            <w:r>
              <w:rPr>
                <w:webHidden/>
                <w:rStyle w:val="Style12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249364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_Toc232493647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 3. Требования к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2493648">
            <w:r>
              <w:rPr>
                <w:webHidden/>
                <w:rStyle w:val="Style12"/>
                <w:vanish w:val="false"/>
              </w:rPr>
              <w:t>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320" w:leader="none"/>
              <w:tab w:val="left" w:pos="1540" w:leader="none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649">
            <w:r>
              <w:rPr>
                <w:webHidden/>
                <w:rStyle w:val="Style12"/>
                <w:vanish w:val="false"/>
                <w:sz w:val="24"/>
                <w:szCs w:val="24"/>
              </w:rPr>
              <w:t>3.2.1.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Форма Коммерческого предложения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320" w:leader="none"/>
              <w:tab w:val="left" w:pos="1540" w:leader="none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2493650">
            <w:r>
              <w:rPr>
                <w:webHidden/>
                <w:rStyle w:val="Style12"/>
                <w:vanish w:val="false"/>
                <w:sz w:val="24"/>
                <w:szCs w:val="24"/>
              </w:rPr>
              <w:t>3.2.2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sz w:val="24"/>
                <w:szCs w:val="24"/>
              </w:rPr>
              <w:t>Инструкции по заполнению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_Toc232493650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  <w:sz w:val="24"/>
              <w:szCs w:val="2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3" w:name="_Toc232493636"/>
      <w:bookmarkStart w:id="4" w:name="_Toc51339692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5" w:name="_Toc232493637"/>
      <w:bookmarkStart w:id="6" w:name="_Toc46743505"/>
      <w:r>
        <w:rPr>
          <w:lang w:val="ru-RU"/>
        </w:rPr>
        <w:t>Обозначения и сокращения</w:t>
      </w:r>
      <w:bookmarkEnd w:id="5"/>
      <w:bookmarkEnd w:id="6"/>
    </w:p>
    <w:p>
      <w:pPr>
        <w:pStyle w:val="Normal"/>
        <w:rPr>
          <w:rStyle w:val="Style10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8497"/>
      </w:tblGrid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АЗ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Аварийный запас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val="en-US" w:eastAsia="en-US"/>
              </w:rPr>
            </w:pPr>
            <w:r>
              <w:rPr>
                <w:rFonts w:eastAsia="Calibri"/>
                <w:sz w:val="24"/>
                <w:lang w:val="en-US" w:eastAsia="en-US"/>
              </w:rPr>
              <w:t>ГЭС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val="en-US" w:eastAsia="en-US"/>
              </w:rPr>
            </w:pPr>
            <w:r>
              <w:rPr>
                <w:rFonts w:eastAsia="Calibri"/>
                <w:sz w:val="24"/>
                <w:lang w:val="en-US" w:eastAsia="en-US"/>
              </w:rPr>
              <w:t xml:space="preserve">Гидроэлектростанция 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Филиал</w:t>
            </w:r>
          </w:p>
        </w:tc>
        <w:tc>
          <w:tcPr>
            <w:tcW w:w="8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lang w:eastAsia="en-US"/>
              </w:rPr>
              <w:t>филиал ПАО «РусГидро»-«Северо-Осетинский филиал»</w:t>
            </w:r>
          </w:p>
        </w:tc>
      </w:tr>
      <w:tr>
        <w:trPr>
          <w:cantSplit w:val="true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Участник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Style w:val="Style10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поставщик, явным образом принявший участие в закупке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7" w:name="_Toc232493638"/>
      <w:bookmarkStart w:id="8" w:name="_Toc46743506"/>
      <w:r>
        <w:rPr>
          <w:lang w:val="ru-RU"/>
        </w:rPr>
        <w:t>Наименование закупаемой продукции</w:t>
      </w:r>
      <w:bookmarkEnd w:id="7"/>
      <w:bookmarkEnd w:id="8"/>
    </w:p>
    <w:p>
      <w:pPr>
        <w:pStyle w:val="Normal"/>
        <w:keepNext w:val="true"/>
        <w:keepLines/>
        <w:spacing w:lineRule="auto" w:line="276"/>
        <w:jc w:val="left"/>
        <w:rPr/>
      </w:pPr>
      <w:r>
        <w:rPr>
          <w:rFonts w:eastAsia="Calibri"/>
          <w:bCs/>
          <w:sz w:val="24"/>
          <w:szCs w:val="24"/>
          <w:lang w:eastAsia="x-none"/>
        </w:rPr>
        <w:t>ОКПД2 26.20.30.130  Поставка запчастей для оборудования микропроцессорных устройства ввода-вывода Эзминской ГЭС .</w:t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>
          <w:lang w:val="ru-RU"/>
        </w:rPr>
      </w:pPr>
      <w:bookmarkStart w:id="9" w:name="_Toc232493639"/>
      <w:bookmarkStart w:id="10" w:name="_Toc46743507"/>
      <w:r>
        <w:rPr>
          <w:lang w:val="ru-RU"/>
        </w:rPr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9"/>
      <w:r>
        <w:rPr>
          <w:lang w:val="ru-RU"/>
        </w:rPr>
        <w:t xml:space="preserve">  </w:t>
      </w:r>
    </w:p>
    <w:p>
      <w:pPr>
        <w:pStyle w:val="Normal"/>
        <w:jc w:val="both"/>
        <w:rPr>
          <w:rStyle w:val="Style10"/>
          <w:b w:val="false"/>
          <w:bCs/>
          <w:sz w:val="24"/>
          <w:szCs w:val="24"/>
        </w:rPr>
      </w:pPr>
      <w:r>
        <w:rPr/>
        <w:tab/>
      </w:r>
      <w:r>
        <w:rPr>
          <w:sz w:val="24"/>
          <w:szCs w:val="24"/>
        </w:rPr>
        <w:t xml:space="preserve">Продукция закупается для аварийного запаса в целях обеспечения работоспособного состояния оборудования технологической автоматики </w:t>
      </w:r>
      <w:r>
        <w:rPr>
          <w:rFonts w:eastAsia="Calibri"/>
          <w:sz w:val="24"/>
          <w:szCs w:val="24"/>
          <w:lang w:eastAsia="x-none"/>
        </w:rPr>
        <w:t>Эзминской ГЭС</w:t>
      </w:r>
      <w:r>
        <w:rPr>
          <w:sz w:val="24"/>
          <w:szCs w:val="24"/>
        </w:rPr>
        <w:t xml:space="preserve"> филиала ПАО «РусГидро»-«Северо-Осетинский филиал».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11" w:name="_Toc232493640"/>
      <w:bookmarkStart w:id="12" w:name="_Toc51339693"/>
      <w:bookmarkStart w:id="13" w:name="_Toc46743510"/>
      <w:bookmarkStart w:id="14" w:name="_Toc50125126"/>
      <w:bookmarkEnd w:id="13"/>
      <w:bookmarkEnd w:id="14"/>
      <w:r>
        <w:rPr>
          <w:iCs/>
          <w:lang w:val="ru-RU"/>
        </w:rPr>
        <w:t>Требования к продукции</w:t>
      </w:r>
      <w:bookmarkEnd w:id="11"/>
      <w:bookmarkEnd w:id="12"/>
    </w:p>
    <w:p>
      <w:pPr>
        <w:pStyle w:val="BodyText"/>
        <w:rPr/>
      </w:pPr>
      <w:r>
        <w:rPr/>
        <w:tab/>
      </w:r>
      <w:r>
        <w:rPr>
          <w:sz w:val="24"/>
          <w:szCs w:val="24"/>
        </w:rPr>
        <w:t>Закупаемая продукция является запасными частями к уже установленному оборудованию и в соответствии с требованиями производителя этого оборудования  предложения аналогов не допускаются.</w:t>
      </w:r>
    </w:p>
    <w:p>
      <w:pPr>
        <w:pStyle w:val="BodyText"/>
        <w:rPr/>
      </w:pPr>
      <w:r>
        <w:rPr>
          <w:sz w:val="24"/>
          <w:szCs w:val="24"/>
        </w:rPr>
        <w:tab/>
        <w:t>В случае невозможности поставки запрашиваемого оборудования в связи со снятием с  производства возможна замена на аналог из номенклатуры того же производителя,  выпускающегося, как замена для снятого с производства. Совместимость должна быть полной,  без ухудшения характеристик.</w:t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15" w:name="_Toc232493641"/>
      <w:r>
        <w:rPr>
          <w:lang w:val="ru-RU"/>
        </w:rPr>
        <w:t>Требования к объемам и срокам поставки</w:t>
      </w:r>
      <w:bookmarkEnd w:id="15"/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16" w:name="_Toc232493642"/>
      <w:r>
        <w:rPr>
          <w:lang w:val="ru-RU"/>
        </w:rPr>
        <w:t>Перечень и объем закупаемой продукции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232493643"/>
      <w:bookmarkStart w:id="18" w:name="_Toc51339695"/>
      <w:r>
        <w:rPr>
          <w:sz w:val="24"/>
          <w:szCs w:val="24"/>
          <w:lang w:val="ru-RU"/>
        </w:rPr>
        <w:t xml:space="preserve">Таблица 1. Перечень </w:t>
      </w:r>
      <w:bookmarkEnd w:id="18"/>
      <w:r>
        <w:rPr>
          <w:sz w:val="24"/>
          <w:szCs w:val="24"/>
          <w:lang w:val="ru-RU"/>
        </w:rPr>
        <w:t>и объем закупаемой продукции</w:t>
      </w:r>
      <w:bookmarkEnd w:id="17"/>
    </w:p>
    <w:tbl>
      <w:tblPr>
        <w:tblW w:w="992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99"/>
        <w:gridCol w:w="6500"/>
        <w:gridCol w:w="1310"/>
        <w:gridCol w:w="1419"/>
      </w:tblGrid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аналогового ввода R500 AI 08 041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аналогового вывода R500 AO 08 011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коммуникационного процессора R500 CP 02 021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12" w:right="-1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12" w:right="-107" w:hanging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центрального процессора R500 CU 00 061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счета импульсов R500 DA 03 021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дискретного ввода R500 DI 32 011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дискретного вывода R500 DO 32 012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7" w:right="-107" w:hanging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источника питания R500 PP 00 011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дискретный комбинированный R500 DS 32 012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lang w:val="en-US"/>
              </w:rPr>
              <w:t>Модуль оконечный</w:t>
            </w: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 R500 ST 00 001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lang w:val="en-US"/>
              </w:rPr>
              <w:t xml:space="preserve">Модуль шасси </w:t>
            </w: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R500 CH 02 011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lang w:val="en-US"/>
              </w:rPr>
              <w:t>Модуль шасси</w:t>
            </w: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 R500 CH 02 022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Клеммная колодка для модулей ввода/вывода R500 CL 36 001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Cинхроноскоп ЦФ 9285, Uвх. 100 В, универсальное</w:t>
              <w:br/>
              <w:t>питание 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Heading3"/>
        <w:ind w:left="1224" w:hanging="0"/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19" w:name="_Toc232493644"/>
      <w:bookmarkStart w:id="20" w:name="_Toc51339696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поставки продукции и оказания сопутствующих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1" w:name="_Toc232493645"/>
      <w:bookmarkStart w:id="22" w:name="_Toc51339697"/>
      <w:bookmarkStart w:id="23" w:name="_Toc50125127"/>
      <w:bookmarkStart w:id="24" w:name="_Toc501251261"/>
      <w:bookmarkEnd w:id="24"/>
      <w:r>
        <w:rPr>
          <w:sz w:val="24"/>
          <w:szCs w:val="24"/>
          <w:lang w:val="ru-RU"/>
        </w:rPr>
        <w:t xml:space="preserve">Таблица 2. </w:t>
      </w:r>
      <w:bookmarkStart w:id="25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92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1"/>
        <w:gridCol w:w="4536"/>
        <w:gridCol w:w="2265"/>
        <w:gridCol w:w="2410"/>
      </w:tblGrid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аналогового ввода R500 AI 08 041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аналогового вывода R500 AO 08 011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коммуникационного процессора R500 CP 02 021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центрального процессора R500 CU 00 061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счета импульсов R500 DA 03 021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дискретного ввода R500 DI 32 011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дискретного вывода R500 DO 32 012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источника питания R500 PP 00 011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Модуль дискретный комбинированный R500 DS 32 012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lang w:val="en-US"/>
              </w:rPr>
              <w:t>Модуль оконечный</w:t>
            </w: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 R500 ST 00 001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lang w:val="en-US"/>
              </w:rPr>
              <w:t xml:space="preserve">Модуль шасси </w:t>
            </w: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R500 CH 02 011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lang w:val="en-US"/>
              </w:rPr>
              <w:t>Модуль шасси</w:t>
            </w: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 R500 CH 02 022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Клеммная колодка для модулей ввода/вывода R500 CL 36 001 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  <w:tr>
        <w:trPr/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Cинхроноскоп ЦФ 9285, Uвх. 100 В, универсальное</w:t>
              <w:br/>
              <w:t>питание 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25.12.2027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spacing w:before="0" w:after="0"/>
        <w:rPr>
          <w:lang w:val="ru-RU"/>
        </w:rPr>
      </w:pPr>
      <w:bookmarkStart w:id="26" w:name="_Toc51339698"/>
      <w:bookmarkStart w:id="27" w:name="_Toc232493646"/>
      <w:bookmarkStart w:id="28" w:name="_Toc46743511"/>
      <w:r>
        <w:rPr>
          <w:lang w:val="ru-RU"/>
        </w:rPr>
        <w:t xml:space="preserve">Требования к </w:t>
      </w:r>
      <w:bookmarkEnd w:id="28"/>
      <w:r>
        <w:rPr>
          <w:lang w:val="ru-RU"/>
        </w:rPr>
        <w:t>качеству продукции</w:t>
      </w:r>
      <w:bookmarkEnd w:id="27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29" w:name="_Toc232493647"/>
      <w:r>
        <w:rPr>
          <w:sz w:val="24"/>
          <w:szCs w:val="24"/>
          <w:lang w:val="ru-RU"/>
        </w:rPr>
        <w:t>Таблица 3. Требования к продукции</w:t>
      </w:r>
      <w:bookmarkEnd w:id="29"/>
      <w:r>
        <w:rPr>
          <w:sz w:val="24"/>
          <w:szCs w:val="24"/>
          <w:lang w:val="ru-RU"/>
        </w:rPr>
        <w:t xml:space="preserve"> </w:t>
      </w:r>
      <w:bookmarkEnd w:id="26"/>
    </w:p>
    <w:p>
      <w:pPr>
        <w:pStyle w:val="Normal"/>
        <w:jc w:val="both"/>
        <w:rPr>
          <w:rStyle w:val="Style10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5"/>
        <w:tblW w:w="154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9"/>
        <w:gridCol w:w="3239"/>
        <w:gridCol w:w="4140"/>
        <w:gridCol w:w="2392"/>
        <w:gridCol w:w="12"/>
        <w:gridCol w:w="2366"/>
        <w:gridCol w:w="12"/>
        <w:gridCol w:w="2226"/>
        <w:gridCol w:w="235"/>
      </w:tblGrid>
      <w:tr>
        <w:trPr/>
        <w:tc>
          <w:tcPr>
            <w:tcW w:w="7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2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41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77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3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3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202" w:hRule="atLeast"/>
        </w:trPr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73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2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Модуль аналогового ввода R500 AI 08 041 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Проведенная поверка.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Модуль аналогового вывода R500 AO 08 011 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Проведенная поверка.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Модуль коммуникационного процессора R500 CP 02 021 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Проведенная поверка.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2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Модуль центрального процессора R500 CU 00 061 </w:t>
            </w:r>
          </w:p>
        </w:tc>
        <w:tc>
          <w:tcPr>
            <w:tcW w:w="4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Проведенная поверка.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Модуль счета импульсов R500 DA 03 021 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Проведенная поверка.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Модуль дискретного ввода R500 DI 32 011 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Модуль дискретного вывода R500 DO 32 012 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Модуль источника питания R500 PP 00 011 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Модуль дискретный комбинированный R500 DS 32 012 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en-US" w:bidi="ar-SA"/>
              </w:rPr>
              <w:t>Модуль оконечный</w:t>
            </w: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 R500 ST 00 001 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en-US" w:bidi="ar-SA"/>
              </w:rPr>
              <w:t xml:space="preserve">Модуль шасси </w:t>
            </w: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R500 CH 02 011 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en-US" w:bidi="ar-SA"/>
              </w:rPr>
              <w:t>Модуль шасси</w:t>
            </w: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 R500 CH 02 022 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Клеммная колодка для модулей ввода/вывода R500 CL 36 001 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Производитель: Реглаб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14.</w:t>
            </w:r>
          </w:p>
        </w:tc>
        <w:tc>
          <w:tcPr>
            <w:tcW w:w="323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kern w:val="0"/>
                <w:sz w:val="24"/>
                <w:szCs w:val="24"/>
                <w:lang w:val="ru-RU" w:bidi="ar-SA"/>
              </w:rPr>
              <w:t>Cинхроноскоп ЦФ 9285, Uвх. 100 В, универсальное</w:t>
              <w:br/>
              <w:t>питание .</w:t>
            </w:r>
          </w:p>
        </w:tc>
        <w:tc>
          <w:tcPr>
            <w:tcW w:w="41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Производитель: </w:t>
            </w: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 xml:space="preserve">ООО “Энерго-Союз” 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Технические характеристики в соответствии с характеристиками от производителя в соответствии с наименованием.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Проведенная поверка.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eastAsia="x-none" w:bidi="ar-SA"/>
              </w:rPr>
              <w:t>2.</w:t>
            </w:r>
          </w:p>
        </w:tc>
        <w:tc>
          <w:tcPr>
            <w:tcW w:w="73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Требования ко всем позициям указанных в таблице №1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Поставка до склада Заказчика. 362049 РСО-Алания, г. Владикавказ, ул. Васо Абаева, 63, филиал ПАО «РусГидро» - «Северо-Осетинский филиал».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contextualSpacing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Требования ко всем позициям указанных в таблице №1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-Упавковка должна быть в целости, без следов вскрытия. С заводскими пломбами , если они предусмотрены производителем. </w:t>
            </w:r>
          </w:p>
          <w:p>
            <w:pPr>
              <w:pStyle w:val="Title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-в части воздействия климатических факторов внешней̆ среды – по группе условий хранения и транспортирования 3 (Ж3) ГОСТ 15150, но для температуры от минус 30 до 50°С;</w:t>
            </w:r>
          </w:p>
          <w:p>
            <w:pPr>
              <w:pStyle w:val="Title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в части воздействия внешних воздействующих факторов (ВВФ) – в условиях «С» по ГОСТ 23170.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Style2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73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2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800" w:hRule="atLeast"/>
        </w:trPr>
        <w:tc>
          <w:tcPr>
            <w:tcW w:w="7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23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Требования ко всем позициям указан</w:t>
            </w:r>
            <w:r>
              <w:rPr>
                <w:rFonts w:eastAsia="Calibri" w:cs="" w:ascii="Calibri" w:hAnsi="Calibri"/>
                <w:kern w:val="0"/>
                <w:sz w:val="24"/>
                <w:szCs w:val="24"/>
                <w:lang w:val="en-US" w:eastAsia="ru-RU" w:bidi="ar-SA"/>
              </w:rPr>
              <w:t>н</w:t>
            </w:r>
            <w:bookmarkStart w:id="30" w:name="_GoBack"/>
            <w:bookmarkEnd w:id="30"/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ru-RU" w:bidi="ar-SA"/>
              </w:rPr>
              <w:t>ых в табл.1</w:t>
            </w:r>
          </w:p>
        </w:tc>
        <w:tc>
          <w:tcPr>
            <w:tcW w:w="4140" w:type="dxa"/>
            <w:tcBorders/>
            <w:vAlign w:val="center"/>
          </w:tcPr>
          <w:p>
            <w:pPr>
              <w:pStyle w:val="Title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-Паспорт от поставщика;</w:t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-Декларация соответствия;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-Товарная накладная;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-Счет фактура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3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</w:tbl>
    <w:p>
      <w:pPr>
        <w:pStyle w:val="Heading1"/>
        <w:keepLines/>
        <w:numPr>
          <w:ilvl w:val="0"/>
          <w:numId w:val="1"/>
        </w:numPr>
        <w:ind w:left="357" w:hanging="357"/>
        <w:rPr>
          <w:lang w:val="ru-RU"/>
        </w:rPr>
      </w:pPr>
      <w:bookmarkStart w:id="31" w:name="_Toc232493648"/>
      <w:r>
        <w:rPr>
          <w:lang w:val="ru-RU"/>
        </w:rPr>
        <w:t>Требования к документации по ценообразованию на этапе закупки</w:t>
      </w:r>
      <w:bookmarkEnd w:id="31"/>
    </w:p>
    <w:p>
      <w:pPr>
        <w:pStyle w:val="Normal"/>
        <w:numPr>
          <w:ilvl w:val="1"/>
          <w:numId w:val="2"/>
        </w:numPr>
        <w:spacing w:before="0" w:after="120"/>
        <w:ind w:left="709" w:hanging="709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2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2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  <w:tab w:val="left" w:pos="709" w:leader="none"/>
        </w:tabs>
        <w:spacing w:before="0" w:after="120"/>
        <w:ind w:left="289" w:hanging="289"/>
        <w:rPr>
          <w:bCs/>
          <w:iCs/>
          <w:sz w:val="24"/>
          <w:szCs w:val="24"/>
          <w:lang w:eastAsia="x-none"/>
        </w:rPr>
      </w:pPr>
      <w:bookmarkStart w:id="33" w:name="_Ref40301253"/>
      <w:bookmarkStart w:id="34" w:name="_Hlk48224758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  <w:bookmarkEnd w:id="33"/>
      <w:bookmarkEnd w:id="34"/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spacing w:before="0" w:after="120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22"/>
        <w:numPr>
          <w:ilvl w:val="2"/>
          <w:numId w:val="2"/>
        </w:numPr>
        <w:rPr/>
      </w:pPr>
      <w:bookmarkStart w:id="35" w:name="_Toc232493649"/>
      <w:bookmarkStart w:id="36" w:name="_Toc141972716"/>
      <w:bookmarkStart w:id="37" w:name="_Ref511135236"/>
      <w:r>
        <w:rPr/>
        <w:t xml:space="preserve">Форма </w:t>
      </w:r>
      <w:bookmarkEnd w:id="37"/>
      <w:r>
        <w:rPr/>
        <w:t>Коммерческого предложения</w:t>
      </w:r>
      <w:bookmarkEnd w:id="35"/>
      <w:bookmarkEnd w:id="36"/>
    </w:p>
    <w:p>
      <w:pPr>
        <w:pStyle w:val="Normal"/>
        <w:keepNext w:val="true"/>
        <w:pBdr>
          <w:top w:val="single" w:sz="4" w:space="1" w:color="000000"/>
        </w:pBdr>
        <w:shd w:val="clear" w:color="auto" w:fill="D9D9D9" w:themeFill="background1" w:themeFillShade="d9"/>
        <w:spacing w:before="0" w:after="1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начало формы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от «____» _____________ г. №__________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32"/>
        </w:rPr>
      </w:pPr>
      <w:r>
        <w:rPr>
          <w:b/>
          <w:caps/>
          <w:spacing w:val="20"/>
        </w:rPr>
        <w:t>Коммерческое предложение</w:t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rPr/>
      </w:pPr>
      <w:r>
        <w:rPr/>
        <w:t>Наименование и ИНН Участника: 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i/>
          <w:sz w:val="22"/>
          <w:szCs w:val="22"/>
          <w:highlight w:val="lightGray"/>
          <w:shd w:fill="BFBFBF" w:val="clear"/>
        </w:rPr>
        <w:t>[</w:t>
      </w:r>
      <w:r>
        <w:rPr>
          <w:rStyle w:val="Style10"/>
          <w:b w:val="false"/>
          <w:sz w:val="22"/>
          <w:szCs w:val="22"/>
          <w:highlight w:val="lightGray"/>
          <w:shd w:fill="BFBFBF" w:val="clear"/>
        </w:rPr>
        <w:t xml:space="preserve">Здесь Участник приводит свое Коммерческое предложение вместе </w:t>
      </w:r>
      <w:r>
        <w:rPr>
          <w:rStyle w:val="Style10"/>
          <w:b w:val="false"/>
          <w:sz w:val="22"/>
          <w:szCs w:val="22"/>
          <w:highlight w:val="lightGray"/>
          <w:u w:val="single"/>
          <w:shd w:fill="BFBFBF" w:val="clear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Style10"/>
          <w:b w:val="false"/>
          <w:sz w:val="22"/>
          <w:szCs w:val="22"/>
          <w:highlight w:val="lightGray"/>
          <w:shd w:fill="BFBFBF" w:val="clear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sz w:val="22"/>
          <w:szCs w:val="22"/>
          <w:highlight w:val="lightGray"/>
          <w:shd w:fill="BFBFBF" w:val="clear"/>
        </w:rPr>
        <w:t>]</w:t>
      </w:r>
      <w:r>
        <w:rPr>
          <w:i/>
          <w:sz w:val="22"/>
          <w:szCs w:val="22"/>
          <w:highlight w:val="lightGray"/>
        </w:rPr>
        <w:t xml:space="preserve"> </w:t>
      </w:r>
    </w:p>
    <w:p>
      <w:pPr>
        <w:pStyle w:val="Normal"/>
        <w:rPr>
          <w:rStyle w:val="Style10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1462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"/>
        <w:gridCol w:w="561"/>
        <w:gridCol w:w="974"/>
        <w:gridCol w:w="1674"/>
        <w:gridCol w:w="4236"/>
        <w:gridCol w:w="1202"/>
        <w:gridCol w:w="1819"/>
        <w:gridCol w:w="1544"/>
        <w:gridCol w:w="671"/>
        <w:gridCol w:w="30"/>
        <w:gridCol w:w="1257"/>
        <w:gridCol w:w="231"/>
      </w:tblGrid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lang w:eastAsia="en-US"/>
              </w:rPr>
              <w:t>п/п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 предлагаемой продукции (товары, работы, услуги)</w:t>
              <w:b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Страна происхождения товара </w:t>
              <w:br/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Производитель продукции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НМЦ единицы продукции (руб. без НДС)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i/>
                <w:i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Предлагаемая цена одной единицы </w:t>
            </w:r>
            <w:r>
              <w:rPr>
                <w:sz w:val="20"/>
              </w:rPr>
              <w:t>продукции</w:t>
            </w:r>
            <w:r>
              <w:rPr>
                <w:rFonts w:eastAsia="Calibri"/>
                <w:sz w:val="20"/>
                <w:lang w:eastAsia="en-US"/>
              </w:rPr>
              <w:t>, руб. без НДС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Кол-во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5" w:right="-81" w:hanging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Итоговая стоимость позиции</w:t>
              <w:br/>
              <w:t>(руб. без НДС)</w:t>
            </w:r>
          </w:p>
        </w:tc>
        <w:tc>
          <w:tcPr>
            <w:tcW w:w="23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  <w:tc>
          <w:tcPr>
            <w:tcW w:w="12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без НДС: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Кроме того, НДС (__%):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2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 с НДС: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 xml:space="preserve">ВНИМАНИЕ: В комплекте Документации о закупке прилагается электронная версия формы Коммерческого предложения </w:t>
      </w:r>
    </w:p>
    <w:p>
      <w:pPr>
        <w:pStyle w:val="Normal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>В случае неуказания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>
      <w:pPr>
        <w:pStyle w:val="Normal"/>
        <w:rPr/>
      </w:pPr>
      <w:r>
        <w:rPr/>
        <w:t>____________________________________</w:t>
      </w:r>
    </w:p>
    <w:p>
      <w:pPr>
        <w:pStyle w:val="Normal"/>
        <w:ind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Normal"/>
        <w:rPr/>
      </w:pPr>
      <w:r>
        <w:rPr/>
        <w:t>____________________________________</w:t>
      </w:r>
    </w:p>
    <w:p>
      <w:pPr>
        <w:pStyle w:val="Normal"/>
        <w:ind w:right="3684" w:hanging="0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>
      <w:pPr>
        <w:pStyle w:val="Normal"/>
        <w:pBdr>
          <w:bottom w:val="single" w:sz="4" w:space="1" w:color="000000"/>
        </w:pBdr>
        <w:shd w:val="clear" w:color="auto" w:fill="D9D9D9" w:themeFill="background1" w:themeFillShade="d9"/>
        <w:spacing w:before="0" w:after="1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конец формы</w:t>
      </w:r>
      <w:r>
        <w:br w:type="page"/>
      </w:r>
    </w:p>
    <w:p>
      <w:pPr>
        <w:pStyle w:val="22"/>
        <w:numPr>
          <w:ilvl w:val="2"/>
          <w:numId w:val="5"/>
        </w:numPr>
        <w:rPr/>
      </w:pPr>
      <w:bookmarkStart w:id="38" w:name="_Toc232493650"/>
      <w:bookmarkStart w:id="39" w:name="_Toc141972717"/>
      <w:r>
        <w:rPr/>
        <w:t>Инструкции по заполнению</w:t>
      </w:r>
      <w:bookmarkEnd w:id="38"/>
      <w:bookmarkEnd w:id="39"/>
    </w:p>
    <w:p>
      <w:pPr>
        <w:pStyle w:val="Style25"/>
        <w:rPr/>
      </w:pPr>
      <w:r>
        <w:rPr/>
        <w:t>Участник указывает свое фирменное наименование (в т.ч. организационно-правовую форму) и свой ИНН.</w:t>
      </w:r>
    </w:p>
    <w:p>
      <w:pPr>
        <w:pStyle w:val="Style25"/>
        <w:tabs>
          <w:tab w:val="clear" w:pos="1134"/>
        </w:tabs>
        <w:rPr/>
      </w:pPr>
      <w:r>
        <w:rPr/>
        <w:t xml:space="preserve">Все расчеты округляются до двух знаков после запятой. </w:t>
      </w:r>
    </w:p>
    <w:p>
      <w:pPr>
        <w:pStyle w:val="Style25"/>
        <w:tabs>
          <w:tab w:val="clear" w:pos="1134"/>
        </w:tabs>
        <w:rPr/>
      </w:pPr>
      <w:r>
        <w:rPr/>
        <w:t>Данная форма должна быть в обязательном порядке представлена в формате, доступном для редактирования (</w:t>
      </w:r>
      <w:r>
        <w:rPr>
          <w:lang w:val="en-US"/>
        </w:rPr>
        <w:t>MicrosoftExcelSheet</w:t>
      </w:r>
      <w:r>
        <w:rPr/>
        <w:t xml:space="preserve"> (*.</w:t>
      </w:r>
      <w:r>
        <w:rPr>
          <w:lang w:val="en-US"/>
        </w:rPr>
        <w:t>xls</w:t>
      </w:r>
      <w:r>
        <w:rPr/>
        <w:t>)).</w:t>
      </w:r>
    </w:p>
    <w:p>
      <w:pPr>
        <w:pStyle w:val="Normal"/>
        <w:spacing w:before="0" w:after="120"/>
        <w:ind w:left="289" w:hanging="0"/>
        <w:rPr>
          <w:bCs/>
          <w:iCs/>
          <w:sz w:val="24"/>
          <w:szCs w:val="24"/>
          <w:lang w:eastAsia="x-none"/>
        </w:rPr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eastAsia="Calibri"/>
                            </w:rPr>
                          </w:pP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eastAsia="Calibri"/>
                      </w:rPr>
                    </w:pP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eastAsia="Calibri"/>
                            </w:rPr>
                          </w:pP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eastAsia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eastAsia="Calibri"/>
                      </w:rPr>
                    </w:pP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eastAsia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5">
    <w:lvl w:ilvl="0">
      <w:start w:val="3"/>
      <w:numFmt w:val="decimal"/>
      <w:lvlText w:val="%1"/>
      <w:lvlJc w:val="left"/>
      <w:pPr>
        <w:tabs>
          <w:tab w:val="num" w:pos="0"/>
        </w:tabs>
        <w:ind w:left="525" w:hanging="525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525" w:hanging="525"/>
      </w:pPr>
      <w:rPr/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71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f3716f"/>
    <w:pPr>
      <w:ind w:left="36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f3716f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f3716f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f3716f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f3716f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f3716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f3716f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f3716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Текст сноски Знак"/>
    <w:basedOn w:val="DefaultParagraphFont"/>
    <w:qFormat/>
    <w:rsid w:val="00f3716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f3716f"/>
    <w:rPr>
      <w:vertAlign w:val="superscript"/>
    </w:rPr>
  </w:style>
  <w:style w:type="character" w:styleId="Style7" w:customStyle="1">
    <w:name w:val="Верхний колонтитул Знак"/>
    <w:basedOn w:val="DefaultParagraphFont"/>
    <w:qFormat/>
    <w:rsid w:val="00f3716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8" w:customStyle="1">
    <w:name w:val="Основной текст Знак"/>
    <w:basedOn w:val="DefaultParagraphFont"/>
    <w:qFormat/>
    <w:rsid w:val="00f3716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f3716f"/>
    <w:rPr/>
  </w:style>
  <w:style w:type="character" w:styleId="11" w:customStyle="1">
    <w:name w:val="Гиперссылка1"/>
    <w:uiPriority w:val="99"/>
    <w:qFormat/>
    <w:rsid w:val="00f3716f"/>
    <w:rPr>
      <w:color w:val="0000FF"/>
      <w:u w:val="single"/>
    </w:rPr>
  </w:style>
  <w:style w:type="character" w:styleId="SubtleEmphasis">
    <w:name w:val="Subtle Emphasis"/>
    <w:uiPriority w:val="19"/>
    <w:qFormat/>
    <w:rsid w:val="00f3716f"/>
    <w:rPr>
      <w:i/>
      <w:iCs/>
      <w:color w:val="808080"/>
    </w:rPr>
  </w:style>
  <w:style w:type="character" w:styleId="Style9" w:customStyle="1">
    <w:name w:val="Абзац списка Знак"/>
    <w:link w:val="ListParagraph"/>
    <w:uiPriority w:val="34"/>
    <w:qFormat/>
    <w:locked/>
    <w:rsid w:val="00f3716f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0" w:customStyle="1">
    <w:name w:val="комментарий"/>
    <w:qFormat/>
    <w:rsid w:val="00f3716f"/>
    <w:rPr>
      <w:b/>
      <w:i/>
      <w:shd w:fill="FFFF99" w:val="clear"/>
    </w:rPr>
  </w:style>
  <w:style w:type="character" w:styleId="Style11" w:customStyle="1">
    <w:name w:val="Заголовок Знак"/>
    <w:basedOn w:val="DefaultParagraphFont"/>
    <w:qFormat/>
    <w:rsid w:val="00f3716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3290a"/>
    <w:rPr>
      <w:rFonts w:ascii="Segoe UI" w:hAnsi="Segoe UI" w:eastAsia="Times New Roman" w:cs="Segoe UI"/>
      <w:sz w:val="18"/>
      <w:szCs w:val="18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d290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Пункт2 Знак"/>
    <w:link w:val="22"/>
    <w:qFormat/>
    <w:rsid w:val="00af79c3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2" w:customStyle="1">
    <w:name w:val="Подпункт Знак1"/>
    <w:link w:val="Style25"/>
    <w:qFormat/>
    <w:rsid w:val="00af79c3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Hyperlink">
    <w:name w:val="Hyperlink"/>
    <w:uiPriority w:val="99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8"/>
    <w:rsid w:val="00f3716f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11"/>
    <w:qFormat/>
    <w:rsid w:val="00f3716f"/>
    <w:pPr>
      <w:jc w:val="center"/>
    </w:pPr>
    <w:rPr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5"/>
    <w:rsid w:val="00f3716f"/>
    <w:pPr/>
    <w:rPr>
      <w:sz w:val="20"/>
      <w:szCs w:val="20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f3716f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3716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80eef"/>
    <w:pPr>
      <w:tabs>
        <w:tab w:val="clear" w:pos="708"/>
        <w:tab w:val="left" w:pos="1540" w:leader="none"/>
      </w:tabs>
      <w:ind w:left="280" w:firstLine="287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3716f"/>
    <w:pPr>
      <w:ind w:left="560" w:hanging="0"/>
    </w:pPr>
    <w:rPr>
      <w:rFonts w:cs="Calibri" w:cstheme="minorHAnsi"/>
      <w:sz w:val="20"/>
      <w:szCs w:val="20"/>
    </w:rPr>
  </w:style>
  <w:style w:type="paragraph" w:styleId="ListParagraph">
    <w:name w:val="List Paragraph"/>
    <w:basedOn w:val="Normal"/>
    <w:link w:val="Style9"/>
    <w:uiPriority w:val="34"/>
    <w:qFormat/>
    <w:rsid w:val="00f3716f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20" w:customStyle="1">
    <w:name w:val="Таблица"/>
    <w:basedOn w:val="Normal"/>
    <w:qFormat/>
    <w:rsid w:val="00f3716f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1" w:customStyle="1">
    <w:name w:val="Таблица шапка"/>
    <w:basedOn w:val="Normal"/>
    <w:qFormat/>
    <w:rsid w:val="00f3716f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ConsPlusNonformat" w:customStyle="1">
    <w:name w:val="ConsPlusNonformat"/>
    <w:qFormat/>
    <w:rsid w:val="00fb45cd"/>
    <w:pPr>
      <w:widowControl w:val="false"/>
      <w:suppressAutoHyphens w:val="tru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ar-SA" w:bidi="ar-SA"/>
    </w:rPr>
  </w:style>
  <w:style w:type="paragraph" w:styleId="Revision">
    <w:name w:val="Revision"/>
    <w:uiPriority w:val="99"/>
    <w:semiHidden/>
    <w:qFormat/>
    <w:rsid w:val="00725e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22" w:customStyle="1">
    <w:name w:val="Содержимое врезки"/>
    <w:basedOn w:val="Normal"/>
    <w:qFormat/>
    <w:pPr/>
    <w:rPr/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3290a"/>
    <w:pPr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yle14"/>
    <w:uiPriority w:val="99"/>
    <w:unhideWhenUsed/>
    <w:rsid w:val="002d290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Подпункт"/>
    <w:basedOn w:val="Normal"/>
    <w:link w:val="12"/>
    <w:qFormat/>
    <w:rsid w:val="00af79c3"/>
    <w:pPr>
      <w:tabs>
        <w:tab w:val="clear" w:pos="708"/>
        <w:tab w:val="left" w:pos="1134" w:leader="none"/>
      </w:tabs>
      <w:suppressAutoHyphens w:val="false"/>
      <w:spacing w:before="120" w:after="0"/>
      <w:ind w:left="1134" w:hanging="1134"/>
      <w:jc w:val="both"/>
    </w:pPr>
    <w:rPr>
      <w:sz w:val="26"/>
      <w:szCs w:val="26"/>
    </w:rPr>
  </w:style>
  <w:style w:type="paragraph" w:styleId="22" w:customStyle="1">
    <w:name w:val="Пункт2"/>
    <w:basedOn w:val="Normal"/>
    <w:link w:val="21"/>
    <w:qFormat/>
    <w:rsid w:val="00af79c3"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numbering" w:styleId="13510931031" w:customStyle="1">
    <w:name w:val="13510931031"/>
    <w:qFormat/>
  </w:style>
  <w:style w:type="numbering" w:styleId="31318679771" w:customStyle="1">
    <w:name w:val="31318679771"/>
    <w:qFormat/>
  </w:style>
  <w:style w:type="numbering" w:styleId="34419042671" w:customStyle="1">
    <w:name w:val="34419042671"/>
    <w:qFormat/>
  </w:style>
  <w:style w:type="numbering" w:styleId="26532941361" w:customStyle="1">
    <w:name w:val="26532941361"/>
    <w:qFormat/>
  </w:style>
  <w:style w:type="numbering" w:styleId="3682183901" w:customStyle="1">
    <w:name w:val="3682183901"/>
    <w:qFormat/>
  </w:style>
  <w:style w:type="numbering" w:styleId="24268355371" w:customStyle="1">
    <w:name w:val="24268355371"/>
    <w:qFormat/>
  </w:style>
  <w:style w:type="numbering" w:styleId="7988936521" w:customStyle="1">
    <w:name w:val="7988936521"/>
    <w:qFormat/>
  </w:style>
  <w:style w:type="numbering" w:styleId="36179227071" w:customStyle="1">
    <w:name w:val="36179227071"/>
    <w:qFormat/>
  </w:style>
  <w:style w:type="numbering" w:styleId="25870252701" w:customStyle="1">
    <w:name w:val="25870252701"/>
    <w:qFormat/>
  </w:style>
  <w:style w:type="numbering" w:styleId="22393998441" w:customStyle="1">
    <w:name w:val="22393998441"/>
    <w:qFormat/>
  </w:style>
  <w:style w:type="numbering" w:styleId="15141312561" w:customStyle="1">
    <w:name w:val="15141312561"/>
    <w:qFormat/>
  </w:style>
  <w:style w:type="numbering" w:styleId="17459896441" w:customStyle="1">
    <w:name w:val="17459896441"/>
    <w:qFormat/>
  </w:style>
  <w:style w:type="numbering" w:styleId="21180751891" w:customStyle="1">
    <w:name w:val="211807518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1"/>
    <w:uiPriority w:val="39"/>
    <w:rsid w:val="00f3716f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AlterOffice/2025.3.1.0$Linux_X86_64 LibreOffice_project/431cd1b79110582f53535c95ed0a2449aadc8bf9</Application>
  <AppVersion>15.0000</AppVersion>
  <Pages>12</Pages>
  <Words>1488</Words>
  <Characters>9390</Characters>
  <CharactersWithSpaces>10569</CharactersWithSpaces>
  <Paragraphs>331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2026-06-10T08:10:00Z</dcterms:created>
  <dc:creator>Балаев Алан Георгиевич</dc:creator>
  <dc:description/>
  <dc:language>ru-RU</dc:language>
  <cp:lastModifiedBy>sabaevam@corp.gidroogk.com</cp:lastModifiedBy>
  <dcterms:modified xsi:type="dcterms:W3CDTF">2026-07-01T11:39:55Z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