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4" w:type="dxa"/>
        <w:jc w:val="left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777"/>
        <w:gridCol w:w="4536"/>
      </w:tblGrid>
      <w:tr>
        <w:trPr>
          <w:trHeight w:val="2438" w:hRule="atLeast"/>
        </w:trPr>
        <w:tc>
          <w:tcPr>
            <w:tcW w:w="5777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4536" w:type="dxa"/>
            <w:tcBorders/>
          </w:tcPr>
          <w:p>
            <w:pPr>
              <w:pStyle w:val="111"/>
              <w:keepNext w:val="true"/>
              <w:keepLines/>
              <w:widowControl w:val="false"/>
              <w:shd w:val="clear" w:color="auto" w:fill="auto"/>
              <w:tabs>
                <w:tab w:val="clear" w:pos="708"/>
                <w:tab w:val="left" w:pos="284" w:leader="none"/>
                <w:tab w:val="left" w:pos="851" w:leader="none"/>
              </w:tabs>
              <w:spacing w:lineRule="auto" w:line="360" w:before="0" w:after="0"/>
              <w:ind w:firstLine="851"/>
              <w:rPr>
                <w:b/>
                <w:sz w:val="24"/>
                <w:szCs w:val="24"/>
              </w:rPr>
            </w:pPr>
            <w:bookmarkStart w:id="0" w:name="__RefHeading___Toc11213_200360334"/>
            <w:bookmarkEnd w:id="0"/>
            <w:r>
              <w:rPr>
                <w:b/>
                <w:bCs/>
                <w:kern w:val="2"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УТВЕРЖДАЮ»</w:t>
            </w:r>
          </w:p>
          <w:p>
            <w:pPr>
              <w:pStyle w:val="111"/>
              <w:keepNext w:val="true"/>
              <w:keepLines/>
              <w:widowControl w:val="false"/>
              <w:shd w:val="clear" w:color="auto" w:fill="auto"/>
              <w:tabs>
                <w:tab w:val="clear" w:pos="708"/>
                <w:tab w:val="left" w:pos="284" w:leader="none"/>
                <w:tab w:val="left" w:pos="851" w:leader="none"/>
              </w:tabs>
              <w:spacing w:lineRule="auto" w:line="276" w:before="0" w:after="0"/>
              <w:ind w:hanging="0"/>
              <w:rPr>
                <w:sz w:val="24"/>
                <w:szCs w:val="24"/>
              </w:rPr>
            </w:pPr>
            <w:bookmarkStart w:id="1" w:name="__RefHeading___Toc11215_200360334"/>
            <w:bookmarkEnd w:id="1"/>
            <w:r>
              <w:rPr>
                <w:sz w:val="24"/>
                <w:szCs w:val="24"/>
              </w:rPr>
              <w:t>Заместитель директора филиала –</w:t>
            </w:r>
          </w:p>
          <w:p>
            <w:pPr>
              <w:pStyle w:val="111"/>
              <w:keepNext w:val="true"/>
              <w:keepLines/>
              <w:widowControl w:val="false"/>
              <w:shd w:val="clear" w:color="auto" w:fill="auto"/>
              <w:tabs>
                <w:tab w:val="clear" w:pos="708"/>
                <w:tab w:val="left" w:pos="284" w:leader="none"/>
                <w:tab w:val="left" w:pos="851" w:leader="none"/>
              </w:tabs>
              <w:spacing w:lineRule="auto" w:line="276" w:before="0" w:after="0"/>
              <w:ind w:hanging="0"/>
              <w:rPr>
                <w:sz w:val="24"/>
                <w:szCs w:val="24"/>
              </w:rPr>
            </w:pPr>
            <w:bookmarkStart w:id="2" w:name="__RefHeading___Toc11217_200360334"/>
            <w:bookmarkStart w:id="3" w:name="_Toc95410427"/>
            <w:bookmarkEnd w:id="2"/>
            <w:r>
              <w:rPr>
                <w:sz w:val="24"/>
                <w:szCs w:val="24"/>
              </w:rPr>
              <w:t>Главный инженер</w:t>
            </w:r>
            <w:bookmarkEnd w:id="3"/>
            <w:r>
              <w:rPr>
                <w:sz w:val="24"/>
                <w:szCs w:val="24"/>
              </w:rPr>
              <w:t xml:space="preserve"> Воткинского филиала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 в г. Чайковский</w:t>
            </w:r>
          </w:p>
          <w:p>
            <w:pPr>
              <w:pStyle w:val="Normal"/>
              <w:widowControl w:val="false"/>
              <w:spacing w:before="24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Э.В. Сальников</w:t>
            </w:r>
          </w:p>
          <w:p>
            <w:pPr>
              <w:pStyle w:val="Normal"/>
              <w:widowControl w:val="false"/>
              <w:spacing w:before="240" w:after="0"/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«____» </w:t>
            </w:r>
            <w:r>
              <w:rPr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2026г.</w:t>
            </w:r>
          </w:p>
        </w:tc>
      </w:tr>
    </w:tbl>
    <w:p>
      <w:pPr>
        <w:pStyle w:val="Normal"/>
        <w:widowControl w:val="false"/>
        <w:spacing w:lineRule="exact" w:line="331" w:before="0" w:after="263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240"/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spacing w:before="0" w:after="113"/>
        <w:ind w:left="907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ОКПД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2: 23.61.12.111 Поставка блоков фундаментных железобетонных</w:t>
      </w:r>
    </w:p>
    <w:p>
      <w:pPr>
        <w:pStyle w:val="Normal"/>
        <w:spacing w:before="0" w:after="113"/>
        <w:ind w:left="907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нужд Воткинского филиала</w:t>
      </w:r>
    </w:p>
    <w:p>
      <w:pPr>
        <w:pStyle w:val="Normal"/>
        <w:spacing w:before="0" w:after="113"/>
        <w:ind w:left="907" w:hanging="0"/>
        <w:jc w:val="center"/>
        <w:rPr>
          <w:shd w:fill="FFFF00" w:val="clear"/>
        </w:rPr>
      </w:pPr>
      <w:r>
        <w:rPr>
          <w:b/>
          <w:bCs/>
          <w:sz w:val="24"/>
          <w:szCs w:val="24"/>
          <w:shd w:fill="FFFF00" w:val="clear"/>
        </w:rPr>
        <w:t>ЛОТ №</w:t>
      </w:r>
    </w:p>
    <w:p>
      <w:pPr>
        <w:pStyle w:val="Normal"/>
        <w:keepNext w:val="true"/>
        <w:keepLines/>
        <w:spacing w:before="0" w:after="24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103200614"/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rPr>
              <w:rFonts w:eastAsia="" w:cs="Times New Roman" w:eastAsiaTheme="minorEastAsia"/>
              <w:b w:val="false"/>
              <w:bCs w:val="false"/>
            </w:rPr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r>
            <w:rPr/>
            <w:t>1</w:t>
          </w:r>
          <w:hyperlink w:anchor="__RefHeading___Toc11219_200360334">
            <w:r>
              <w:rPr>
                <w:rStyle w:val="Style16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11221_200360334">
            <w:r>
              <w:rPr>
                <w:rStyle w:val="Style16"/>
                <w:sz w:val="24"/>
                <w:szCs w:val="24"/>
              </w:rPr>
              <w:t>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11223_200360334">
            <w:r>
              <w:rPr>
                <w:rStyle w:val="Style16"/>
                <w:sz w:val="24"/>
                <w:szCs w:val="24"/>
              </w:rPr>
              <w:t>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11225_200360334">
            <w:r>
              <w:rPr>
                <w:rStyle w:val="Style16"/>
                <w:sz w:val="24"/>
                <w:szCs w:val="24"/>
              </w:rPr>
              <w:t>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rPr/>
            <w:t>2</w:t>
          </w:r>
          <w:hyperlink w:anchor="__RefHeading___Toc11227_200360334">
            <w:r>
              <w:rPr>
                <w:rStyle w:val="Style16"/>
              </w:rPr>
              <w:t xml:space="preserve">. </w:t>
            </w:r>
            <w:r>
              <w:rPr>
                <w:rStyle w:val="Style16"/>
                <w:iCs/>
              </w:rPr>
              <w:t>Требования к продукции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11229_200360334">
            <w:r>
              <w:rPr>
                <w:rStyle w:val="Style16"/>
                <w:sz w:val="24"/>
                <w:szCs w:val="24"/>
              </w:rPr>
              <w:t>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11231_200360334">
            <w:r>
              <w:rPr>
                <w:rStyle w:val="Style16"/>
                <w:sz w:val="24"/>
                <w:szCs w:val="24"/>
              </w:rPr>
              <w:t>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33_200360334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35_200360334">
            <w:r>
              <w:rPr>
                <w:rStyle w:val="Style16"/>
              </w:rPr>
              <w:t>Таблица 1.2 Перечень и объем закупаемых сопутствующих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11237_200360334">
            <w:r>
              <w:rPr>
                <w:rStyle w:val="Style16"/>
                <w:sz w:val="24"/>
                <w:szCs w:val="24"/>
              </w:rPr>
              <w:t>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39_200360334">
            <w:r>
              <w:rPr>
                <w:rStyle w:val="Style16"/>
              </w:rPr>
              <w:t>Таблица 2.1 Требования по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11241_200360334">
            <w:r>
              <w:rPr>
                <w:rStyle w:val="Style16"/>
                <w:sz w:val="24"/>
                <w:szCs w:val="24"/>
              </w:rPr>
              <w:t>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43_20036033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Таблица 3.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rPr/>
            <w:t>3</w:t>
          </w:r>
          <w:hyperlink w:anchor="__RefHeading___Toc11245_200360334">
            <w:r>
              <w:rPr>
                <w:rStyle w:val="Style16"/>
              </w:rPr>
              <w:t>. Требования к документации по ценообразованию на этапе закупки</w:t>
              <w:tab/>
              <w:t>7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" w:name="__RefHeading___Toc11219_200360334"/>
      <w:bookmarkStart w:id="5" w:name="_Toc75446566"/>
      <w:bookmarkStart w:id="6" w:name="_Toc51339692"/>
      <w:bookmarkEnd w:id="4"/>
      <w:r>
        <w:rPr>
          <w:sz w:val="24"/>
          <w:szCs w:val="24"/>
          <w:lang w:val="ru-RU"/>
        </w:rPr>
        <w:t>Общие сведения</w:t>
      </w:r>
      <w:bookmarkEnd w:id="5"/>
      <w:bookmarkEnd w:id="6"/>
    </w:p>
    <w:p>
      <w:pPr>
        <w:pStyle w:val="Heading4"/>
        <w:numPr>
          <w:ilvl w:val="1"/>
          <w:numId w:val="3"/>
        </w:numPr>
        <w:ind w:left="426" w:hanging="284"/>
        <w:rPr/>
      </w:pPr>
      <w:bookmarkStart w:id="7" w:name="__RefHeading___Toc11221_200360334"/>
      <w:bookmarkStart w:id="8" w:name="_Toc75446567"/>
      <w:bookmarkStart w:id="9" w:name="_Toc46743505"/>
      <w:bookmarkEnd w:id="7"/>
      <w:r>
        <w:rPr/>
        <w:t>Обозначения и сокращения</w:t>
      </w:r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27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lang w:eastAsia="ar-SA"/>
              </w:rPr>
              <w:t>Технические требования</w:t>
            </w:r>
          </w:p>
        </w:tc>
      </w:tr>
      <w:tr>
        <w:trPr>
          <w:trHeight w:val="165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Тонна</w:t>
            </w:r>
          </w:p>
        </w:tc>
      </w:tr>
      <w:tr>
        <w:trPr>
          <w:trHeight w:val="165" w:hRule="atLeast"/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false"/>
        <w:numPr>
          <w:ilvl w:val="1"/>
          <w:numId w:val="3"/>
        </w:numPr>
        <w:ind w:left="425" w:hanging="431"/>
        <w:rPr/>
      </w:pPr>
      <w:bookmarkStart w:id="10" w:name="__RefHeading___Toc11223_200360334"/>
      <w:bookmarkStart w:id="11" w:name="_Toc75446568"/>
      <w:bookmarkEnd w:id="10"/>
      <w:r>
        <w:rPr/>
        <w:t>Наименование закупаемой продукции</w:t>
      </w:r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 2: 23.61.12.111 Поставка блоков фундаментных железобетонных для нужд Воткинского филиала</w:t>
      </w:r>
    </w:p>
    <w:p>
      <w:pPr>
        <w:pStyle w:val="Heading4"/>
        <w:numPr>
          <w:ilvl w:val="1"/>
          <w:numId w:val="3"/>
        </w:numPr>
        <w:ind w:left="431" w:hanging="431"/>
        <w:rPr/>
      </w:pPr>
      <w:bookmarkStart w:id="12" w:name="__RefHeading___Toc11225_200360334"/>
      <w:bookmarkStart w:id="13" w:name="_Toc75446569"/>
      <w:bookmarkStart w:id="14" w:name="_Toc46743507"/>
      <w:bookmarkEnd w:id="12"/>
      <w:r>
        <w:rPr/>
        <w:t xml:space="preserve">Цель </w:t>
      </w:r>
      <w:bookmarkEnd w:id="14"/>
      <w:r>
        <w:rPr>
          <w:lang w:val="ru-RU"/>
        </w:rPr>
        <w:t>использования закупаемой продукции</w:t>
      </w:r>
      <w:bookmarkEnd w:id="13"/>
    </w:p>
    <w:p>
      <w:pPr>
        <w:pStyle w:val="NormalWeb"/>
        <w:spacing w:beforeAutospacing="0" w:before="0" w:afterAutospacing="0" w:after="0"/>
        <w:ind w:right="-113" w:hanging="0"/>
        <w:jc w:val="both"/>
        <w:rPr/>
      </w:pPr>
      <w:r>
        <w:rPr>
          <w:rFonts w:eastAsia="Calibri"/>
          <w:shd w:fill="FFFFFF" w:val="clear"/>
        </w:rPr>
        <w:t xml:space="preserve">Выполнение ремонтных работ в 2027 году, в рамках исполнения </w:t>
      </w:r>
      <w:bookmarkStart w:id="15" w:name="_Hlk157777430"/>
      <w:r>
        <w:rPr>
          <w:rFonts w:eastAsia="Calibri"/>
          <w:shd w:fill="FFFFFF" w:val="clear"/>
        </w:rPr>
        <w:t xml:space="preserve">договора </w:t>
      </w:r>
      <w:bookmarkEnd w:id="15"/>
      <w:r>
        <w:rPr>
          <w:rFonts w:eastAsia="Calibri"/>
          <w:bCs/>
          <w:shd w:fill="FFFFFF" w:val="clear"/>
          <w:lang w:eastAsia="x-none"/>
        </w:rPr>
        <w:t>№4-РЕМ-2023-ВотГЭС на выполнение работ по капитальному и текущему ремонту оборудования, зданий, сооружений филиала ПАО «РусГидро»-«Воткинская ГЭС» от 31.10.2023г., заключенного между филиалом ПАО «РусГидро»-«Воткинская ГЭС» и Воткинским филиалом АО «Гидроремонт-ВКК» в г. Чайковский</w:t>
      </w:r>
      <w:r>
        <w:rPr>
          <w:rFonts w:eastAsia="Calibri"/>
          <w:shd w:fill="FFFFFF" w:val="clear"/>
          <w:lang w:eastAsia="x-none"/>
        </w:rPr>
        <w:t>.</w:t>
      </w:r>
    </w:p>
    <w:p>
      <w:pPr>
        <w:pStyle w:val="NormalWeb"/>
        <w:spacing w:beforeAutospacing="0" w:before="0" w:afterAutospacing="0" w:after="0"/>
        <w:ind w:right="-1" w:hanging="0"/>
        <w:jc w:val="both"/>
        <w:rPr>
          <w:b/>
        </w:rPr>
      </w:pPr>
      <w:r>
        <w:rPr>
          <w:b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6" w:name="__RefHeading___Toc11227_200360334"/>
      <w:bookmarkStart w:id="17" w:name="_Toc75446573"/>
      <w:bookmarkStart w:id="18" w:name="_Toc51339693"/>
      <w:bookmarkStart w:id="19" w:name="_Toc50125126"/>
      <w:bookmarkEnd w:id="16"/>
      <w:bookmarkEnd w:id="19"/>
      <w:r>
        <w:rPr>
          <w:iCs/>
          <w:sz w:val="24"/>
          <w:szCs w:val="24"/>
        </w:rPr>
        <w:t>Требования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0" w:name="__RefHeading___Toc11229_200360334"/>
      <w:bookmarkStart w:id="21" w:name="_Toc75446574"/>
      <w:bookmarkEnd w:id="2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1231_200360334"/>
      <w:bookmarkStart w:id="23" w:name="_Toc75446575"/>
      <w:bookmarkEnd w:id="22"/>
      <w:r>
        <w:rPr>
          <w:lang w:val="ru-RU"/>
        </w:rPr>
        <w:t>Перечень и объем закупаемой продукции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_RefHeading___Toc11233_200360334"/>
      <w:bookmarkStart w:id="25" w:name="_Toc75446576"/>
      <w:bookmarkStart w:id="26" w:name="_Toc51339695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закупаемой продукции</w:t>
      </w:r>
      <w:bookmarkEnd w:id="2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2296"/>
        <w:gridCol w:w="3970"/>
        <w:gridCol w:w="1416"/>
        <w:gridCol w:w="1532"/>
      </w:tblGrid>
      <w:tr>
        <w:trPr>
          <w:trHeight w:val="85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</w:tbl>
    <w:p>
      <w:pPr>
        <w:pStyle w:val="Normal"/>
        <w:rPr>
          <w:sz w:val="2"/>
          <w:szCs w:val="2"/>
          <w:lang w:eastAsia="x-none"/>
        </w:rPr>
      </w:pPr>
      <w:r>
        <w:rPr>
          <w:sz w:val="2"/>
          <w:szCs w:val="2"/>
          <w:lang w:eastAsia="x-none"/>
        </w:rPr>
      </w:r>
    </w:p>
    <w:tbl>
      <w:tblPr>
        <w:tblW w:w="98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2296"/>
        <w:gridCol w:w="3970"/>
        <w:gridCol w:w="1416"/>
        <w:gridCol w:w="1531"/>
      </w:tblGrid>
      <w:tr>
        <w:trPr>
          <w:tblHeader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15" w:hanging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фундаментный железобетонный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13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ФБС 24.6.6, массой 1,96 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ind w:right="-11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13579-78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hanging="0"/>
        <w:rPr>
          <w:i/>
          <w:i/>
          <w:sz w:val="24"/>
          <w:szCs w:val="24"/>
        </w:rPr>
      </w:pPr>
      <w:bookmarkStart w:id="27" w:name="__RefHeading___Toc11235_200360334"/>
      <w:bookmarkStart w:id="28" w:name="_Toc141728500"/>
      <w:bookmarkEnd w:id="27"/>
      <w:r>
        <w:rPr>
          <w:sz w:val="24"/>
          <w:szCs w:val="24"/>
        </w:rPr>
        <w:t>Таблица 1.2 Перечень и объем закупаемых сопутствующих услуг</w:t>
      </w:r>
      <w:bookmarkEnd w:id="28"/>
      <w:r>
        <w:rPr>
          <w:sz w:val="24"/>
          <w:szCs w:val="24"/>
        </w:rPr>
        <w:t xml:space="preserve"> </w:t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6013"/>
        <w:gridCol w:w="1416"/>
        <w:gridCol w:w="153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315" w:hanging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и разгрузка блоков фундаментных железобетонных в грузовой порт поселка Волко</w:t>
            </w:r>
            <w:bookmarkStart w:id="29" w:name="_GoBack"/>
            <w:bookmarkEnd w:id="29"/>
            <w:r>
              <w:rPr>
                <w:sz w:val="24"/>
                <w:szCs w:val="24"/>
              </w:rPr>
              <w:t>вский Удмуртской Республики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588</w:t>
            </w:r>
          </w:p>
        </w:tc>
      </w:tr>
    </w:tbl>
    <w:p>
      <w:pPr>
        <w:pStyle w:val="Normal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  <w:bookmarkStart w:id="30" w:name="_Hlk138943032"/>
      <w:bookmarkStart w:id="31" w:name="_Hlk138943032"/>
      <w:bookmarkEnd w:id="31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2" w:name="__RefHeading___Toc11237_200360334"/>
      <w:bookmarkStart w:id="33" w:name="_Toc75446578"/>
      <w:bookmarkStart w:id="34" w:name="_Toc51339696"/>
      <w:bookmarkEnd w:id="32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 xml:space="preserve">к срокам поставки продукции </w:t>
      </w:r>
      <w:bookmarkEnd w:id="33"/>
      <w:r>
        <w:rPr>
          <w:lang w:val="ru-RU"/>
        </w:rPr>
        <w:t>и оказания сопутствующих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_RefHeading___Toc11239_200360334"/>
      <w:bookmarkStart w:id="36" w:name="_Toc75446579"/>
      <w:bookmarkStart w:id="37" w:name="_Toc50125127"/>
      <w:bookmarkStart w:id="38" w:name="_Toc51339697"/>
      <w:bookmarkStart w:id="39" w:name="_Toc50125126_Копия_1"/>
      <w:bookmarkEnd w:id="35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sz w:val="24"/>
          <w:szCs w:val="24"/>
          <w:lang w:val="ru-RU"/>
        </w:rPr>
        <w:t>поставки продукции</w:t>
      </w:r>
      <w:bookmarkEnd w:id="36"/>
      <w:r>
        <w:rPr>
          <w:sz w:val="24"/>
          <w:szCs w:val="24"/>
          <w:lang w:val="ru-RU"/>
        </w:rPr>
        <w:t xml:space="preserve"> и оказания сопутствующих услуг</w:t>
      </w:r>
    </w:p>
    <w:tbl>
      <w:tblPr>
        <w:tblW w:w="1014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7"/>
        <w:gridCol w:w="3406"/>
        <w:gridCol w:w="2843"/>
        <w:gridCol w:w="2962"/>
      </w:tblGrid>
      <w:tr>
        <w:trPr>
          <w:trHeight w:val="851" w:hRule="atLeast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340" w:hRule="exact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/>
            </w:pPr>
            <w:bookmarkStart w:id="41" w:name="_Toc46743510_Копия_1"/>
            <w:r>
              <w:rPr>
                <w:b/>
                <w:sz w:val="24"/>
                <w:szCs w:val="24"/>
              </w:rPr>
              <w:t>4</w:t>
            </w:r>
            <w:bookmarkEnd w:id="41"/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014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7"/>
        <w:gridCol w:w="3406"/>
        <w:gridCol w:w="2843"/>
        <w:gridCol w:w="2962"/>
      </w:tblGrid>
      <w:tr>
        <w:trPr>
          <w:tblHeader w:val="true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2" w:name="_Toc46743510"/>
            <w:r>
              <w:rPr>
                <w:b/>
                <w:sz w:val="24"/>
                <w:szCs w:val="24"/>
              </w:rPr>
              <w:t>4</w:t>
            </w:r>
            <w:bookmarkEnd w:id="42"/>
          </w:p>
        </w:tc>
      </w:tr>
      <w:tr>
        <w:trPr>
          <w:trHeight w:val="454" w:hRule="atLeast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 2: 23.61.12.111 Поставка блоков фундаментных железобетонных для нужд Воткинского филиала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01.07.2027г.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Не позднее 31.07.2027г.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*срок окончания поставки продукции определен в соответствии со сроками, установленными в договоре подряда </w:t>
      </w:r>
      <w:r>
        <w:rPr>
          <w:rFonts w:eastAsia="Calibri"/>
          <w:bCs/>
          <w:sz w:val="24"/>
          <w:szCs w:val="24"/>
          <w:lang w:eastAsia="x-none"/>
        </w:rPr>
        <w:t xml:space="preserve">№4-РЕМ-2023-ВотГЭС на выполнение работ </w:t>
      </w:r>
      <w:r>
        <w:rPr>
          <w:rFonts w:eastAsia="Calibri"/>
          <w:bCs/>
          <w:sz w:val="24"/>
          <w:szCs w:val="24"/>
          <w:shd w:fill="FFFFFF" w:val="clear"/>
          <w:lang w:eastAsia="x-none"/>
        </w:rPr>
        <w:t>по капитальному и текущему ремонту оборудования, зданий, сооружений филиала ПАО «РусГидро»-«Воткинская ГЭС» от 31.10.2023г., заключенном между филиалом ПАО «РусГидро»-«Воткинская ГЭС» и Воткинским филиалом АО «Гидроремонт-ВКК» в г. Чайковский</w:t>
      </w:r>
      <w:r>
        <w:rPr>
          <w:rFonts w:eastAsia="Calibri"/>
          <w:sz w:val="24"/>
          <w:szCs w:val="24"/>
          <w:lang w:eastAsia="x-none"/>
        </w:rPr>
        <w:t>.</w:t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ind w:left="425" w:hanging="431"/>
        <w:rPr/>
      </w:pPr>
      <w:bookmarkStart w:id="43" w:name="__RefHeading___Toc11241_200360334"/>
      <w:bookmarkStart w:id="44" w:name="_Toc51339698"/>
      <w:bookmarkStart w:id="45" w:name="_Toc75446581"/>
      <w:bookmarkStart w:id="46" w:name="_Toc46743511"/>
      <w:bookmarkEnd w:id="43"/>
      <w:r>
        <w:rPr/>
        <w:t xml:space="preserve">Требования к </w:t>
      </w:r>
      <w:bookmarkEnd w:id="46"/>
      <w:r>
        <w:rPr>
          <w:lang w:val="ru-RU"/>
        </w:rPr>
        <w:t>качеству продукции</w:t>
      </w:r>
      <w:bookmarkEnd w:id="4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7" w:name="__RefHeading___Toc11243_200360334"/>
      <w:bookmarkEnd w:id="47"/>
      <w:r>
        <w:rPr>
          <w:sz w:val="24"/>
          <w:szCs w:val="24"/>
        </w:rPr>
        <w:t xml:space="preserve"> </w:t>
      </w:r>
      <w:bookmarkStart w:id="48" w:name="_Toc75446582"/>
      <w:bookmarkStart w:id="49" w:name="_Hlk124493953"/>
      <w:bookmarkEnd w:id="4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продукции</w:t>
      </w:r>
      <w:bookmarkEnd w:id="48"/>
      <w:r>
        <w:rPr>
          <w:sz w:val="24"/>
          <w:szCs w:val="24"/>
        </w:rPr>
        <w:t xml:space="preserve"> </w:t>
      </w:r>
      <w:bookmarkEnd w:id="44"/>
    </w:p>
    <w:p>
      <w:pPr>
        <w:pStyle w:val="Normal"/>
        <w:ind w:right="227" w:hanging="0"/>
        <w:jc w:val="both"/>
        <w:rPr>
          <w:rFonts w:eastAsia="Calibri"/>
          <w:b/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 ОКПД 2: 23.61.12.111 Поставка блоков фундаментных железобетонных для нужд Воткинского филиала</w:t>
      </w:r>
    </w:p>
    <w:tbl>
      <w:tblPr>
        <w:tblStyle w:val="affffa"/>
        <w:tblW w:w="15167" w:type="dxa"/>
        <w:jc w:val="left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0"/>
        <w:gridCol w:w="2821"/>
        <w:gridCol w:w="5909"/>
        <w:gridCol w:w="2858"/>
        <w:gridCol w:w="2859"/>
      </w:tblGrid>
      <w:tr>
        <w:trPr/>
        <w:tc>
          <w:tcPr>
            <w:tcW w:w="7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590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71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113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2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90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113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 / указание характеристик</w:t>
            </w:r>
          </w:p>
        </w:tc>
        <w:tc>
          <w:tcPr>
            <w:tcW w:w="285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113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27" w:hRule="atLeast"/>
        </w:trPr>
        <w:tc>
          <w:tcPr>
            <w:tcW w:w="7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90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58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58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Блок фундаментный железобетонный</w:t>
            </w:r>
          </w:p>
        </w:tc>
        <w:tc>
          <w:tcPr>
            <w:tcW w:w="5909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ФБС 24.6.6, массой 1,96 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13579-78</w:t>
            </w:r>
          </w:p>
        </w:tc>
        <w:tc>
          <w:tcPr>
            <w:tcW w:w="2858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26" w:hRule="atLeast"/>
        </w:trPr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и место поставки</w:t>
            </w:r>
          </w:p>
        </w:tc>
        <w:tc>
          <w:tcPr>
            <w:tcW w:w="5909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35" w:before="0" w:after="0"/>
              <w:ind w:left="0" w:right="-57" w:hanging="0"/>
              <w:contextualSpacing/>
              <w:jc w:val="left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Продукция должна быть доставлена и выгружена Поставщиком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 в грузовой порт поселка Волковский Удмуртской Республики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>.</w:t>
            </w:r>
          </w:p>
          <w:p>
            <w:pPr>
              <w:pStyle w:val="ListParagraph"/>
              <w:widowControl w:val="false"/>
              <w:suppressAutoHyphens w:val="true"/>
              <w:spacing w:lineRule="auto" w:line="235" w:before="0" w:after="0"/>
              <w:ind w:left="0" w:right="-57" w:hanging="0"/>
              <w:contextualSpacing/>
              <w:jc w:val="left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Дни и часы приемки продукции уточнять дополнительно.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lineRule="auto" w:line="235" w:before="0" w:after="0"/>
              <w:ind w:left="0" w:right="-57" w:hanging="0"/>
              <w:contextualSpacing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35" w:before="0" w:after="0"/>
              <w:ind w:left="0" w:right="-57" w:hanging="0"/>
              <w:contextualSpacing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5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На Продукцию устанавливается гарантийный срок, не менее 12 (двенадцати) месяцев,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pacing w:val="-4"/>
              </w:rPr>
            </w:pPr>
            <w:r>
              <w:rPr>
                <w:rFonts w:eastAsia="Times New Roman" w:cs="Times New Roman"/>
                <w:b/>
                <w:spacing w:val="-4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5909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документы о качестве;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универсальный передаточный документ;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документы, удостоверяющие гарантийные обязательства производителя, выданные производителем продукции.</w:t>
            </w:r>
          </w:p>
        </w:tc>
        <w:tc>
          <w:tcPr>
            <w:tcW w:w="2858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58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допуска на территорию, предоставляется не позднее 10-00 предыдущего рабочего дня до прибытия транспорта.</w:t>
            </w:r>
          </w:p>
        </w:tc>
        <w:tc>
          <w:tcPr>
            <w:tcW w:w="2858" w:type="dxa"/>
            <w:vMerge w:val="restart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3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85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5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85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820" w:gutter="0" w:header="568" w:top="1135" w:footer="0" w:bottom="709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50" w:name="__RefHeading___Toc11245_200360334"/>
      <w:bookmarkEnd w:id="50"/>
      <w:r>
        <w:rPr>
          <w:bCs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    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    Дополнительные документы по ценообразованию в состав заявки не включаются.</w:t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5" w:right="709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147271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16310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9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857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857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5394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14" w:customStyle="1">
    <w:name w:val="Заголовок №1_"/>
    <w:link w:val="111"/>
    <w:qFormat/>
    <w:rsid w:val="00c909ce"/>
    <w:rPr>
      <w:sz w:val="27"/>
      <w:szCs w:val="27"/>
      <w:shd w:fill="FFFFFF" w:val="clear"/>
    </w:rPr>
  </w:style>
  <w:style w:type="character" w:styleId="Style14" w:customStyle="1">
    <w:name w:val="Заголовок Знак"/>
    <w:link w:val="112"/>
    <w:qFormat/>
    <w:rsid w:val="00c5505b"/>
    <w:rPr>
      <w:b/>
      <w:sz w:val="28"/>
      <w:szCs w:val="28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Заголовок №1"/>
    <w:basedOn w:val="Normal"/>
    <w:link w:val="14"/>
    <w:qFormat/>
    <w:rsid w:val="00c909ce"/>
    <w:pPr>
      <w:shd w:val="clear" w:color="auto" w:fill="FFFFFF"/>
      <w:spacing w:lineRule="atLeast" w:line="0" w:before="0" w:after="420"/>
      <w:ind w:hanging="680"/>
      <w:outlineLvl w:val="0"/>
    </w:pPr>
    <w:rPr>
      <w:sz w:val="27"/>
      <w:szCs w:val="27"/>
    </w:rPr>
  </w:style>
  <w:style w:type="paragraph" w:styleId="112" w:customStyle="1">
    <w:name w:val="Заголовок1"/>
    <w:basedOn w:val="Normal"/>
    <w:link w:val="Style14"/>
    <w:qFormat/>
    <w:rsid w:val="00c5505b"/>
    <w:pPr>
      <w:numPr>
        <w:ilvl w:val="0"/>
        <w:numId w:val="8"/>
      </w:numPr>
      <w:spacing w:lineRule="auto" w:line="360" w:before="240" w:after="0"/>
      <w:jc w:val="center"/>
    </w:pPr>
    <w:rPr>
      <w:b/>
    </w:rPr>
  </w:style>
  <w:style w:type="paragraph" w:styleId="Style35" w:customStyle="1">
    <w:name w:val="русгидро п.п.п.п."/>
    <w:basedOn w:val="Normal"/>
    <w:qFormat/>
    <w:rsid w:val="00c5505b"/>
    <w:pPr>
      <w:numPr>
        <w:ilvl w:val="3"/>
        <w:numId w:val="8"/>
      </w:numPr>
      <w:tabs>
        <w:tab w:val="clear" w:pos="708"/>
        <w:tab w:val="left" w:pos="1843" w:leader="none"/>
      </w:tabs>
      <w:jc w:val="both"/>
    </w:pPr>
    <w:rPr/>
  </w:style>
  <w:style w:type="paragraph" w:styleId="Default" w:customStyle="1">
    <w:name w:val="Default"/>
    <w:qFormat/>
    <w:rsid w:val="00d87c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B742-5382-48CD-99BD-3CBC5B55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AlterOffice/3.4.0.9$Linux_X86_64 LibreOffice_project/b8daf9e823b1a5463a2f48435ddc2e8696e7d4fc</Application>
  <AppVersion>15.0000</AppVersion>
  <Pages>6</Pages>
  <Words>789</Words>
  <Characters>5327</Characters>
  <CharactersWithSpaces>5979</CharactersWithSpaces>
  <Paragraphs>165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2026-06-30T04:08:00Z</dcterms:created>
  <dc:creator>Быстров Олег Геннадьевич</dc:creator>
  <dc:description/>
  <dc:language>ru-RU</dc:language>
  <cp:lastModifiedBy>Нестеренко Владимир Александрович</cp:lastModifiedBy>
  <cp:lastPrinted>2006-07-26T14:04:00Z</cp:lastPrinted>
  <dcterms:modified xsi:type="dcterms:W3CDTF">2026-06-30T04:11:00Z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