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30"/>
          <w:szCs w:val="30"/>
          <w:lang w:val="ru-RU" w:eastAsia="ru-RU"/>
        </w:rPr>
      </w:pPr>
      <w:r>
        <w:rPr>
          <w:rFonts w:eastAsia="Times New Roman" w:cs="Arial" w:ascii="Arial" w:hAnsi="Arial"/>
          <w:bCs/>
          <w:sz w:val="30"/>
          <w:szCs w:val="30"/>
          <w:lang w:val="ru-RU" w:eastAsia="ru-RU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page">
              <wp:align>center</wp:align>
            </wp:positionH>
            <wp:positionV relativeFrom="paragraph">
              <wp:posOffset>8890</wp:posOffset>
            </wp:positionV>
            <wp:extent cx="1664335" cy="542290"/>
            <wp:effectExtent l="0" t="0" r="0" b="0"/>
            <wp:wrapTight wrapText="bothSides">
              <wp:wrapPolygon edited="0">
                <wp:start x="-123" y="0"/>
                <wp:lineTo x="-123" y="20849"/>
                <wp:lineTo x="21482" y="20849"/>
                <wp:lineTo x="21482" y="0"/>
                <wp:lineTo x="-123" y="0"/>
              </wp:wrapPolygon>
            </wp:wrapTight>
            <wp:docPr id="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3" t="-133" r="-43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4335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p>
      <w:pPr>
        <w:pStyle w:val="Normal"/>
        <w:widowControl w:val="false"/>
        <w:numPr>
          <w:ilvl w:val="0"/>
          <w:numId w:val="0"/>
        </w:numPr>
        <w:spacing w:before="0" w:after="0"/>
        <w:ind w:left="0" w:hanging="0"/>
        <w:contextualSpacing/>
        <w:jc w:val="center"/>
        <w:outlineLvl w:val="0"/>
        <w:rPr>
          <w:rFonts w:ascii="Arial" w:hAnsi="Arial" w:eastAsia="Times New Roman" w:cs="Arial"/>
          <w:bCs/>
          <w:sz w:val="24"/>
          <w:szCs w:val="24"/>
          <w:lang w:val="en-US"/>
        </w:rPr>
      </w:pPr>
      <w:r>
        <w:rPr>
          <w:rFonts w:eastAsia="Times New Roman" w:cs="Arial" w:ascii="Arial" w:hAnsi="Arial"/>
          <w:bCs/>
          <w:sz w:val="24"/>
          <w:szCs w:val="24"/>
          <w:lang w:val="en-US"/>
        </w:rPr>
      </w:r>
    </w:p>
    <w:tbl>
      <w:tblPr>
        <w:tblW w:w="10205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5"/>
      </w:tblGrid>
      <w:tr>
        <w:trPr>
          <w:trHeight w:val="709" w:hRule="atLeast"/>
        </w:trPr>
        <w:tc>
          <w:tcPr>
            <w:tcW w:w="10205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120" w:after="0"/>
              <w:ind w:left="0" w:hanging="0"/>
              <w:jc w:val="center"/>
              <w:outlineLvl w:val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cs="Arial" w:ascii="Arial" w:hAnsi="Arial"/>
                <w:bCs/>
                <w:sz w:val="18"/>
                <w:szCs w:val="18"/>
              </w:rPr>
              <w:t>Акционерное общество «Дальневосточная распределительная сетевая компания»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rFonts w:ascii="Arial" w:hAnsi="Arial" w:cs="Arial"/>
                <w:bCs/>
                <w:sz w:val="6"/>
                <w:szCs w:val="6"/>
              </w:rPr>
            </w:pPr>
            <w:r>
              <w:rPr>
                <w:rFonts w:cs="Arial" w:ascii="Arial" w:hAnsi="Arial"/>
                <w:bCs/>
                <w:sz w:val="6"/>
                <w:szCs w:val="6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sz w:val="18"/>
                <w:szCs w:val="18"/>
              </w:rPr>
              <w:t>ФИЛИАЛ «ЮЖНО-ЯКУТСКИЕ ЭЛЕКТРИЧЕСКИЕ СЕТИ»</w:t>
            </w:r>
          </w:p>
        </w:tc>
      </w:tr>
      <w:tr>
        <w:trPr>
          <w:trHeight w:val="227" w:hRule="atLeast"/>
        </w:trPr>
        <w:tc>
          <w:tcPr>
            <w:tcW w:w="10205" w:type="dxa"/>
            <w:tcBorders/>
            <w:vAlign w:val="center"/>
          </w:tcPr>
          <w:tbl>
            <w:tblPr>
              <w:tblW w:w="9989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89"/>
            </w:tblGrid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spacing w:before="120"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cs="Arial" w:ascii="Arial" w:hAnsi="Arial"/>
                      <w:sz w:val="18"/>
                      <w:szCs w:val="18"/>
                    </w:rPr>
                    <w:t xml:space="preserve">ул. Мельниченко, д. 4, г. Алдан, Республика Саха (Якутия), Российская Федерация, 678901  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9989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jc w:val="center"/>
                    <w:rPr/>
                  </w:pPr>
                  <w:hyperlink r:id="rId3"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doc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@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aldan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drsk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</w:rPr>
                      <w:t>.</w:t>
                    </w:r>
                    <w:r>
                      <w:rPr>
                        <w:rStyle w:val="Hyperlink"/>
                        <w:rFonts w:eastAsia="Times New Roman" w:cs="Arial" w:ascii="Arial" w:hAnsi="Arial"/>
                        <w:sz w:val="18"/>
                        <w:szCs w:val="18"/>
                        <w:lang w:val="en-US"/>
                      </w:rPr>
                      <w:t>ru</w:t>
                    </w:r>
                  </w:hyperlink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 xml:space="preserve">; 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http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://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www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drsk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</w:rPr>
                    <w:t>.</w:t>
                  </w:r>
                  <w:r>
                    <w:rPr>
                      <w:rStyle w:val="Hyperlink"/>
                      <w:rFonts w:eastAsia="Times New Roman" w:cs="Arial" w:ascii="Arial" w:hAnsi="Arial"/>
                      <w:sz w:val="18"/>
                      <w:szCs w:val="18"/>
                      <w:lang w:val="en-US"/>
                    </w:rPr>
                    <w:t>ru</w:t>
                  </w:r>
                </w:p>
              </w:tc>
            </w:tr>
          </w:tbl>
          <w:p>
            <w:pPr>
              <w:pStyle w:val="Normal"/>
              <w:widowControl w:val="false"/>
              <w:spacing w:before="120" w:after="0"/>
              <w:jc w:val="center"/>
              <w:rPr>
                <w:rStyle w:val="Hyperlink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  <w:t>ТЕХНИЧЕСКИЕ ТРЕБОВАНИЯ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/>
          <w:b/>
          <w:bCs/>
          <w:sz w:val="24"/>
          <w:szCs w:val="24"/>
          <w:u w:val="single"/>
        </w:rPr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>
          <w:rFonts w:eastAsia="Calibri" w:cs="Times New Roman"/>
          <w:b/>
          <w:sz w:val="24"/>
          <w:szCs w:val="24"/>
          <w:lang w:eastAsia="ru-RU"/>
        </w:rPr>
        <w:t>на закупку по лот</w:t>
      </w:r>
      <w:r>
        <w:rPr>
          <w:rFonts w:eastAsia="Calibri" w:cs="Times New Roman"/>
          <w:b/>
          <w:sz w:val="24"/>
          <w:szCs w:val="24"/>
          <w:shd w:fill="auto" w:val="clear"/>
          <w:lang w:eastAsia="ru-RU"/>
        </w:rPr>
        <w:t xml:space="preserve">у 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  <w:lang w:eastAsia="ru-RU"/>
        </w:rPr>
        <w:t>5093.1</w:t>
      </w:r>
    </w:p>
    <w:p>
      <w:pPr>
        <w:pStyle w:val="Normal"/>
        <w:spacing w:before="120" w:after="0"/>
        <w:ind w:left="-360" w:right="0" w:firstLine="360"/>
        <w:jc w:val="center"/>
        <w:rPr>
          <w:rFonts w:ascii="Times New Roman" w:hAnsi="Times New Roman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ОКПД2 28.13.14 Поставка насоса</w:t>
        <w:t xml:space="preserve"> канализационного и других</w:t>
        <w:t xml:space="preserve"> принадлежностей для канализации для</w:t>
        <w:t xml:space="preserve"> нужд филиала АО "ДРСК" "Южно-</w:t>
        <w:t>Якутские электрические сети"</w:t>
      </w:r>
    </w:p>
    <w:p>
      <w:pPr>
        <w:pStyle w:val="Normal"/>
        <w:spacing w:before="120" w:after="0"/>
        <w:ind w:left="-360" w:right="0" w:firstLine="360"/>
        <w:jc w:val="center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/>
      </w:r>
    </w:p>
    <w:p>
      <w:pPr>
        <w:pStyle w:val="Normal"/>
        <w:spacing w:lineRule="auto" w:line="240" w:before="0" w:after="0"/>
        <w:ind w:left="-360" w:right="0" w:hanging="0"/>
        <w:jc w:val="both"/>
        <w:rPr/>
      </w:pPr>
      <w:r>
        <w:rPr>
          <w:rFonts w:cs="Times New Roman"/>
          <w:b/>
        </w:rPr>
        <w:t xml:space="preserve">  </w:t>
      </w:r>
      <w:r>
        <w:rPr>
          <w:rFonts w:cs="Times New Roman"/>
          <w:b/>
        </w:rPr>
        <w:tab/>
        <w:tab/>
        <w:tab/>
        <w:t xml:space="preserve">  1.  Общие условия:</w:t>
      </w:r>
    </w:p>
    <w:p>
      <w:pPr>
        <w:pStyle w:val="Normal"/>
        <w:spacing w:before="0" w:after="0"/>
        <w:ind w:left="0" w:right="0" w:firstLine="709"/>
        <w:jc w:val="both"/>
        <w:rPr/>
      </w:pPr>
      <w:r>
        <w:rPr>
          <w:rFonts w:cs="Times New Roman"/>
        </w:rPr>
        <w:t>1.1</w:t>
      </w:r>
      <w:r>
        <w:rPr>
          <w:rFonts w:cs="Times New Roman"/>
          <w:b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 xml:space="preserve">Планируемый объем поставки составляет не более </w:t>
      </w:r>
      <w:r>
        <w:rPr>
          <w:rFonts w:cs="Times New Roman"/>
          <w:sz w:val="26"/>
          <w:szCs w:val="26"/>
        </w:rPr>
        <w:t>125 647,53</w:t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 xml:space="preserve"> руб. </w:t>
      </w:r>
      <w:r>
        <w:rPr>
          <w:rFonts w:cs="Times New Roman"/>
          <w:sz w:val="26"/>
          <w:szCs w:val="26"/>
        </w:rPr>
        <w:t>без НДС /</w:t>
        <w:br/>
      </w:r>
      <w:r>
        <w:rPr>
          <w:rFonts w:cs="Times New Roman"/>
          <w:b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153 289,98</w:t>
      </w:r>
      <w:r>
        <w:rPr>
          <w:rFonts w:cs="Times New Roman"/>
          <w:sz w:val="26"/>
          <w:szCs w:val="26"/>
        </w:rPr>
        <w:t xml:space="preserve"> руб. с НДС 22% на весь срок действия договора.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1.2. Все цены в предложении должны включать все налоги, транспортные расходы и другие обязательные платежи. Стоимость всех сопутствующих работ (услуг), а также все скидки, предлагаемые участником.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ListParagraph"/>
        <w:tabs>
          <w:tab w:val="clear" w:pos="286"/>
          <w:tab w:val="left" w:pos="-426" w:leader="none"/>
        </w:tabs>
        <w:spacing w:lineRule="auto" w:line="240" w:before="0" w:after="0"/>
        <w:ind w:left="0" w:right="0" w:firstLine="709"/>
        <w:contextualSpacing w:val="false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2. Требования к продукции: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highlight w:val="none"/>
          <w:shd w:fill="FFFFFF" w:val="clear"/>
        </w:rPr>
      </w:pPr>
      <w:r>
        <w:rPr>
          <w:rFonts w:cs="Times New Roman"/>
          <w:shd w:fill="FFFFFF" w:val="clear"/>
        </w:rPr>
        <w:t>2.1. Продукция (Приложение к данным техническим требованиям) должна быть новой, не ранее 2026 г. выпуска и ранее не используемой, соответствовать техническим требованиям.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highlight w:val="none"/>
          <w:shd w:fill="FFFFFF" w:val="clear"/>
        </w:rPr>
      </w:pPr>
      <w:r>
        <w:rPr>
          <w:rFonts w:cs="Times New Roman"/>
          <w:shd w:fill="FFFFFF" w:val="clear"/>
        </w:rPr>
        <w:t>2.2. Гарантийный срок на Товар, поставляемый по Договору, должен составлять не менее двенадцати месяцев от указанного на Товаре производителем срока годности с даты подписания Сторонами накладной ТОРГ-12 или УПД (универсального передаточного документа).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2.3. Поставщик должен принять во внимание, что ссылка на артикул (марку) продукции (Приложение к данным техническим требованиям), носит описательный, а не обязательный характер. В случае если Участником предлагаются эквивалент требуемой Заказчику продукции, в составе своего предложения он должен в обязательном порядке предоставить подробное техническое описание предлагаемого к поставке эквивалента, который должен соответствовать техническим требованиям предъявляемым Заказчиком. Отсутствие в составе технического предложения подробного технического описания эквивалентов продукции может являться причиной отклонения предложения Участника.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  <w:t>Эквивалентная продукция  - это продукция, которая по техническим и функциональным характеристикам не уступает характеристикам заявленной в конкурсной документации продукции, в том числе по гарантийным срокам.</w:t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firstLine="709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tabs>
          <w:tab w:val="clear" w:pos="286"/>
          <w:tab w:val="left" w:pos="567" w:leader="none"/>
        </w:tabs>
        <w:spacing w:before="0" w:after="0"/>
        <w:ind w:left="0" w:right="0" w:hanging="0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b/>
        </w:rPr>
      </w:pPr>
      <w:r>
        <w:rPr>
          <w:rFonts w:cs="Times New Roman"/>
          <w:b/>
        </w:rPr>
        <w:t>3. Требования к Участнику.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 xml:space="preserve">3.1.  Участник должен указать в составе коммерческого предложения Производителя на предлагаемую продукцию, а также в случае предложения эквивалента, представить характеристики предлагаемой продукции в объеме, достаточном для оценки предлагаемой продукции (объем, состав, назначение использования).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  <w:t>3.2 Участник в своем предложении указывает общую стоимость предложения не более начальной максимальной цены лота.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3.3 Участник в составе своего предложения предоставляет коммерческое предложении, на запрашиваемый Заказчиком перечень продукции, планируемой к приобретению согласно приложения к данному техническому требованию, с указанием стоимости продукции за одну единицу с НДС (либо без НДС, в случаи использования Участником упрощенной системы налогообложения).</w:t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</w:rPr>
        <w:t>3.4 Участник в составе своего предложения для подтверждения соответствия предоставляет заполненное коммерческое предложение, документы и прочую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firstLine="709"/>
        <w:jc w:val="both"/>
        <w:rPr/>
      </w:pPr>
      <w:r>
        <w:rPr>
          <w:rFonts w:cs="Times New Roman"/>
          <w:b/>
        </w:rPr>
        <w:t>4. Сроки поставки продукци</w:t>
      </w:r>
      <w:r>
        <w:rPr>
          <w:rFonts w:cs="Times New Roman"/>
          <w:b/>
          <w:shd w:fill="auto" w:val="clear"/>
        </w:rPr>
        <w:t xml:space="preserve">и: </w:t>
      </w:r>
      <w:r>
        <w:rPr>
          <w:rFonts w:cs="Times New Roman"/>
          <w:shd w:fill="auto" w:val="clear"/>
        </w:rPr>
        <w:t>с 2</w:t>
      </w:r>
      <w:r>
        <w:rPr>
          <w:rFonts w:cs="Times New Roman"/>
          <w:shd w:fill="auto" w:val="clear"/>
        </w:rPr>
        <w:t>6</w:t>
      </w:r>
      <w:r>
        <w:rPr>
          <w:rFonts w:cs="Times New Roman"/>
          <w:shd w:fill="auto" w:val="clear"/>
        </w:rPr>
        <w:t>.0</w:t>
      </w:r>
      <w:r>
        <w:rPr>
          <w:rFonts w:cs="Times New Roman"/>
          <w:shd w:fill="auto" w:val="clear"/>
        </w:rPr>
        <w:t>8</w:t>
      </w:r>
      <w:r>
        <w:rPr>
          <w:rFonts w:cs="Times New Roman"/>
          <w:shd w:fill="auto" w:val="clear"/>
        </w:rPr>
        <w:t xml:space="preserve">.2026 г. по </w:t>
      </w:r>
      <w:r>
        <w:rPr>
          <w:rFonts w:cs="Times New Roman"/>
          <w:shd w:fill="auto" w:val="clear"/>
        </w:rPr>
        <w:t>06.11</w:t>
      </w:r>
      <w:r>
        <w:rPr>
          <w:rFonts w:cs="Times New Roman"/>
          <w:shd w:fill="auto" w:val="clear"/>
        </w:rPr>
        <w:t>.2026 г.  с правом досрочной поставки. П</w:t>
      </w:r>
      <w:r>
        <w:rPr>
          <w:rFonts w:cs="Times New Roman"/>
        </w:rPr>
        <w:t>оставка товара осуществляется на склад Покупателя силами Поставщика в г. Алдан Республика Саха (Якутия) ул Тарабукина 60А.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>
          <w:rFonts w:cs="Times New Roman"/>
          <w:b/>
        </w:rPr>
        <w:t xml:space="preserve"> </w:t>
      </w:r>
      <w:r>
        <w:rPr>
          <w:rFonts w:cs="Times New Roman"/>
          <w:b/>
        </w:rPr>
        <w:tab/>
        <w:tab/>
        <w:t xml:space="preserve">  5. Оплата поставленной продукции</w:t>
      </w:r>
      <w:r>
        <w:rPr>
          <w:rFonts w:cs="Times New Roman"/>
        </w:rPr>
        <w:t xml:space="preserve">: </w:t>
      </w:r>
      <w:r>
        <w:rPr>
          <w:rFonts w:cs="Times New Roman"/>
          <w:sz w:val="24"/>
          <w:szCs w:val="24"/>
        </w:rPr>
        <w:t xml:space="preserve">осуществляется в течение 20 (двадцати) календарных дней </w:t>
      </w:r>
      <w:r>
        <w:rPr>
          <w:rFonts w:cs="Times New Roman"/>
          <w:sz w:val="26"/>
          <w:szCs w:val="26"/>
        </w:rPr>
        <w:t>(если Поставщик является субъектом малого и среднего предпринимательства -</w:t>
      </w:r>
      <w:bookmarkStart w:id="0" w:name="_GoBack1"/>
      <w:bookmarkEnd w:id="0"/>
      <w:r>
        <w:rPr>
          <w:rFonts w:cs="Times New Roman"/>
          <w:sz w:val="26"/>
          <w:szCs w:val="26"/>
        </w:rPr>
        <w:t xml:space="preserve"> в течение 7 (семи) рабочих дней) с даты поставки товара и подписания Сторонами Накладной ТОРГ-12 или УПД.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               </w:t>
      </w:r>
    </w:p>
    <w:p>
      <w:pPr>
        <w:pStyle w:val="Normal"/>
        <w:spacing w:lineRule="auto" w:line="240" w:before="0" w:after="0"/>
        <w:ind w:left="0" w:right="0" w:hanging="0"/>
        <w:jc w:val="both"/>
        <w:rPr/>
      </w:pPr>
      <w:r>
        <w:rPr/>
      </w:r>
    </w:p>
    <w:p>
      <w:pPr>
        <w:pStyle w:val="Normal"/>
        <w:spacing w:before="120" w:after="0"/>
        <w:ind w:left="-360" w:right="0" w:firstLine="360"/>
        <w:jc w:val="center"/>
        <w:rPr>
          <w:rFonts w:ascii="Liberation Serif" w:hAnsi="Liberation Serif"/>
          <w:b/>
          <w:bCs/>
          <w:i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pPr>
      <w:r>
        <w:rPr>
          <w:rFonts w:ascii="Liberation Serif" w:hAnsi="Liberation Serif"/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</w:r>
    </w:p>
    <w:p>
      <w:pPr>
        <w:pStyle w:val="Normal"/>
        <w:jc w:val="center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PlainText"/>
        <w:spacing w:before="120" w:after="0"/>
        <w:ind w:left="0" w:right="0" w:firstLine="709"/>
        <w:rPr>
          <w:b w:val="false"/>
          <w:bCs w:val="false"/>
          <w:i/>
          <w:i/>
          <w:iCs/>
          <w:sz w:val="26"/>
          <w:szCs w:val="26"/>
        </w:rPr>
      </w:pPr>
      <w:r>
        <w:rPr>
          <w:b w:val="false"/>
          <w:bCs w:val="false"/>
          <w:i/>
          <w:iCs/>
          <w:sz w:val="26"/>
          <w:szCs w:val="26"/>
        </w:rPr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spacing w:before="120" w:after="0"/>
        <w:ind w:left="0" w:right="0" w:firstLine="709"/>
        <w:rPr/>
      </w:pPr>
      <w:r>
        <w:rPr/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uraskin-av</w:t>
      </w:r>
      <w:hyperlink r:id="rId4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footerReference w:type="default" r:id="rId5"/>
      <w:footerReference w:type="first" r:id="rId6"/>
      <w:type w:val="nextPage"/>
      <w:pgSz w:w="11906" w:h="16838"/>
      <w:pgMar w:left="1134" w:right="567" w:gutter="0" w:header="0" w:top="1134" w:footer="1134" w:bottom="155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286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Calibri" w:cs="Times New Roman"/>
      <w:color w:val="auto"/>
      <w:kern w:val="0"/>
      <w:sz w:val="26"/>
      <w:szCs w:val="26"/>
      <w:lang w:val="ru-RU" w:eastAsia="zh-CN" w:bidi="ar-SA"/>
    </w:rPr>
  </w:style>
  <w:style w:type="character" w:styleId="Style9">
    <w:name w:val="Основной шрифт абзаца"/>
    <w:qFormat/>
    <w:rPr/>
  </w:style>
  <w:style w:type="character" w:styleId="Style10">
    <w:name w:val="Текст выноски Знак"/>
    <w:qFormat/>
    <w:rPr>
      <w:rFonts w:ascii="Tahoma" w:hAnsi="Tahoma" w:eastAsia="Calibri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styleId="Style11">
    <w:name w:val="Верх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character" w:styleId="Style12">
    <w:name w:val="Нижний колонтитул Знак"/>
    <w:qFormat/>
    <w:rPr>
      <w:rFonts w:ascii="Times New Roman" w:hAnsi="Times New Roman" w:eastAsia="Calibri" w:cs="Times New Roman"/>
      <w:sz w:val="26"/>
      <w:szCs w:val="26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  <w:style w:type="paragraph" w:styleId="Style15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6">
    <w:name w:val="Колонтитул"/>
    <w:basedOn w:val="Normal"/>
    <w:qFormat/>
    <w:pPr>
      <w:suppressLineNumbers/>
      <w:tabs>
        <w:tab w:val="clear" w:pos="286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PlainText">
    <w:name w:val="Plain Text"/>
    <w:basedOn w:val="Normal"/>
    <w:qFormat/>
    <w:pPr>
      <w:jc w:val="left"/>
    </w:pPr>
    <w:rPr>
      <w:rFonts w:eastAsia="Calibri" w:cs="Lohit Devanagari"/>
      <w:sz w:val="28"/>
      <w:szCs w:val="21"/>
      <w:lang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doc@aldan.drsk.ru" TargetMode="External"/><Relationship Id="rId4" Type="http://schemas.openxmlformats.org/officeDocument/2006/relationships/hyperlink" Target="mailto:fedotov@aldan.drsk.ru" TargetMode="Externa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275</TotalTime>
  <Application>AlterOffice/2025.3.1.0$Linux_X86_64 LibreOffice_project/431cd1b79110582f53535c95ed0a2449aadc8bf9</Application>
  <AppVersion>15.0000</AppVersion>
  <Pages>2</Pages>
  <Words>492</Words>
  <Characters>3484</Characters>
  <CharactersWithSpaces>3988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2023-08-01T11:05:00Z</dcterms:created>
  <dc:creator>Фоменко Светлана Анатольевна</dc:creator>
  <dc:description/>
  <dc:language>ru-RU</dc:language>
  <cp:lastModifiedBy>uraskin_av</cp:lastModifiedBy>
  <cp:lastPrinted>2026-01-15T14:23:38Z</cp:lastPrinted>
  <dcterms:modified xsi:type="dcterms:W3CDTF">2026-07-03T10:25:04Z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