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hd w:val="clear" w:fill="FFFFFF"/>
        <w:spacing w:lineRule="auto" w:line="360" w:before="0" w:after="0"/>
        <w:ind w:left="5529" w:firstLine="844"/>
        <w:rPr>
          <w:rFonts w:ascii="Times New Roman" w:hAnsi="Times New Roman" w:cs="Times New Roman"/>
          <w:sz w:val="24"/>
          <w:szCs w:val="24"/>
          <w:highlight w:val="none"/>
          <w:shd w:fill="FFFFFF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/>
          <w:sz w:val="26"/>
          <w:szCs w:val="26"/>
          <w:shd w:fill="FFFFFF" w:val="clear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/>
          <w:sz w:val="26"/>
          <w:szCs w:val="26"/>
          <w:shd w:fill="FFFFFF" w:val="clear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/>
          <w:sz w:val="26"/>
          <w:szCs w:val="26"/>
          <w:shd w:fill="FFFFFF" w:val="clear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/>
          <w:sz w:val="26"/>
          <w:szCs w:val="26"/>
          <w:shd w:fill="FFFFFF" w:val="clear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/>
          <w:sz w:val="26"/>
          <w:szCs w:val="26"/>
          <w:shd w:fill="FFFFFF" w:val="clear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/>
          <w:sz w:val="26"/>
          <w:szCs w:val="26"/>
          <w:shd w:fill="FFFFFF" w:val="clear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hd w:val="clear" w:fill="FFFFFF"/>
        <w:spacing w:lineRule="auto" w:line="240" w:before="0" w:after="0"/>
        <w:ind w:left="0" w:hanging="0"/>
        <w:jc w:val="center"/>
        <w:outlineLvl w:val="0"/>
        <w:rPr>
          <w:highlight w:val="none"/>
          <w:shd w:fill="FFFFFF" w:val="clear"/>
        </w:rPr>
      </w:pPr>
      <w:bookmarkStart w:id="0" w:name="__RefHeading___Toc15_2595869219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shd w:val="clear" w:fill="FFFFFF"/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widowControl w:val="false"/>
        <w:shd w:val="clear" w:fill="FFFFFF"/>
        <w:spacing w:lineRule="exact" w:line="331" w:before="0" w:after="263"/>
        <w:ind w:left="60" w:hanging="0"/>
        <w:jc w:val="center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ОКПД2 27.33. Поставка изделий электроустановочных для нужд Саратовского филиала</w:t>
      </w:r>
    </w:p>
    <w:p>
      <w:pPr>
        <w:pStyle w:val="Normal"/>
        <w:keepNext w:val="true"/>
        <w:keepLines/>
        <w:shd w:val="clear" w:fill="FFFFFF"/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  <w:lang w:eastAsia="ru-RU"/>
        </w:rPr>
        <w:t xml:space="preserve">Лот № </w:t>
      </w: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</w:r>
    </w:p>
    <w:p>
      <w:pPr>
        <w:pStyle w:val="TOCHeading"/>
        <w:shd w:val="clear" w:fill="FFFFFF"/>
        <w:rPr>
          <w:highlight w:val="none"/>
          <w:shd w:fill="FFFFFF" w:val="clear"/>
        </w:rPr>
      </w:pPr>
      <w:r>
        <w:rPr>
          <w:color w:val="000000"/>
          <w:u w:val="single"/>
          <w:shd w:fill="FFFFFF" w:val="clear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shd w:fill="FFFFFF" w:val="clear"/>
            <w:tabs>
              <w:tab w:val="clear" w:pos="708"/>
              <w:tab w:val="right" w:pos="10488" w:leader="dot"/>
            </w:tabs>
            <w:rPr/>
          </w:pPr>
          <w:r>
            <w:fldChar w:fldCharType="begin"/>
          </w:r>
          <w:r>
            <w:rPr>
              <w:rStyle w:val="Style22"/>
              <w:shd w:fill="FFFFFF" w:val="clear"/>
            </w:rPr>
            <w:instrText xml:space="preserve"> TOC \f \o "1-9" \h</w:instrText>
          </w:r>
          <w:r>
            <w:rPr>
              <w:rStyle w:val="Style22"/>
              <w:shd w:fill="FFFFFF" w:val="clear"/>
            </w:rPr>
            <w:fldChar w:fldCharType="separate"/>
          </w:r>
          <w:hyperlink w:anchor="__RefHeading___Toc15_2595869219">
            <w:r>
              <w:rPr>
                <w:rStyle w:val="Style22"/>
                <w:shd w:fill="FFFFFF" w:val="clear"/>
              </w:rPr>
              <w:t xml:space="preserve"> </w:t>
            </w:r>
          </w:hyperlink>
          <w:hyperlink w:anchor="__RefHeading___Toc10388_3983621803">
            <w:r>
              <w:rPr>
                <w:rStyle w:val="Style22"/>
                <w:shd w:fill="FFFFFF" w:val="clear"/>
              </w:rPr>
              <w:t>1. Общие сведения</w:t>
              <w:tab/>
              <w:t>3</w:t>
            </w:r>
          </w:hyperlink>
        </w:p>
        <w:p>
          <w:pPr>
            <w:pStyle w:val="TOC4"/>
            <w:shd w:val="clear" w:fill="FFFFFF"/>
            <w:tabs>
              <w:tab w:val="clear" w:pos="708"/>
              <w:tab w:val="right" w:pos="10488" w:leader="dot"/>
            </w:tabs>
            <w:rPr/>
          </w:pPr>
          <w:hyperlink w:anchor="__RefHeading___Toc10390_3983621803">
            <w:r>
              <w:rPr>
                <w:rStyle w:val="Style22"/>
                <w:shd w:fill="FFFFFF" w:val="clear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shd w:val="clear" w:fill="FFFFFF"/>
            <w:tabs>
              <w:tab w:val="clear" w:pos="708"/>
              <w:tab w:val="right" w:pos="10488" w:leader="dot"/>
            </w:tabs>
            <w:rPr/>
          </w:pPr>
          <w:hyperlink w:anchor="__RefHeading___Toc10392_3983621803">
            <w:r>
              <w:rPr>
                <w:rStyle w:val="Style22"/>
                <w:shd w:fill="FFFFFF" w:val="clear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shd w:val="clear" w:fill="FFFFFF"/>
            <w:tabs>
              <w:tab w:val="clear" w:pos="708"/>
              <w:tab w:val="right" w:pos="10488" w:leader="dot"/>
            </w:tabs>
            <w:rPr/>
          </w:pPr>
          <w:hyperlink w:anchor="__RefHeading___Toc10394_3983621803">
            <w:r>
              <w:rPr>
                <w:rStyle w:val="Style22"/>
                <w:shd w:fill="FFFFFF" w:val="clear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shd w:val="clear" w:fill="FFFFFF"/>
            <w:tabs>
              <w:tab w:val="clear" w:pos="708"/>
              <w:tab w:val="right" w:pos="10488" w:leader="dot"/>
            </w:tabs>
            <w:rPr/>
          </w:pPr>
          <w:hyperlink w:anchor="__RefHeading___Toc10396_3983621803">
            <w:r>
              <w:rPr>
                <w:rStyle w:val="Style22"/>
                <w:shd w:fill="FFFFFF" w:val="clear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shd w:val="clear" w:fill="FFFFFF"/>
            <w:tabs>
              <w:tab w:val="clear" w:pos="708"/>
              <w:tab w:val="right" w:pos="10488" w:leader="dot"/>
            </w:tabs>
            <w:rPr/>
          </w:pPr>
          <w:hyperlink w:anchor="__RefHeading___Toc10398_3983621803">
            <w:r>
              <w:rPr>
                <w:rStyle w:val="Style22"/>
                <w:shd w:fill="FFFFFF" w:val="clear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shd w:val="clear" w:fill="FFFFFF"/>
            <w:tabs>
              <w:tab w:val="clear" w:pos="708"/>
              <w:tab w:val="right" w:pos="10488" w:leader="dot"/>
            </w:tabs>
            <w:rPr/>
          </w:pPr>
          <w:hyperlink w:anchor="__RefHeading___Toc10400_3983621803">
            <w:r>
              <w:rPr>
                <w:rStyle w:val="Style22"/>
                <w:shd w:fill="FFFFFF" w:val="clear"/>
              </w:rPr>
              <w:t xml:space="preserve"> </w:t>
            </w:r>
            <w:r>
              <w:rPr>
                <w:rStyle w:val="Style22"/>
                <w:shd w:fill="FFFFFF" w:val="clear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shd w:val="clear" w:fill="FFFFFF"/>
            <w:tabs>
              <w:tab w:val="clear" w:pos="708"/>
              <w:tab w:val="right" w:pos="10488" w:leader="dot"/>
            </w:tabs>
            <w:rPr/>
          </w:pPr>
          <w:hyperlink w:anchor="__RefHeading___Toc10402_3983621803">
            <w:r>
              <w:rPr>
                <w:rStyle w:val="Style22"/>
                <w:shd w:fill="FFFFFF" w:val="clear"/>
              </w:rPr>
              <w:t>2.1.2. Требования к срокам поставки продукции</w:t>
              <w:tab/>
            </w:r>
          </w:hyperlink>
          <w:r>
            <w:rPr>
              <w:shd w:fill="FFFFFF" w:val="clear"/>
            </w:rPr>
            <w:t>26</w:t>
          </w:r>
        </w:p>
        <w:p>
          <w:pPr>
            <w:pStyle w:val="TOC1"/>
            <w:shd w:val="clear" w:fill="FFFFFF"/>
            <w:tabs>
              <w:tab w:val="clear" w:pos="708"/>
              <w:tab w:val="right" w:pos="10488" w:leader="dot"/>
            </w:tabs>
            <w:rPr/>
          </w:pPr>
          <w:hyperlink w:anchor="__RefHeading___Toc10404_3983621803">
            <w:r>
              <w:rPr>
                <w:rStyle w:val="Style22"/>
                <w:shd w:fill="FFFFFF" w:val="clear"/>
              </w:rPr>
              <w:t xml:space="preserve"> </w:t>
            </w:r>
            <w:r>
              <w:rPr>
                <w:rStyle w:val="Style22"/>
                <w:shd w:fill="FFFFFF" w:val="clear"/>
              </w:rPr>
              <w:t>Таблица 2.1 Требования по срокам поставки продукции</w:t>
              <w:tab/>
            </w:r>
          </w:hyperlink>
          <w:r>
            <w:rPr>
              <w:shd w:fill="FFFFFF" w:val="clear"/>
            </w:rPr>
            <w:t>26</w:t>
          </w:r>
        </w:p>
        <w:p>
          <w:pPr>
            <w:pStyle w:val="TOC4"/>
            <w:shd w:val="clear" w:fill="FFFFFF"/>
            <w:tabs>
              <w:tab w:val="clear" w:pos="708"/>
              <w:tab w:val="right" w:pos="10488" w:leader="dot"/>
            </w:tabs>
            <w:rPr/>
          </w:pPr>
          <w:hyperlink w:anchor="__RefHeading___Toc10406_3983621803">
            <w:r>
              <w:rPr>
                <w:rStyle w:val="Style22"/>
                <w:shd w:fill="FFFFFF" w:val="clear"/>
              </w:rPr>
              <w:t>2.2. Требования к качеству продукции</w:t>
              <w:tab/>
            </w:r>
          </w:hyperlink>
          <w:r>
            <w:rPr>
              <w:shd w:fill="FFFFFF" w:val="clear"/>
            </w:rPr>
            <w:t>27</w:t>
          </w:r>
        </w:p>
        <w:p>
          <w:pPr>
            <w:pStyle w:val="TOC1"/>
            <w:shd w:val="clear" w:fill="FFFFFF"/>
            <w:tabs>
              <w:tab w:val="clear" w:pos="708"/>
              <w:tab w:val="right" w:pos="10488" w:leader="dot"/>
            </w:tabs>
            <w:rPr/>
          </w:pPr>
          <w:hyperlink w:anchor="__RefHeading___Toc10408_3983621803">
            <w:r>
              <w:rPr>
                <w:rStyle w:val="Style22"/>
                <w:shd w:fill="FFFFFF" w:val="clear"/>
              </w:rPr>
              <w:t xml:space="preserve"> </w:t>
            </w:r>
            <w:r>
              <w:rPr>
                <w:rStyle w:val="Style22"/>
                <w:shd w:fill="FFFFFF" w:val="clear"/>
              </w:rPr>
              <w:t>Таблица 3. Требования к продукции</w:t>
              <w:tab/>
            </w:r>
          </w:hyperlink>
          <w:r>
            <w:rPr>
              <w:shd w:fill="FFFFFF" w:val="clear"/>
            </w:rPr>
            <w:t>124</w:t>
          </w:r>
        </w:p>
        <w:p>
          <w:pPr>
            <w:pStyle w:val="TOC4"/>
            <w:shd w:val="clear" w:fill="FFFFFF"/>
            <w:tabs>
              <w:tab w:val="clear" w:pos="708"/>
              <w:tab w:val="right" w:pos="10488" w:leader="dot"/>
            </w:tabs>
            <w:rPr/>
          </w:pPr>
          <w:hyperlink w:anchor="__RefHeading___Toc10410_3983621803">
            <w:r>
              <w:rPr>
                <w:rStyle w:val="Style22"/>
                <w:shd w:fill="FFFFFF" w:val="clear"/>
              </w:rPr>
              <w:t>3. Требования к документации по ценообразованию на этапе закупки</w:t>
              <w:tab/>
            </w:r>
          </w:hyperlink>
          <w:r>
            <w:rPr>
              <w:shd w:fill="FFFFFF" w:val="clear"/>
            </w:rPr>
            <w:t>125</w:t>
          </w:r>
          <w:r>
            <w:rPr>
              <w:shd w:fill="FFFFFF" w:val="clear"/>
            </w:rPr>
            <w:fldChar w:fldCharType="end"/>
          </w:r>
        </w:p>
      </w:sdtContent>
    </w:sdt>
    <w:p>
      <w:pPr>
        <w:pStyle w:val="Heading1"/>
        <w:numPr>
          <w:ilvl w:val="0"/>
          <w:numId w:val="13"/>
        </w:numPr>
        <w:shd w:fill="FFFFFF" w:val="clea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shd w:val="clear" w:fill="FFFFFF"/>
        <w:rPr>
          <w:highlight w:val="none"/>
          <w:shd w:fill="FFFFFF" w:val="clear"/>
          <w:lang w:eastAsia="ru-RU"/>
        </w:rPr>
      </w:pPr>
      <w:r>
        <w:rPr>
          <w:shd w:fill="FFFFFF" w:val="clear"/>
          <w:lang w:eastAsia="ru-RU"/>
        </w:rPr>
      </w:r>
    </w:p>
    <w:p>
      <w:pPr>
        <w:pStyle w:val="Normal"/>
        <w:keepNext w:val="true"/>
        <w:keepLines/>
        <w:numPr>
          <w:ilvl w:val="0"/>
          <w:numId w:val="12"/>
        </w:numPr>
        <w:shd w:val="clear" w:fill="FFFFFF"/>
        <w:spacing w:lineRule="auto" w:line="240" w:before="120" w:after="60"/>
        <w:ind w:left="357" w:hanging="357"/>
        <w:jc w:val="center"/>
        <w:outlineLvl w:val="0"/>
        <w:rPr>
          <w:highlight w:val="none"/>
          <w:shd w:fill="FFFFFF" w:val="clear"/>
        </w:rPr>
      </w:pPr>
      <w:bookmarkStart w:id="1" w:name="__RefHeading___Toc10388_3983621803"/>
      <w:bookmarkEnd w:id="1"/>
      <w:r>
        <w:rPr>
          <w:rFonts w:cs="Times New Roman" w:ascii="Times New Roman" w:hAnsi="Times New Roman"/>
          <w:b/>
          <w:iCs/>
          <w:sz w:val="24"/>
          <w:szCs w:val="24"/>
          <w:shd w:fill="FFFFFF" w:val="clear"/>
        </w:rPr>
        <w:t>Общие сведения</w:t>
      </w:r>
    </w:p>
    <w:p>
      <w:pPr>
        <w:pStyle w:val="Normal"/>
        <w:keepNext w:val="true"/>
        <w:numPr>
          <w:ilvl w:val="1"/>
          <w:numId w:val="3"/>
        </w:numPr>
        <w:shd w:val="clear" w:fill="FFFFFF"/>
        <w:spacing w:lineRule="auto" w:line="240" w:before="120" w:after="60"/>
        <w:outlineLvl w:val="3"/>
        <w:rPr>
          <w:highlight w:val="none"/>
          <w:shd w:fill="FFFFFF" w:val="clear"/>
        </w:rPr>
      </w:pPr>
      <w:bookmarkStart w:id="2" w:name="__RefHeading___Toc10390_3983621803"/>
      <w:bookmarkEnd w:id="2"/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Наименование закупаемой продукции</w:t>
      </w:r>
    </w:p>
    <w:p>
      <w:pPr>
        <w:pStyle w:val="Normal"/>
        <w:widowControl w:val="false"/>
        <w:shd w:val="clear" w:fill="FFFFFF"/>
        <w:tabs>
          <w:tab w:val="clear" w:pos="708"/>
          <w:tab w:val="left" w:pos="426" w:leader="none"/>
        </w:tabs>
        <w:spacing w:lineRule="auto" w:line="240" w:before="120" w:after="12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ОКПД2 27.33. Поставка изделий электроустановочных для нужд Саратовского филиала.</w:t>
      </w:r>
    </w:p>
    <w:p>
      <w:pPr>
        <w:pStyle w:val="Normal"/>
        <w:keepNext w:val="true"/>
        <w:numPr>
          <w:ilvl w:val="1"/>
          <w:numId w:val="3"/>
        </w:numPr>
        <w:shd w:val="clear" w:fill="FFFFFF"/>
        <w:spacing w:lineRule="auto" w:line="240" w:before="240" w:after="60"/>
        <w:ind w:left="431" w:hanging="431"/>
        <w:outlineLvl w:val="3"/>
        <w:rPr>
          <w:highlight w:val="none"/>
          <w:shd w:fill="FFFFFF" w:val="clear"/>
        </w:rPr>
      </w:pPr>
      <w:bookmarkStart w:id="3" w:name="__RefHeading___Toc10392_3983621803"/>
      <w:bookmarkEnd w:id="3"/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Цель использования закупаемой продукции  </w:t>
      </w:r>
    </w:p>
    <w:p>
      <w:pPr>
        <w:pStyle w:val="Normal"/>
        <w:widowControl w:val="false"/>
        <w:shd w:val="clear" w:fill="FFFFFF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Выполнение работ по следующим Договорам:</w:t>
      </w:r>
    </w:p>
    <w:p>
      <w:pPr>
        <w:pStyle w:val="Normal"/>
        <w:widowControl w:val="false"/>
        <w:shd w:val="clear" w:fill="FFFFFF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1.2.1 Договор №1300-355-2023 от 03.11.2023 г. Капитальный и текущий ремонт оборудования, зданий и сооружений для нужд Филиала ПАО "РусГидро" - "Саратовская ГЭС", заключенный между ПАО «РусГидро»  и АО «Гидроремонт-ВКК»;</w:t>
      </w:r>
    </w:p>
    <w:p>
      <w:pPr>
        <w:pStyle w:val="Normal"/>
        <w:widowControl w:val="false"/>
        <w:shd w:val="clear" w:fill="FFFFFF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1.2.2</w:t>
      </w:r>
      <w:r>
        <w:rPr>
          <w:rFonts w:ascii="Times New Roman" w:hAnsi="Times New Roman"/>
          <w:color w:val="000000"/>
          <w:shd w:fill="FFFFFF" w:val="clear"/>
        </w:rPr>
        <w:t xml:space="preserve"> Договор №</w:t>
      </w:r>
      <w:r>
        <w:rPr>
          <w:rFonts w:ascii="Times New Roman" w:hAnsi="Times New Roman"/>
          <w:color w:val="000000"/>
          <w:sz w:val="24"/>
          <w:shd w:fill="FFFFFF" w:val="clear"/>
        </w:rPr>
        <w:t>1300-461-2023 от 27.12.2023г.</w:t>
      </w:r>
      <w:r>
        <w:rPr>
          <w:rFonts w:ascii="Times New Roman" w:hAnsi="Times New Roman"/>
          <w:color w:val="000000"/>
          <w:shd w:fill="FFFFFF" w:val="clear"/>
        </w:rPr>
        <w:t> </w:t>
      </w:r>
      <w:r>
        <w:rPr>
          <w:rFonts w:ascii="Times New Roman" w:hAnsi="Times New Roman"/>
          <w:color w:val="000000"/>
          <w:sz w:val="24"/>
          <w:shd w:fill="FFFFFF" w:val="clear"/>
        </w:rPr>
        <w:t>на оказание услуг по техническому обслуживанию оборудования зданий, сооружений филиала ПАО «РусГидро» - «Саратовская ГЭС»,заключенный между АО «Гидроремонт-ВКК» и филиалом ПАО «РусГидро»-«Саратовская ГЭС»;</w:t>
      </w:r>
    </w:p>
    <w:p>
      <w:pPr>
        <w:pStyle w:val="Normal"/>
        <w:widowControl w:val="false"/>
        <w:shd w:val="clear" w:fill="FFFFFF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color w:val="000000"/>
          <w:sz w:val="24"/>
          <w:shd w:fill="FFFFFF" w:val="clear"/>
        </w:rPr>
        <w:t xml:space="preserve">1.2.3 </w:t>
      </w:r>
      <w:r>
        <w:rPr>
          <w:rFonts w:ascii="Times New Roman;serif" w:hAnsi="Times New Roman;serif"/>
          <w:color w:val="212121"/>
          <w:sz w:val="24"/>
          <w:shd w:fill="FFFFFF" w:val="clear"/>
        </w:rPr>
        <w:t xml:space="preserve"> Договор </w:t>
      </w:r>
      <w:r>
        <w:rPr>
          <w:rFonts w:cs="Times New Roman" w:ascii="Times New Roman" w:hAnsi="Times New Roman"/>
          <w:color w:val="212121"/>
          <w:sz w:val="24"/>
          <w:szCs w:val="24"/>
          <w:shd w:fill="FFFFFF" w:val="clear"/>
        </w:rPr>
        <w:t>№ 868 от 31.10.2023 г. на выполнение работ по модернизации гидроагрегата ст. №18 филиала ПАО «РусГидро» - «Саратовская ГЭС»,заключенный между АО «Гидроремонт-ВКК» и АО «Тяжмаш».</w:t>
      </w:r>
    </w:p>
    <w:p>
      <w:pPr>
        <w:pStyle w:val="BodyText"/>
        <w:shd w:val="clear" w:fill="FFFFFF"/>
        <w:jc w:val="left"/>
        <w:rPr>
          <w:highlight w:val="none"/>
          <w:shd w:fill="FFFFFF" w:val="clear"/>
        </w:rPr>
      </w:pPr>
      <w:r>
        <w:rPr>
          <w:color w:val="212121"/>
          <w:sz w:val="24"/>
          <w:szCs w:val="24"/>
          <w:shd w:fill="FFFFFF" w:val="clear"/>
        </w:rPr>
        <w:t>1.2.4</w:t>
      </w:r>
      <w:r>
        <w:rPr>
          <w:color w:val="000000"/>
          <w:sz w:val="24"/>
          <w:szCs w:val="24"/>
          <w:shd w:fill="FFFFFF" w:val="clear"/>
        </w:rPr>
        <w:t xml:space="preserve">  Договор №1300-425-2025 «Возмездное оказание услуг по эксплуатации подъемных сооружений и рельсовых путей для нужд Филиала ПАО "РусГидро" - "Саратовская ГЭС", заключенный между АО «Гидроремонт-ВКК» и ПАО «РусГидро» - «Саратовская ГЭС».</w:t>
      </w:r>
    </w:p>
    <w:p>
      <w:pPr>
        <w:pStyle w:val="Normal"/>
        <w:keepNext w:val="true"/>
        <w:keepLines/>
        <w:numPr>
          <w:ilvl w:val="0"/>
          <w:numId w:val="3"/>
        </w:numPr>
        <w:shd w:val="clear" w:fill="FFFFFF"/>
        <w:spacing w:lineRule="auto" w:line="240" w:before="120" w:after="60"/>
        <w:ind w:left="357" w:hanging="357"/>
        <w:jc w:val="center"/>
        <w:outlineLvl w:val="0"/>
        <w:rPr>
          <w:highlight w:val="none"/>
          <w:shd w:fill="FFFFFF" w:val="clear"/>
        </w:rPr>
      </w:pPr>
      <w:bookmarkStart w:id="4" w:name="__RefHeading___Toc10394_3983621803"/>
      <w:bookmarkEnd w:id="4"/>
      <w:r>
        <w:rPr>
          <w:rFonts w:cs="Times New Roman" w:ascii="Times New Roman" w:hAnsi="Times New Roman"/>
          <w:b/>
          <w:iCs/>
          <w:sz w:val="28"/>
          <w:szCs w:val="28"/>
          <w:shd w:fill="FFFFFF" w:val="clear"/>
        </w:rPr>
        <w:t>Требования к продукции</w:t>
      </w:r>
    </w:p>
    <w:p>
      <w:pPr>
        <w:pStyle w:val="Normal"/>
        <w:keepNext w:val="true"/>
        <w:numPr>
          <w:ilvl w:val="1"/>
          <w:numId w:val="3"/>
        </w:numPr>
        <w:shd w:val="clear" w:fill="FFFFFF"/>
        <w:spacing w:lineRule="auto" w:line="240" w:before="120" w:after="60"/>
        <w:outlineLvl w:val="3"/>
        <w:rPr>
          <w:highlight w:val="none"/>
          <w:shd w:fill="FFFFFF" w:val="clear"/>
        </w:rPr>
      </w:pPr>
      <w:bookmarkStart w:id="5" w:name="__RefHeading___Toc10396_3983621803"/>
      <w:bookmarkEnd w:id="5"/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Требования к объемам и срокам поставки</w:t>
      </w:r>
    </w:p>
    <w:p>
      <w:pPr>
        <w:pStyle w:val="Normal"/>
        <w:keepNext w:val="true"/>
        <w:numPr>
          <w:ilvl w:val="2"/>
          <w:numId w:val="3"/>
        </w:numPr>
        <w:shd w:val="clear" w:fill="FFFFFF"/>
        <w:spacing w:lineRule="auto" w:line="240" w:before="120" w:after="60"/>
        <w:outlineLvl w:val="2"/>
        <w:rPr>
          <w:highlight w:val="none"/>
          <w:shd w:fill="FFFFFF" w:val="clear"/>
        </w:rPr>
      </w:pPr>
      <w:bookmarkStart w:id="6" w:name="__RefHeading___Toc10398_3983621803"/>
      <w:bookmarkEnd w:id="6"/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Перечень и объем закупаемой продукции</w:t>
      </w:r>
    </w:p>
    <w:p>
      <w:pPr>
        <w:pStyle w:val="Normal"/>
        <w:keepNext w:val="true"/>
        <w:keepLines/>
        <w:numPr>
          <w:ilvl w:val="0"/>
          <w:numId w:val="0"/>
        </w:numPr>
        <w:shd w:val="clear" w:fill="FFFFFF"/>
        <w:spacing w:lineRule="auto" w:line="240" w:before="240" w:after="60"/>
        <w:ind w:left="0" w:hanging="0"/>
        <w:outlineLvl w:val="0"/>
        <w:rPr>
          <w:highlight w:val="none"/>
          <w:shd w:fill="FFFFFF" w:val="clear"/>
        </w:rPr>
      </w:pPr>
      <w:bookmarkStart w:id="7" w:name="__RefHeading___Toc10400_3983621803"/>
      <w:bookmarkEnd w:id="7"/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Таблица 1.1 Перечень и объем закупаемой продукции</w:t>
      </w:r>
    </w:p>
    <w:tbl>
      <w:tblPr>
        <w:tblW w:w="10768" w:type="dxa"/>
        <w:jc w:val="left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3978"/>
        <w:gridCol w:w="1276"/>
        <w:gridCol w:w="1631"/>
        <w:gridCol w:w="3302"/>
      </w:tblGrid>
      <w:tr>
        <w:trPr/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п/п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Единица измерения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Количество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Примечание</w:t>
            </w:r>
          </w:p>
        </w:tc>
      </w:tr>
      <w:tr>
        <w:trPr>
          <w:trHeight w:val="218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5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Выключатель автоматический Legrand DX3 AC 32А D 3P 10кА 400В IP20 на DIN-рейку 408092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2.25-Рем-2021-СарГЭС-1 шт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Выключатель автоматический Schneider Electric C120N A9N18367 C 380В 100А 3P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2.25-Рем-2021-СарГЭС-2 шт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Выключатель автоматический MS325-6.3 4-6.3А 100кА (вспомогательные контакты для фронтальной установки 1НО+1НЗ)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2.26-Рем-2025-СарГЭС-1 шт </w:t>
              <w:br/>
              <w:t xml:space="preserve">2.27-Рем-2025-СарГЭС-1 шт </w:t>
              <w:br/>
              <w:t xml:space="preserve">2.28-Рем-2025-СарГЭС-1 шт </w:t>
              <w:br/>
              <w:t xml:space="preserve">2.29-Рем-2025-СарГЭС-1 шт </w:t>
              <w:br/>
              <w:t>2.30-Рем-2025-СарГЭС-1 шт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Выключатель автоматический Schneider Electric iC60N 63А C 3P 6кА 400В A9F79363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6.20-Рем-2025-СарГЭС-2 шт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Контактор электромагнитный Schneider Electric LC1D09M7 220В 9А IP20 3Р 1НЗ+1НО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2.25-Рем-2021-СарГЭС-4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Розетка наружной установки 1шт 16А 250В белый открытый IP44 Legrand Quteo 782321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Устройство плавного пуска Instart SSI-45/90-04 380В 45кВт 90А IP20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2.25-Рем-2021-СарГЭС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Реле сумеречное Shneider Electric IC100KP Acti 9 230В (датчик яркости настенный)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Фотореле IEK LFR20-601-2200-003 ФР 601 230В IP44 (монтажный комплект) 77х63х35мм 10А 2200Вт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</w:t>
            </w:r>
            <w:bookmarkStart w:id="8" w:name="_GoBack"/>
            <w:bookmarkEnd w:id="8"/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Расцепитель дистанционного отключения Schneider Electric iMX 100-415В АС Acti9 A9A26476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6.20-Рем-2025-СарГЭС-</w:t>
            </w:r>
          </w:p>
        </w:tc>
      </w:tr>
      <w:tr>
        <w:trPr>
          <w:trHeight w:val="1108" w:hRule="atLeast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Датчик уровня освещенности Schneider Electric ССТ15268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2.58-Рем-2025-СарГЭС</w:t>
            </w:r>
          </w:p>
        </w:tc>
      </w:tr>
    </w:tbl>
    <w:p>
      <w:pPr>
        <w:pStyle w:val="Normal"/>
        <w:numPr>
          <w:ilvl w:val="0"/>
          <w:numId w:val="0"/>
        </w:numPr>
        <w:shd w:val="clear" w:fill="FFFFFF"/>
        <w:spacing w:lineRule="auto" w:line="240" w:before="120" w:after="60"/>
        <w:ind w:left="0" w:hanging="0"/>
        <w:outlineLvl w:val="2"/>
        <w:rPr>
          <w:rFonts w:ascii="Times New Roman" w:hAnsi="Times New Roman" w:cs="Times New Roman"/>
          <w:b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Normal"/>
        <w:keepNext w:val="true"/>
        <w:numPr>
          <w:ilvl w:val="2"/>
          <w:numId w:val="3"/>
        </w:numPr>
        <w:shd w:val="clear" w:fill="FFFFFF"/>
        <w:spacing w:lineRule="auto" w:line="240" w:before="120" w:after="60"/>
        <w:outlineLvl w:val="2"/>
        <w:rPr>
          <w:highlight w:val="none"/>
          <w:shd w:fill="FFFFFF" w:val="clear"/>
        </w:rPr>
      </w:pPr>
      <w:bookmarkStart w:id="9" w:name="__RefHeading___Toc10402_3983621803"/>
      <w:bookmarkEnd w:id="9"/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Требования к срокам поставки продукции </w:t>
      </w:r>
    </w:p>
    <w:p>
      <w:pPr>
        <w:pStyle w:val="Normal"/>
        <w:keepNext w:val="true"/>
        <w:keepLines/>
        <w:numPr>
          <w:ilvl w:val="0"/>
          <w:numId w:val="0"/>
        </w:numPr>
        <w:shd w:val="clear" w:fill="FFFFFF"/>
        <w:spacing w:lineRule="auto" w:line="240" w:before="240" w:after="60"/>
        <w:ind w:left="0" w:hanging="0"/>
        <w:outlineLvl w:val="0"/>
        <w:rPr>
          <w:highlight w:val="none"/>
          <w:shd w:fill="FFFFFF" w:val="clear"/>
        </w:rPr>
      </w:pPr>
      <w:bookmarkStart w:id="10" w:name="__RefHeading___Toc10404_3983621803"/>
      <w:bookmarkEnd w:id="10"/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Таблица 2.1 </w:t>
      </w:r>
      <w:bookmarkStart w:id="11" w:name="_Hlk50465284"/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Требования по срокам </w:t>
      </w:r>
      <w:bookmarkEnd w:id="11"/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поставки продукции</w:t>
      </w:r>
      <w:r>
        <w:rPr>
          <w:shd w:fill="FFFFFF" w:val="clear"/>
        </w:rPr>
        <w:t xml:space="preserve"> </w:t>
      </w:r>
    </w:p>
    <w:tbl>
      <w:tblPr>
        <w:tblW w:w="1047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5"/>
        <w:gridCol w:w="3380"/>
        <w:gridCol w:w="2835"/>
        <w:gridCol w:w="3416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40" w:after="40"/>
              <w:ind w:left="57" w:right="57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shd w:fill="FFFFFF" w:val="clear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40" w:after="40"/>
              <w:ind w:left="57" w:right="57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shd w:fill="FFFFFF" w:val="clear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40" w:after="40"/>
              <w:ind w:left="57" w:right="57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shd w:fill="FFFFFF" w:val="clear"/>
                <w:lang w:eastAsia="ru-RU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40" w:after="40"/>
              <w:ind w:left="57" w:right="57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shd w:fill="FFFFFF" w:val="clear"/>
                <w:lang w:eastAsia="ru-RU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Продукция в соответствии с таблицей 1.1 «Перечень и объем закупаемой продукции».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С даты подписания Договора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В течение 120 календарных дней с даты подписания Договора.</w:t>
            </w:r>
          </w:p>
        </w:tc>
      </w:tr>
    </w:tbl>
    <w:p>
      <w:pPr>
        <w:sectPr>
          <w:footerReference w:type="first" r:id="rId2"/>
          <w:type w:val="nextPage"/>
          <w:pgSz w:w="11906" w:h="16838"/>
          <w:pgMar w:left="851" w:right="567" w:gutter="0" w:header="0" w:top="567" w:footer="737" w:bottom="794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shd w:fill="FFFFFF" w:val="clear"/>
        </w:rPr>
      </w:r>
      <w:bookmarkStart w:id="12" w:name="__RefHeading___Toc10406_3983621803"/>
      <w:bookmarkStart w:id="13" w:name="__RefHeading___Toc10406_3983621803"/>
      <w:bookmarkEnd w:id="13"/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shd w:fill="FFFFFF" w:val="clear"/>
        </w:rPr>
      </w: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shd w:fill="FFFFFF" w:val="clear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shd w:fill="FFFFFF" w:val="clear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shd w:fill="FFFFFF" w:val="clear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shd w:fill="FFFFFF" w:val="clear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shd w:fill="FFFFFF" w:val="clear"/>
        </w:rPr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200"/>
        <w:jc w:val="left"/>
        <w:rPr>
          <w:highlight w:val="none"/>
          <w:shd w:fill="FFFFFF" w:val="clear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426" w:right="284" w:gutter="0" w:header="0" w:top="53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TimesNewRomanPSMT">
    <w:altName w:val="Times New Rom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i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460"/>
        </w:tabs>
        <w:ind w:left="1092" w:hanging="432"/>
      </w:pPr>
      <w:rPr>
        <w:i w:val="false"/>
        <w:rFonts w:ascii="Cambria" w:hAnsi="Cambria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9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788"/>
        </w:tabs>
        <w:ind w:left="1068" w:hanging="360"/>
      </w:pPr>
      <w:rPr>
        <w:i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i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/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/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/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/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/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/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/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0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355" w:hanging="504"/>
      </w:pPr>
      <w:rPr>
        <w:sz w:val="24"/>
        <w:b w:val="false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5"/>
      </w:numPr>
      <w:spacing w:lineRule="auto" w:line="240"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Heading3"/>
    <w:qFormat/>
    <w:pPr>
      <w:widowControl w:val="false"/>
      <w:tabs>
        <w:tab w:val="clear" w:pos="708"/>
        <w:tab w:val="left" w:pos="1800" w:leader="none"/>
      </w:tabs>
      <w:spacing w:before="200" w:after="0"/>
      <w:ind w:left="1080" w:hanging="360"/>
      <w:outlineLvl w:val="1"/>
    </w:pPr>
    <w:rPr>
      <w:rFonts w:ascii="Cambria" w:hAnsi="Cambria" w:eastAsia="Times New Roman" w:cs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Heading4"/>
    <w:qFormat/>
    <w:pPr>
      <w:widowControl w:val="false"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2"/>
    </w:pPr>
    <w:rPr>
      <w:rFonts w:ascii="Times New Roman" w:hAnsi="Times New Roman" w:eastAsia="Times New Roman" w:cs="Times New Roman"/>
      <w:b/>
      <w:bCs/>
      <w:color w:val="3366FF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keepLines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3"/>
    </w:pPr>
    <w:rPr>
      <w:rFonts w:ascii="Cambria" w:hAnsi="Cambria" w:eastAsia="Times New Roman" w:cs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240" w:before="200" w:after="0"/>
      <w:outlineLvl w:val="4"/>
    </w:pPr>
    <w:rPr>
      <w:rFonts w:ascii="Cambria" w:hAnsi="Cambria" w:eastAsia="Times New Roman" w:cs="Cambria"/>
      <w:color w:val="243F60"/>
      <w:sz w:val="20"/>
      <w:szCs w:val="2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240" w:before="200" w:after="0"/>
      <w:outlineLvl w:val="5"/>
    </w:pPr>
    <w:rPr>
      <w:rFonts w:ascii="Cambria" w:hAnsi="Cambria" w:eastAsia="Times New Roman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240" w:before="200" w:after="0"/>
      <w:outlineLvl w:val="6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240" w:before="200" w:after="0"/>
      <w:outlineLvl w:val="7"/>
    </w:pPr>
    <w:rPr>
      <w:rFonts w:ascii="Cambria" w:hAnsi="Cambria" w:eastAsia="Times New Roman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4z0" w:customStyle="1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 w:customStyle="1">
    <w:name w:val="WW8Num4z1"/>
    <w:qFormat/>
    <w:rPr>
      <w:b/>
      <w:bCs/>
      <w:i w:val="false"/>
      <w:iCs/>
      <w:sz w:val="24"/>
      <w:szCs w:val="24"/>
    </w:rPr>
  </w:style>
  <w:style w:type="character" w:styleId="WW8Num4z2" w:customStyle="1">
    <w:name w:val="WW8Num4z2"/>
    <w:qFormat/>
    <w:rPr/>
  </w:style>
  <w:style w:type="character" w:styleId="WW8Num5z2" w:customStyle="1">
    <w:name w:val="WW8Num5z2"/>
    <w:qFormat/>
    <w:rPr>
      <w:b w:val="false"/>
      <w:bCs w:val="false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cs="Times New Roman"/>
      <w:color w:val="000000"/>
    </w:rPr>
  </w:style>
  <w:style w:type="character" w:styleId="WW8Num6z2" w:customStyle="1">
    <w:name w:val="WW8Num6z2"/>
    <w:qFormat/>
    <w:rPr>
      <w:rFonts w:ascii="Garamond" w:hAnsi="Garamond" w:cs="Times New Roman"/>
      <w:i w:val="false"/>
    </w:rPr>
  </w:style>
  <w:style w:type="character" w:styleId="WW8Num7z0" w:customStyle="1">
    <w:name w:val="WW8Num7z0"/>
    <w:qFormat/>
    <w:rPr>
      <w:rFonts w:cs="Times New Roman"/>
      <w:i w:val="false"/>
    </w:rPr>
  </w:style>
  <w:style w:type="character" w:styleId="WW8Num7z1" w:customStyle="1">
    <w:name w:val="WW8Num7z1"/>
    <w:qFormat/>
    <w:rPr>
      <w:rFonts w:ascii="Cambria" w:hAnsi="Cambria" w:eastAsia="Times New Roman" w:cs="Times New Roman"/>
      <w:i w:val="false"/>
    </w:rPr>
  </w:style>
  <w:style w:type="character" w:styleId="WW8Num7z2" w:customStyle="1">
    <w:name w:val="WW8Num7z2"/>
    <w:qFormat/>
    <w:rPr>
      <w:rFonts w:cs="Times New Roman"/>
    </w:rPr>
  </w:style>
  <w:style w:type="character" w:styleId="WW8Num8z0" w:customStyle="1">
    <w:name w:val="WW8Num8z0"/>
    <w:qFormat/>
    <w:rPr/>
  </w:style>
  <w:style w:type="character" w:styleId="WW8Num8z4" w:customStyle="1">
    <w:name w:val="WW8Num8z4"/>
    <w:qFormat/>
    <w:rPr>
      <w:rFonts w:ascii="Times New Roman" w:hAnsi="Times New Roman" w:cs="Times New Roman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cs="Times New Roman"/>
      <w:u w:val="none"/>
    </w:rPr>
  </w:style>
  <w:style w:type="character" w:styleId="WW8Num10z2" w:customStyle="1">
    <w:name w:val="WW8Num10z2"/>
    <w:qFormat/>
    <w:rPr>
      <w:rFonts w:cs="Times New Roman"/>
      <w:strike w:val="false"/>
      <w:dstrike w:val="false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>
      <w:rFonts w:cs="Times New Roman"/>
      <w:i w:val="false"/>
    </w:rPr>
  </w:style>
  <w:style w:type="character" w:styleId="WW8Num12z2" w:customStyle="1">
    <w:name w:val="WW8Num12z2"/>
    <w:qFormat/>
    <w:rPr>
      <w:rFonts w:cs="Times New Roman"/>
    </w:rPr>
  </w:style>
  <w:style w:type="character" w:styleId="WW8Num14z0" w:customStyle="1">
    <w:name w:val="WW8Num14z0"/>
    <w:qFormat/>
    <w:rPr>
      <w:rFonts w:ascii="Times New Roman" w:hAnsi="Times New Roman" w:cs="Times New Roman"/>
    </w:rPr>
  </w:style>
  <w:style w:type="character" w:styleId="WW8Num15z0" w:customStyle="1">
    <w:name w:val="WW8Num15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5z1" w:customStyle="1">
    <w:name w:val="WW8Num15z1"/>
    <w:qFormat/>
    <w:rPr>
      <w:b/>
      <w:bCs/>
      <w:i w:val="false"/>
      <w:iCs/>
      <w:sz w:val="24"/>
      <w:szCs w:val="24"/>
    </w:rPr>
  </w:style>
  <w:style w:type="character" w:styleId="WW8Num15z2" w:customStyle="1">
    <w:name w:val="WW8Num15z2"/>
    <w:qFormat/>
    <w:rPr>
      <w:rFonts w:ascii="Times New Roman" w:hAnsi="Times New Roman" w:cs="Times New Roman"/>
      <w:b w:val="false"/>
      <w:sz w:val="24"/>
      <w:szCs w:val="24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z2" w:customStyle="1">
    <w:name w:val="WW8Num1z2"/>
    <w:qFormat/>
    <w:rPr>
      <w:b w:val="false"/>
      <w:bCs w:val="false"/>
    </w:rPr>
  </w:style>
  <w:style w:type="character" w:styleId="WW8Num3z0" w:customStyle="1">
    <w:name w:val="WW8Num3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3z1" w:customStyle="1">
    <w:name w:val="WW8Num3z1"/>
    <w:qFormat/>
    <w:rPr>
      <w:b/>
      <w:bCs/>
      <w:i w:val="false"/>
      <w:iCs/>
      <w:sz w:val="24"/>
      <w:szCs w:val="24"/>
    </w:rPr>
  </w:style>
  <w:style w:type="character" w:styleId="WW8Num3z2" w:customStyle="1">
    <w:name w:val="WW8Num3z2"/>
    <w:qFormat/>
    <w:rPr/>
  </w:style>
  <w:style w:type="character" w:styleId="WW8Num8z1" w:customStyle="1">
    <w:name w:val="WW8Num8z1"/>
    <w:qFormat/>
    <w:rPr>
      <w:rFonts w:ascii="Cambria" w:hAnsi="Cambria" w:eastAsia="Times New Roman" w:cs="Times New Roman"/>
      <w:i w:val="false"/>
    </w:rPr>
  </w:style>
  <w:style w:type="character" w:styleId="WW8Num8z2" w:customStyle="1">
    <w:name w:val="WW8Num8z2"/>
    <w:qFormat/>
    <w:rPr>
      <w:rFonts w:cs="Times New Roman"/>
    </w:rPr>
  </w:style>
  <w:style w:type="character" w:styleId="WW8Num9z4" w:customStyle="1">
    <w:name w:val="WW8Num9z4"/>
    <w:qFormat/>
    <w:rPr>
      <w:rFonts w:ascii="Times New Roman" w:hAnsi="Times New Roman" w:cs="Times New Roman"/>
    </w:rPr>
  </w:style>
  <w:style w:type="character" w:styleId="WW8Num11z1" w:customStyle="1">
    <w:name w:val="WW8Num11z1"/>
    <w:qFormat/>
    <w:rPr>
      <w:rFonts w:ascii="Times New Roman" w:hAnsi="Times New Roman" w:cs="Times New Roman"/>
      <w:sz w:val="28"/>
    </w:rPr>
  </w:style>
  <w:style w:type="character" w:styleId="WW8Num12z1" w:customStyle="1">
    <w:name w:val="WW8Num12z1"/>
    <w:qFormat/>
    <w:rPr>
      <w:rFonts w:cs="Times New Roman"/>
      <w:u w:val="none"/>
    </w:rPr>
  </w:style>
  <w:style w:type="character" w:styleId="WW8Num13z0" w:customStyle="1">
    <w:name w:val="WW8Num13z0"/>
    <w:qFormat/>
    <w:rPr/>
  </w:style>
  <w:style w:type="character" w:styleId="WW8Num14z2" w:customStyle="1">
    <w:name w:val="WW8Num14z2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аголовок 1 Знак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Heading2Char" w:customStyle="1">
    <w:name w:val="Heading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qFormat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qFormat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qFormat/>
    <w:rPr>
      <w:rFonts w:ascii="Cambria" w:hAnsi="Cambria" w:cs="Times New Roman"/>
      <w:color w:val="243F60"/>
      <w:sz w:val="20"/>
      <w:szCs w:val="20"/>
    </w:rPr>
  </w:style>
  <w:style w:type="character" w:styleId="6" w:customStyle="1">
    <w:name w:val="Заголовок 6 Знак"/>
    <w:qFormat/>
    <w:rPr>
      <w:rFonts w:ascii="Cambria" w:hAnsi="Cambria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qFormat/>
    <w:rPr>
      <w:rFonts w:ascii="Cambria" w:hAnsi="Cambria" w:cs="Times New Roman"/>
      <w:color w:val="4F81BD"/>
      <w:sz w:val="20"/>
      <w:szCs w:val="20"/>
    </w:rPr>
  </w:style>
  <w:style w:type="character" w:styleId="9" w:customStyle="1">
    <w:name w:val="Заголовок 9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4" w:customStyle="1">
    <w:name w:val="Заголовок 4 Знак"/>
    <w:qFormat/>
    <w:rPr>
      <w:rFonts w:ascii="Cambria" w:hAnsi="Cambria" w:eastAsia="Times New Roman" w:cs="Cambria"/>
      <w:b/>
      <w:bCs/>
      <w:i/>
      <w:iCs/>
      <w:color w:val="4F81BD"/>
    </w:rPr>
  </w:style>
  <w:style w:type="character" w:styleId="2" w:customStyle="1">
    <w:name w:val="Заголовок 2 Знак"/>
    <w:qFormat/>
    <w:rPr>
      <w:rFonts w:ascii="Cambria" w:hAnsi="Cambria" w:eastAsia="Times New Roman" w:cs="Cambria"/>
      <w:b/>
      <w:bCs/>
      <w:color w:val="4F81BD"/>
      <w:sz w:val="28"/>
      <w:szCs w:val="26"/>
    </w:rPr>
  </w:style>
  <w:style w:type="character" w:styleId="3" w:customStyle="1">
    <w:name w:val="Заголовок 3 Знак"/>
    <w:qFormat/>
    <w:rPr>
      <w:rFonts w:ascii="Times New Roman" w:hAnsi="Times New Roman" w:eastAsia="Times New Roman" w:cs="Times New Roman"/>
      <w:b/>
      <w:bCs/>
      <w:color w:val="3366FF"/>
      <w:sz w:val="28"/>
    </w:rPr>
  </w:style>
  <w:style w:type="character" w:styleId="12" w:customStyle="1">
    <w:name w:val="Знак примечания1"/>
    <w:qFormat/>
    <w:rPr>
      <w:rFonts w:cs="Times New Roman"/>
      <w:sz w:val="16"/>
    </w:rPr>
  </w:style>
  <w:style w:type="character" w:styleId="Style" w:customStyle="1">
    <w:name w:val="Текст примечания Знак"/>
    <w:qFormat/>
    <w:rPr>
      <w:rFonts w:ascii="Times New Roman" w:hAnsi="Times New Roman" w:cs="Times New Roman"/>
      <w:sz w:val="20"/>
      <w:szCs w:val="20"/>
    </w:rPr>
  </w:style>
  <w:style w:type="character" w:styleId="Style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Apple-style-span" w:customStyle="1">
    <w:name w:val="apple-style-span"/>
    <w:qFormat/>
    <w:rPr>
      <w:rFonts w:cs="Times New Roman"/>
    </w:rPr>
  </w:style>
  <w:style w:type="character" w:styleId="Apple-converted-space" w:customStyle="1">
    <w:name w:val="apple-converted-space"/>
    <w:qFormat/>
    <w:rPr>
      <w:rFonts w:cs="Times New Roman"/>
    </w:rPr>
  </w:style>
  <w:style w:type="character" w:styleId="Style2" w:customStyle="1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styleId="Style3" w:customStyle="1">
    <w:name w:val="Символ сноски"/>
    <w:qFormat/>
    <w:rPr>
      <w:rFonts w:cs="Times New Roman"/>
      <w:vertAlign w:val="superscript"/>
    </w:rPr>
  </w:style>
  <w:style w:type="character" w:styleId="13" w:customStyle="1">
    <w:name w:val="Подпункт Знак1"/>
    <w:qFormat/>
    <w:rPr>
      <w:b/>
    </w:rPr>
  </w:style>
  <w:style w:type="character" w:styleId="Style4" w:customStyle="1">
    <w:name w:val="Верхний колонтитул Знак"/>
    <w:qFormat/>
    <w:rPr>
      <w:rFonts w:cs="Times New Roman"/>
    </w:rPr>
  </w:style>
  <w:style w:type="character" w:styleId="Style5" w:customStyle="1">
    <w:name w:val="Нижний колонтитул Знак"/>
    <w:qFormat/>
    <w:rPr>
      <w:rFonts w:cs="Times New Roman"/>
    </w:rPr>
  </w:style>
  <w:style w:type="character" w:styleId="Linenumber">
    <w:name w:val="line number"/>
    <w:qFormat/>
    <w:rPr>
      <w:rFonts w:cs="Times New Roman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Style7" w:customStyle="1">
    <w:name w:val="Название Знак"/>
    <w:qFormat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1" w:customStyle="1">
    <w:name w:val="Strong1"/>
    <w:qFormat/>
    <w:rPr>
      <w:rFonts w:cs="Times New Roman"/>
      <w:b/>
    </w:rPr>
  </w:style>
  <w:style w:type="character" w:styleId="Emphasis">
    <w:name w:val="Emphasis"/>
    <w:qFormat/>
    <w:rPr>
      <w:rFonts w:cs="Times New Roman"/>
      <w:i/>
    </w:rPr>
  </w:style>
  <w:style w:type="character" w:styleId="21" w:customStyle="1">
    <w:name w:val="Цитата 2 Знак"/>
    <w:qFormat/>
    <w:rPr>
      <w:rFonts w:ascii="Calibri" w:hAnsi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qFormat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qFormat/>
    <w:rPr>
      <w:rFonts w:cs="Times New Roman"/>
      <w:i/>
      <w:color w:val="808080"/>
    </w:rPr>
  </w:style>
  <w:style w:type="character" w:styleId="IntenseEmphasis">
    <w:name w:val="Intense Emphasis"/>
    <w:qFormat/>
    <w:rPr>
      <w:rFonts w:cs="Times New Roman"/>
      <w:b/>
      <w:i/>
      <w:color w:val="4F81BD"/>
    </w:rPr>
  </w:style>
  <w:style w:type="character" w:styleId="SubtleReference">
    <w:name w:val="Subtle Reference"/>
    <w:qFormat/>
    <w:rPr>
      <w:rFonts w:cs="Times New Roman"/>
      <w:smallCaps/>
      <w:color w:val="C0504D"/>
      <w:u w:val="single"/>
    </w:rPr>
  </w:style>
  <w:style w:type="character" w:styleId="IntenseReference">
    <w:name w:val="Intense Reference"/>
    <w:qFormat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qFormat/>
    <w:rPr>
      <w:rFonts w:cs="Times New Roman"/>
      <w:b/>
      <w:smallCaps/>
      <w:spacing w:val="5"/>
    </w:rPr>
  </w:style>
  <w:style w:type="character" w:styleId="Style10" w:customStyle="1">
    <w:name w:val="Электронная подпись Знак"/>
    <w:qFormat/>
    <w:rPr>
      <w:rFonts w:ascii="Times New Roman" w:hAnsi="Times New Roman" w:cs="Times New Roman"/>
      <w:sz w:val="24"/>
      <w:szCs w:val="24"/>
    </w:rPr>
  </w:style>
  <w:style w:type="character" w:styleId="Style11" w:customStyle="1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styleId="Style12" w:customStyle="1">
    <w:name w:val="Основной текст_"/>
    <w:qFormat/>
    <w:rPr>
      <w:rFonts w:cs="Times New Roman"/>
      <w:sz w:val="28"/>
      <w:szCs w:val="28"/>
      <w:lang w:bidi="ar-SA"/>
    </w:rPr>
  </w:style>
  <w:style w:type="character" w:styleId="Style13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ar-SA"/>
    </w:rPr>
  </w:style>
  <w:style w:type="character" w:styleId="22" w:customStyle="1">
    <w:name w:val="Основной текст (2)_"/>
    <w:qFormat/>
    <w:rPr>
      <w:rFonts w:cs="Times New Roman"/>
      <w:b/>
      <w:bCs/>
      <w:sz w:val="26"/>
      <w:szCs w:val="26"/>
      <w:lang w:bidi="ar-SA"/>
    </w:rPr>
  </w:style>
  <w:style w:type="character" w:styleId="23" w:customStyle="1">
    <w:name w:val="Основной текст (2) + Не полужирный"/>
    <w:qFormat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styleId="Style14" w:customStyle="1">
    <w:name w:val="Основной текст Знак"/>
    <w:qFormat/>
    <w:rPr>
      <w:rFonts w:cs="Times New Roman"/>
    </w:rPr>
  </w:style>
  <w:style w:type="character" w:styleId="31" w:customStyle="1">
    <w:name w:val="Основной текст (3)"/>
    <w:qFormat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FooterChar" w:customStyle="1">
    <w:name w:val="Footer Char"/>
    <w:qFormat/>
    <w:rPr>
      <w:rFonts w:cs="Times New Roman"/>
      <w:sz w:val="22"/>
      <w:szCs w:val="22"/>
      <w:lang w:val="ru-RU"/>
    </w:rPr>
  </w:style>
  <w:style w:type="character" w:styleId="18" w:customStyle="1">
    <w:name w:val="Знак Знак18"/>
    <w:qFormat/>
    <w:rPr>
      <w:rFonts w:ascii="Cambria" w:hAnsi="Cambria" w:cs="Cambria"/>
      <w:b/>
      <w:bCs/>
      <w:color w:val="4F81BD"/>
      <w:sz w:val="28"/>
      <w:szCs w:val="26"/>
      <w:lang w:val="ru-RU" w:bidi="ar-SA"/>
    </w:rPr>
  </w:style>
  <w:style w:type="character" w:styleId="17" w:customStyle="1">
    <w:name w:val="Знак Знак17"/>
    <w:qFormat/>
    <w:rPr>
      <w:b/>
      <w:bCs/>
      <w:color w:val="3366FF"/>
      <w:sz w:val="28"/>
      <w:lang w:val="ru-RU" w:bidi="ar-SA"/>
    </w:rPr>
  </w:style>
  <w:style w:type="character" w:styleId="Info-blockchars-list-item-value" w:customStyle="1">
    <w:name w:val="info-block__chars-list-item-value"/>
    <w:qFormat/>
    <w:rPr/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Fontstyle01" w:customStyle="1">
    <w:name w:val="fontstyle01"/>
    <w:qFormat/>
    <w:rPr>
      <w:rFonts w:ascii="TimesNewRomanPSMT;Times New Rom" w:hAnsi="TimesNewRomanPSMT;Times New Rom" w:cs="TimesNewRomanPSMT;Times New Rom"/>
      <w:b w:val="false"/>
      <w:bCs w:val="false"/>
      <w:i w:val="false"/>
      <w:iCs w:val="false"/>
      <w:color w:val="000000"/>
      <w:sz w:val="20"/>
      <w:szCs w:val="20"/>
    </w:rPr>
  </w:style>
  <w:style w:type="character" w:styleId="Style16" w:customStyle="1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24" w:customStyle="1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32" w:customStyle="1">
    <w:name w:val="Основной текст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33" w:customStyle="1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25" w:customStyle="1">
    <w:name w:val="Основной текст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Pagenumber">
    <w:name w:val="page number"/>
    <w:qFormat/>
    <w:rPr/>
  </w:style>
  <w:style w:type="character" w:styleId="Blk" w:customStyle="1">
    <w:name w:val="blk"/>
    <w:qFormat/>
    <w:rPr/>
  </w:style>
  <w:style w:type="character" w:styleId="Style17" w:customStyle="1">
    <w:name w:val="Абзац списка Знак"/>
    <w:qFormat/>
    <w:rPr>
      <w:rFonts w:ascii="Times New Roman" w:hAnsi="Times New Roman" w:cs="Times New Roman"/>
      <w:sz w:val="22"/>
      <w:szCs w:val="22"/>
    </w:rPr>
  </w:style>
  <w:style w:type="character" w:styleId="Style18" w:customStyle="1">
    <w:name w:val="комментарий"/>
    <w:qFormat/>
    <w:rPr>
      <w:b/>
      <w:i/>
      <w:shd w:fill="FFFF99" w:val="clear"/>
    </w:rPr>
  </w:style>
  <w:style w:type="character" w:styleId="Style19" w:customStyle="1">
    <w:name w:val="Подподпункт Знак"/>
    <w:qFormat/>
    <w:rPr>
      <w:b/>
    </w:rPr>
  </w:style>
  <w:style w:type="character" w:styleId="34" w:customStyle="1">
    <w:name w:val="УРОВЕНЬ_Абзац_тип3 Знак"/>
    <w:qFormat/>
    <w:rPr>
      <w:rFonts w:ascii="Times New Roman" w:hAnsi="Times New Roman" w:cs="Times New Roman"/>
      <w:sz w:val="26"/>
      <w:szCs w:val="28"/>
    </w:rPr>
  </w:style>
  <w:style w:type="character" w:styleId="Style20" w:customStyle="1">
    <w:name w:val="Текст концевой сноски Знак"/>
    <w:qFormat/>
    <w:rPr>
      <w:rFonts w:ascii="Times New Roman" w:hAnsi="Times New Roman" w:eastAsia="Times New Roman" w:cs="Times New Roman"/>
    </w:rPr>
  </w:style>
  <w:style w:type="character" w:styleId="Style21" w:customStyle="1">
    <w:name w:val="Символ концевой сноски"/>
    <w:qFormat/>
    <w:rPr>
      <w:vertAlign w:val="superscript"/>
    </w:rPr>
  </w:style>
  <w:style w:type="character" w:styleId="26" w:customStyle="1">
    <w:name w:val="Пункт2 Знак"/>
    <w:qFormat/>
    <w:rPr>
      <w:rFonts w:ascii="Times New Roman" w:hAnsi="Times New Roman" w:eastAsia="Times New Roman" w:cs="Times New Roman"/>
      <w:b/>
      <w:sz w:val="28"/>
    </w:rPr>
  </w:style>
  <w:style w:type="character" w:styleId="14" w:customStyle="1">
    <w:name w:val="УРОВЕНЬ_1. Знак"/>
    <w:qFormat/>
    <w:rPr>
      <w:rFonts w:ascii="Times New Roman" w:hAnsi="Times New Roman" w:cs="Times New Roman"/>
      <w:caps/>
      <w:sz w:val="28"/>
      <w:szCs w:val="28"/>
    </w:rPr>
  </w:style>
  <w:style w:type="character" w:styleId="15" w:customStyle="1">
    <w:name w:val="Неразрешенное упоминание1"/>
    <w:qFormat/>
    <w:rPr>
      <w:color w:val="605E5C"/>
      <w:shd w:fill="E1DFDD" w:val="clear"/>
    </w:rPr>
  </w:style>
  <w:style w:type="character" w:styleId="Style22" w:customStyle="1">
    <w:name w:val="Ссылка указателя"/>
    <w:qFormat/>
    <w:rPr/>
  </w:style>
  <w:style w:type="character" w:styleId="Strong2" w:customStyle="1">
    <w:name w:val="Strong2"/>
    <w:qFormat/>
    <w:rPr>
      <w:rFonts w:cs="Times New Roman"/>
      <w:b/>
    </w:rPr>
  </w:style>
  <w:style w:type="character" w:styleId="Strong3" w:customStyle="1">
    <w:name w:val="Strong3"/>
    <w:qFormat/>
    <w:rPr>
      <w:b/>
      <w:bCs/>
    </w:rPr>
  </w:style>
  <w:style w:type="character" w:styleId="Strong4" w:customStyle="1">
    <w:name w:val="Strong4"/>
    <w:qFormat/>
    <w:rPr>
      <w:b/>
      <w:bCs/>
    </w:rPr>
  </w:style>
  <w:style w:type="character" w:styleId="Strong5" w:customStyle="1">
    <w:name w:val="Strong5"/>
    <w:qFormat/>
    <w:rPr>
      <w:b/>
      <w:bCs/>
    </w:rPr>
  </w:style>
  <w:style w:type="character" w:styleId="Strong6" w:customStyle="1">
    <w:name w:val="Strong6"/>
    <w:qFormat/>
    <w:rPr>
      <w:rFonts w:cs="Times New Roman"/>
      <w:b/>
    </w:rPr>
  </w:style>
  <w:style w:type="character" w:styleId="Strong">
    <w:name w:val="Strong"/>
    <w:qFormat/>
    <w:rPr>
      <w:b/>
      <w:bCs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lineRule="atLeast" w:line="240" w:before="0" w:after="0"/>
      <w:jc w:val="right"/>
    </w:pPr>
    <w:rPr>
      <w:rFonts w:ascii="Times New Roman" w:hAnsi="Times New Roman" w:eastAsia="Gulim;굴림" w:cs="Times New Roman"/>
      <w:sz w:val="23"/>
      <w:szCs w:val="23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6"/>
    <w:qFormat/>
    <w:pPr>
      <w:suppressLineNumbers/>
    </w:pPr>
    <w:rPr>
      <w:b/>
      <w:bCs/>
      <w:sz w:val="32"/>
      <w:szCs w:val="32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41" w:customStyle="1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2" w:customStyle="1">
    <w:name w:val="Указатель4"/>
    <w:basedOn w:val="Normal"/>
    <w:qFormat/>
    <w:pPr>
      <w:suppressLineNumbers/>
    </w:pPr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5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3" w:customStyle="1">
    <w:name w:val="Название объекта4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6" w:customStyle="1">
    <w:name w:val="Указатель3"/>
    <w:basedOn w:val="Normal"/>
    <w:qFormat/>
    <w:pPr>
      <w:suppressLineNumbers/>
    </w:pPr>
    <w:rPr/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37" w:customStyle="1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8" w:customStyle="1">
    <w:name w:val="Указатель2"/>
    <w:basedOn w:val="Normal"/>
    <w:qFormat/>
    <w:pPr>
      <w:suppressLineNumbers/>
    </w:pPr>
    <w:rPr/>
  </w:style>
  <w:style w:type="paragraph" w:styleId="16" w:customStyle="1">
    <w:name w:val="Заголовок1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Cambria"/>
      <w:color w:val="17365D"/>
      <w:spacing w:val="5"/>
      <w:kern w:val="2"/>
      <w:sz w:val="52"/>
      <w:szCs w:val="52"/>
    </w:rPr>
  </w:style>
  <w:style w:type="paragraph" w:styleId="29" w:customStyle="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9" w:customStyle="1">
    <w:name w:val="Указатель1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110" w:customStyle="1">
    <w:name w:val="Текст примечания1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ascii="Times New Roman" w:hAnsi="Times New Roman" w:eastAsia="MS Mincho;ＭＳ 明朝" w:cs="Times New Roman"/>
      <w:sz w:val="28"/>
      <w:szCs w:val="28"/>
    </w:rPr>
  </w:style>
  <w:style w:type="paragraph" w:styleId="Style26" w:customStyle="1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18"/>
      <w:szCs w:val="18"/>
    </w:rPr>
  </w:style>
  <w:style w:type="paragraph" w:styleId="Style27" w:customStyle="1">
    <w:name w:val="Текст таблицы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28" w:customStyle="1">
    <w:name w:val="Пункт Знак"/>
    <w:basedOn w:val="Normal"/>
    <w:qFormat/>
    <w:pPr>
      <w:numPr>
        <w:ilvl w:val="0"/>
        <w:numId w:val="8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Style29" w:customStyle="1">
    <w:name w:val="Подпункт"/>
    <w:basedOn w:val="Style28"/>
    <w:qFormat/>
    <w:pPr>
      <w:tabs>
        <w:tab w:val="clear" w:pos="1134"/>
        <w:tab w:val="left" w:pos="851" w:leader="none"/>
      </w:tabs>
    </w:pPr>
    <w:rPr>
      <w:rFonts w:ascii="Calibri" w:hAnsi="Calibri" w:eastAsia="Calibri" w:cs="Calibri"/>
      <w:sz w:val="20"/>
    </w:rPr>
  </w:style>
  <w:style w:type="paragraph" w:styleId="Style30" w:customStyle="1">
    <w:name w:val="Подподпункт"/>
    <w:basedOn w:val="Style29"/>
    <w:qFormat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31" w:customStyle="1">
    <w:name w:val="Подподподпункт"/>
    <w:basedOn w:val="Normal"/>
    <w:qFormat/>
    <w:pPr>
      <w:tabs>
        <w:tab w:val="clear" w:pos="708"/>
        <w:tab w:val="left" w:pos="567" w:leader="none"/>
        <w:tab w:val="left" w:pos="1134" w:leader="none"/>
        <w:tab w:val="left" w:pos="1701" w:leader="none"/>
      </w:tabs>
      <w:spacing w:lineRule="auto" w:line="360" w:before="0" w:after="0"/>
      <w:ind w:left="567" w:hanging="279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111" w:customStyle="1">
    <w:name w:val="Пункт1"/>
    <w:basedOn w:val="Normal"/>
    <w:qFormat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 w:eastAsia="Times New Roman" w:cs="Arial"/>
      <w:b/>
      <w:sz w:val="28"/>
      <w:szCs w:val="28"/>
    </w:rPr>
  </w:style>
  <w:style w:type="paragraph" w:styleId="38" w:customStyle="1">
    <w:name w:val="Пункт_3"/>
    <w:basedOn w:val="Normal"/>
    <w:qFormat/>
    <w:pPr>
      <w:spacing w:lineRule="auto" w:line="360" w:before="0" w:after="0"/>
      <w:ind w:left="1134" w:hanging="1133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TOC1">
    <w:name w:val="TOC 1"/>
    <w:basedOn w:val="Normal"/>
    <w:next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TOC2">
    <w:name w:val="TOC 2"/>
    <w:basedOn w:val="Normal"/>
    <w:next w:val="Normal"/>
    <w:pPr>
      <w:spacing w:before="0" w:after="100"/>
      <w:ind w:left="220" w:hanging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 w:customStyle="1">
    <w:name w:val="Таблиц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12" w:customStyle="1">
    <w:name w:val="Абзац списка1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Style33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113" w:customStyle="1">
    <w:name w:val="Схема документа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NoSpacing">
    <w:name w:val="No Spacing"/>
    <w:basedOn w:val="Normal"/>
    <w:qFormat/>
    <w:pPr>
      <w:spacing w:lineRule="auto" w:line="360" w:before="0" w:after="0"/>
    </w:pPr>
    <w:rPr>
      <w:rFonts w:ascii="Times New Roman" w:hAnsi="Times New Roman" w:cs="Times New Roman"/>
      <w:sz w:val="24"/>
      <w:szCs w:val="24"/>
    </w:rPr>
  </w:style>
  <w:style w:type="paragraph" w:styleId="114" w:customStyle="1">
    <w:name w:val="Название объекта1"/>
    <w:basedOn w:val="Normal"/>
    <w:next w:val="Normal"/>
    <w:qFormat/>
    <w:pPr>
      <w:spacing w:lineRule="auto" w:line="240" w:before="0"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spacing w:lineRule="auto" w:line="240" w:before="0" w:after="0"/>
      <w:ind w:left="1066" w:firstLine="709"/>
    </w:pPr>
    <w:rPr>
      <w:rFonts w:ascii="Cambria" w:hAnsi="Cambria" w:eastAsia="Times New Roman" w:cs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qFormat/>
    <w:pPr>
      <w:spacing w:lineRule="auto" w:line="240" w:before="0" w:after="0"/>
    </w:pPr>
    <w:rPr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b/>
      <w:bCs/>
      <w:i/>
      <w:iCs/>
      <w:color w:val="4F81BD"/>
      <w:sz w:val="20"/>
      <w:szCs w:val="20"/>
    </w:rPr>
  </w:style>
  <w:style w:type="paragraph" w:styleId="115" w:customStyle="1">
    <w:name w:val="Заголовок таблицы ссылок1"/>
    <w:basedOn w:val="Heading1"/>
    <w:next w:val="Normal"/>
    <w:qFormat/>
    <w:pPr>
      <w:outlineLvl w:val="9"/>
    </w:pPr>
    <w:rPr/>
  </w:style>
  <w:style w:type="paragraph" w:styleId="E-mailSignature">
    <w:name w:val="E-mail Signature"/>
    <w:basedOn w:val="Normal"/>
    <w:qFormat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Style35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Annotationsubject">
    <w:name w:val="annotation subject"/>
    <w:basedOn w:val="110"/>
    <w:next w:val="110"/>
    <w:qFormat/>
    <w:pPr/>
    <w:rPr>
      <w:rFonts w:eastAsia="Calibri"/>
      <w:b/>
      <w:bCs/>
    </w:rPr>
  </w:style>
  <w:style w:type="paragraph" w:styleId="39" w:customStyle="1">
    <w:name w:val="Нумерованный список ур3"/>
    <w:basedOn w:val="Normal"/>
    <w:qFormat/>
    <w:pPr>
      <w:numPr>
        <w:ilvl w:val="0"/>
        <w:numId w:val="4"/>
      </w:numPr>
      <w:spacing w:lineRule="auto" w:line="240" w:before="0" w:after="0"/>
      <w:jc w:val="both"/>
    </w:pPr>
    <w:rPr>
      <w:rFonts w:ascii="Garamond" w:hAnsi="Garamond" w:eastAsia="Times New Roman" w:cs="Garamond"/>
      <w:sz w:val="24"/>
      <w:szCs w:val="20"/>
    </w:rPr>
  </w:style>
  <w:style w:type="paragraph" w:styleId="116" w:customStyle="1">
    <w:name w:val="Нумерованный список1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210" w:customStyle="1">
    <w:name w:val="Нумерованный список ур2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NormalWeb">
    <w:name w:val="Normal (Web)"/>
    <w:basedOn w:val="Normal"/>
    <w:qFormat/>
    <w:pPr>
      <w:spacing w:lineRule="auto" w:line="240"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310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Style36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eastAsia="Times New Roman" w:cs="Arial"/>
      <w:b/>
      <w:i/>
      <w:sz w:val="28"/>
      <w:szCs w:val="20"/>
    </w:rPr>
  </w:style>
  <w:style w:type="paragraph" w:styleId="211" w:customStyle="1">
    <w:name w:val="Абзац списка2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ListParagraph12" w:customStyle="1">
    <w:name w:val="Стиль List Paragraph + По ширине После:  12 пт Междустр.интервал:..."/>
    <w:basedOn w:val="ListParagraph"/>
    <w:qFormat/>
    <w:pPr>
      <w:numPr>
        <w:ilvl w:val="0"/>
        <w:numId w:val="10"/>
      </w:numPr>
      <w:spacing w:lineRule="auto" w:line="240" w:before="0" w:after="240"/>
      <w:contextualSpacing/>
      <w:jc w:val="both"/>
    </w:pPr>
    <w:rPr>
      <w:szCs w:val="20"/>
    </w:rPr>
  </w:style>
  <w:style w:type="paragraph" w:styleId="117" w:customStyle="1">
    <w:name w:val="Основной текст1"/>
    <w:basedOn w:val="Normal"/>
    <w:qFormat/>
    <w:pPr>
      <w:widowControl w:val="false"/>
      <w:shd w:val="clear" w:color="auto" w:fill="FFFFFF"/>
      <w:spacing w:lineRule="exact" w:line="302" w:before="0" w:after="0"/>
    </w:pPr>
    <w:rPr>
      <w:rFonts w:ascii="Times New Roman" w:hAnsi="Times New Roman" w:cs="Times New Roman"/>
      <w:sz w:val="28"/>
      <w:szCs w:val="28"/>
      <w:lang w:eastAsia="ru-RU"/>
    </w:rPr>
  </w:style>
  <w:style w:type="paragraph" w:styleId="212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7" w:before="0" w:after="300"/>
      <w:jc w:val="center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styleId="Style37" w:customStyle="1">
    <w:name w:val="Пункт договора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</w:rPr>
  </w:style>
  <w:style w:type="paragraph" w:styleId="311" w:customStyle="1">
    <w:name w:val="Абзац списка3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Style38" w:customStyle="1">
    <w:name w:val="Название раздела инструкции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39" w:customStyle="1">
    <w:name w:val="Раздел положения"/>
    <w:basedOn w:val="Normal"/>
    <w:qFormat/>
    <w:pPr>
      <w:numPr>
        <w:ilvl w:val="0"/>
        <w:numId w:val="7"/>
      </w:numPr>
      <w:spacing w:lineRule="auto" w:line="240" w:before="80" w:after="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Style40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lineRule="auto" w:line="240" w:before="80" w:after="80"/>
      <w:ind w:left="360" w:hanging="36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8" w:customStyle="1">
    <w:name w:val="Шапка 1"/>
    <w:basedOn w:val="Normal"/>
    <w:qFormat/>
    <w:pPr>
      <w:pBdr>
        <w:bottom w:val="thickThinSmallGap" w:sz="24" w:space="1" w:color="000000"/>
      </w:pBdr>
      <w:spacing w:lineRule="auto" w:line="240" w:before="0" w:after="240"/>
      <w:jc w:val="center"/>
    </w:pPr>
    <w:rPr>
      <w:rFonts w:ascii="Times New Roman" w:hAnsi="Times New Roman" w:eastAsia="Times New Roman" w:cs="Times New Roman"/>
    </w:rPr>
  </w:style>
  <w:style w:type="paragraph" w:styleId="213" w:customStyle="1">
    <w:name w:val="Шапка 2"/>
    <w:basedOn w:val="Normal"/>
    <w:qFormat/>
    <w:pPr>
      <w:pBdr>
        <w:bottom w:val="thickThinSmallGap" w:sz="24" w:space="1" w:color="000000"/>
      </w:pBdr>
      <w:spacing w:lineRule="auto" w:line="240" w:before="0" w:after="120"/>
      <w:jc w:val="center"/>
    </w:pPr>
    <w:rPr>
      <w:rFonts w:ascii="Times New Roman" w:hAnsi="Times New Roman" w:eastAsia="Times New Roman" w:cs="Times New Roman"/>
      <w:b/>
    </w:rPr>
  </w:style>
  <w:style w:type="paragraph" w:styleId="312" w:customStyle="1">
    <w:name w:val="Шапка 3"/>
    <w:basedOn w:val="Normal"/>
    <w:qFormat/>
    <w:pPr>
      <w:pBdr>
        <w:bottom w:val="thickThinSmallGap" w:sz="24" w:space="1" w:color="000000"/>
      </w:pBdr>
      <w:spacing w:lineRule="auto" w:line="240" w:before="240" w:after="360"/>
      <w:jc w:val="center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119" w:customStyle="1">
    <w:name w:val="Название1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BodyTextIndent">
    <w:name w:val="Body Text Indent"/>
    <w:basedOn w:val="Normal"/>
    <w:pPr>
      <w:spacing w:lineRule="auto" w:line="240" w:before="0" w:after="0"/>
      <w:ind w:left="36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214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8"/>
      <w:szCs w:val="28"/>
    </w:rPr>
  </w:style>
  <w:style w:type="paragraph" w:styleId="313" w:customStyle="1">
    <w:name w:val="Основной текст 31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314" w:customStyle="1">
    <w:name w:val="Основной текст с отступом 31"/>
    <w:basedOn w:val="Normal"/>
    <w:qFormat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215" w:customStyle="1">
    <w:name w:val="Основной текст 21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</w:rPr>
  </w:style>
  <w:style w:type="paragraph" w:styleId="120" w:customStyle="1">
    <w:name w:val="Цитата1"/>
    <w:basedOn w:val="Normal"/>
    <w:qFormat/>
    <w:pPr>
      <w:spacing w:lineRule="auto" w:line="240" w:before="0" w:after="0"/>
      <w:ind w:left="-567" w:right="-766" w:hanging="0"/>
      <w:jc w:val="center"/>
    </w:pPr>
    <w:rPr>
      <w:rFonts w:ascii="Times New Roman" w:hAnsi="Times New Roman" w:eastAsia="Times New Roman" w:cs="Times New Roman"/>
      <w:b/>
      <w:bCs/>
      <w:sz w:val="24"/>
      <w:szCs w:val="20"/>
    </w:rPr>
  </w:style>
  <w:style w:type="paragraph" w:styleId="216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napToGrid w:val="false"/>
      <w:spacing w:lineRule="auto" w:line="240" w:before="240" w:after="120"/>
      <w:ind w:left="1134" w:hanging="1134"/>
      <w:outlineLvl w:val="2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15" w:customStyle="1">
    <w:name w:val="Оглавление 31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Style41" w:customStyle="1">
    <w:name w:val="Раздел регламент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42" w:customStyle="1">
    <w:name w:val="Приложение к регламенту"/>
    <w:basedOn w:val="Normal"/>
    <w:qFormat/>
    <w:pPr>
      <w:spacing w:lineRule="auto" w:line="240" w:before="0" w:after="0"/>
      <w:jc w:val="right"/>
    </w:pPr>
    <w:rPr>
      <w:rFonts w:ascii="Times New Roman" w:hAnsi="Times New Roman" w:eastAsia="Times New Roman" w:cs="Times New Roman"/>
      <w:sz w:val="28"/>
      <w:szCs w:val="28"/>
    </w:rPr>
  </w:style>
  <w:style w:type="paragraph" w:styleId="121" w:customStyle="1">
    <w:name w:val="Обычный (веб)1"/>
    <w:basedOn w:val="Normal"/>
    <w:qFormat/>
    <w:pPr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91" w:customStyle="1">
    <w:name w:val="Оглавление 91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1" w:customStyle="1">
    <w:name w:val="Оглавление 51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11" w:customStyle="1">
    <w:name w:val="Оглавление 41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217" w:customStyle="1">
    <w:name w:val="Раздел положения 2"/>
    <w:basedOn w:val="Normal"/>
    <w:qFormat/>
    <w:pPr>
      <w:pageBreakBefore/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43" w:customStyle="1">
    <w:name w:val="УРОВЕНЬ_(а)"/>
    <w:basedOn w:val="ListParagraph"/>
    <w:qFormat/>
    <w:pPr>
      <w:widowControl/>
      <w:numPr>
        <w:ilvl w:val="0"/>
        <w:numId w:val="6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</w:rPr>
  </w:style>
  <w:style w:type="paragraph" w:styleId="-" w:customStyle="1">
    <w:name w:val="УРОВЕНЬ_-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  <w:outlineLvl w:val="4"/>
    </w:pPr>
    <w:rPr>
      <w:sz w:val="26"/>
      <w:szCs w:val="28"/>
    </w:rPr>
  </w:style>
  <w:style w:type="paragraph" w:styleId="218" w:customStyle="1">
    <w:name w:val="УРОВЕНЬ_Абзац_тип2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316" w:customStyle="1">
    <w:name w:val="УРОВЕНЬ_Абзац_тип3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Style44" w:customStyle="1">
    <w:name w:val="УРОВЕНЬ_Подпись"/>
    <w:basedOn w:val="ListParagraph"/>
    <w:qFormat/>
    <w:pPr>
      <w:keepNext w:val="true"/>
      <w:widowControl/>
      <w:tabs>
        <w:tab w:val="clear" w:pos="708"/>
        <w:tab w:val="left" w:pos="0" w:leader="none"/>
      </w:tabs>
      <w:spacing w:lineRule="exact" w:line="360" w:before="120" w:after="120"/>
      <w:ind w:left="1134" w:hanging="1134"/>
      <w:contextualSpacing w:val="false"/>
      <w:jc w:val="right"/>
      <w:outlineLvl w:val="3"/>
    </w:pPr>
    <w:rPr>
      <w:sz w:val="26"/>
      <w:szCs w:val="28"/>
    </w:rPr>
  </w:style>
  <w:style w:type="paragraph" w:styleId="122" w:customStyle="1">
    <w:name w:val="Стиль Заголовок 1 + по ширине"/>
    <w:basedOn w:val="Heading1"/>
    <w:qFormat/>
    <w:pPr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cs="Arial"/>
      <w:color w:val="000000"/>
      <w:kern w:val="2"/>
      <w:sz w:val="40"/>
      <w:szCs w:val="20"/>
    </w:rPr>
  </w:style>
  <w:style w:type="paragraph" w:styleId="EndnoteText">
    <w:name w:val="End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219" w:customStyle="1">
    <w:name w:val="Заголовок 2 КВВ"/>
    <w:basedOn w:val="Normal"/>
    <w:qFormat/>
    <w:pPr>
      <w:keepNext w:val="true"/>
      <w:numPr>
        <w:ilvl w:val="0"/>
        <w:numId w:val="9"/>
      </w:numPr>
      <w:spacing w:lineRule="auto" w:line="240" w:before="120" w:after="120"/>
      <w:jc w:val="both"/>
      <w:outlineLvl w:val="0"/>
    </w:pPr>
    <w:rPr>
      <w:rFonts w:ascii="Times New Roman" w:hAnsi="Times New Roman" w:eastAsia="Times New Roman" w:cs="Times New Roman"/>
      <w:b/>
      <w:kern w:val="2"/>
      <w:sz w:val="24"/>
      <w:szCs w:val="20"/>
    </w:rPr>
  </w:style>
  <w:style w:type="paragraph" w:styleId="Style45" w:customStyle="1">
    <w:name w:val="Таблица текст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</w:rPr>
  </w:style>
  <w:style w:type="paragraph" w:styleId="123" w:customStyle="1">
    <w:name w:val="УРОВЕНЬ_1."/>
    <w:basedOn w:val="ListParagraph"/>
    <w:qFormat/>
    <w:pPr>
      <w:keepNext w:val="true"/>
      <w:keepLines/>
      <w:widowControl/>
      <w:spacing w:before="240" w:after="120"/>
      <w:contextualSpacing w:val="false"/>
      <w:jc w:val="both"/>
      <w:outlineLvl w:val="0"/>
    </w:pPr>
    <w:rPr>
      <w:caps/>
      <w:sz w:val="28"/>
      <w:szCs w:val="28"/>
    </w:rPr>
  </w:style>
  <w:style w:type="paragraph" w:styleId="61" w:customStyle="1">
    <w:name w:val="Оглавление 61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1" w:customStyle="1">
    <w:name w:val="Оглавление 71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1" w:customStyle="1">
    <w:name w:val="Оглавление 81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321" w:customStyle="1">
    <w:name w:val="Оглавление 32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92" w:customStyle="1">
    <w:name w:val="Оглавление 92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2" w:customStyle="1">
    <w:name w:val="Оглавление 52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21" w:customStyle="1">
    <w:name w:val="Оглавление 42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62" w:customStyle="1">
    <w:name w:val="Оглавление 62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2" w:customStyle="1">
    <w:name w:val="Оглавление 72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2" w:customStyle="1">
    <w:name w:val="Оглавление 82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Style4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7" w:customStyle="1">
    <w:name w:val="Заголовок таблицы"/>
    <w:basedOn w:val="Style46"/>
    <w:qFormat/>
    <w:pPr>
      <w:jc w:val="center"/>
    </w:pPr>
    <w:rPr>
      <w:b/>
      <w:bCs/>
    </w:rPr>
  </w:style>
  <w:style w:type="paragraph" w:styleId="TOC4">
    <w:name w:val="TOC 4"/>
    <w:basedOn w:val="Normal"/>
    <w:next w:val="Normal"/>
    <w:pPr>
      <w:suppressAutoHyphens w:val="false"/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TOC3">
    <w:name w:val="TOC 3"/>
    <w:basedOn w:val="Normal"/>
    <w:next w:val="Normal"/>
    <w:pPr>
      <w:suppressAutoHyphens w:val="false"/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Indexheading1111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AlterOffice/3.4.0.9$Linux_X86_64 LibreOffice_project/b8daf9e823b1a5463a2f48435ddc2e8696e7d4fc</Application>
  <AppVersion>15.0000</AppVersion>
  <Pages>5</Pages>
  <Words>549</Words>
  <Characters>3668</Characters>
  <CharactersWithSpaces>4108</CharactersWithSpaces>
  <Paragraphs>120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2026-02-05T09:54:00Z</dcterms:created>
  <dc:creator>Торопов Денис Владимирович</dc:creator>
  <dc:description/>
  <dc:language>ru-RU</dc:language>
  <cp:lastModifiedBy/>
  <cp:lastPrinted>2025-08-28T08:13:00Z</cp:lastPrinted>
  <dcterms:modified xsi:type="dcterms:W3CDTF">2026-06-04T09:35:44Z</dcterms:modified>
  <cp:revision>59</cp:revision>
  <dc:subject/>
  <dc:title>Методические указания по разработке технических требований к закупаемой продукции, поставщикам и договорным условиям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