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custom.xml" ContentType="application/vnd.openxmlformats-officedocument.custom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media/image2.png" ContentType="image/png"/>
  <Override PartName="/word/media/image3.png" ContentType="image/png"/>
  <Override PartName="/word/media/image4.png" ContentType="image/png"/>
  <Override PartName="/word/media/image5.png" ContentType="image/png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customXml/_rels/item1.xml.rels" ContentType="application/vnd.openxmlformats-package.relationships+xml"/>
  <Override PartName="/customXml/item1.xml" ContentType="application/xml"/>
  <Override PartName="/customXml/itemProps1.xml" ContentType="application/vnd.openxmlformats-officedocument.customXml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keepNext w:val="true"/>
        <w:keepLines/>
        <w:numPr>
          <w:ilvl w:val="0"/>
          <w:numId w:val="0"/>
        </w:numPr>
        <w:spacing w:lineRule="auto" w:line="360" w:before="120" w:after="0"/>
        <w:contextualSpacing/>
        <w:jc w:val="center"/>
        <w:outlineLvl w:val="0"/>
        <w:rPr>
          <w:b/>
          <w:caps/>
        </w:rPr>
      </w:pPr>
      <w:bookmarkStart w:id="0" w:name="_Toc22296292"/>
      <w:bookmarkStart w:id="1" w:name="_Toc516659695"/>
      <w:bookmarkStart w:id="2" w:name="_Toc512526518"/>
      <w:bookmarkStart w:id="3" w:name="_Toc523757135"/>
      <w:r>
        <w:rPr>
          <w:b/>
          <w:caps/>
        </w:rPr>
        <w:t xml:space="preserve">Приложение № 1. </w:t>
      </w:r>
      <w:r>
        <w:rPr>
          <w:b/>
        </w:rPr>
        <w:t>Техническое</w:t>
      </w:r>
      <w:r>
        <w:rPr>
          <w:b/>
          <w:caps/>
        </w:rPr>
        <w:t xml:space="preserve"> </w:t>
      </w:r>
      <w:r>
        <w:rPr>
          <w:b/>
        </w:rPr>
        <w:t>задание</w:t>
      </w:r>
      <w:bookmarkEnd w:id="0"/>
      <w:bookmarkEnd w:id="1"/>
      <w:bookmarkEnd w:id="2"/>
      <w:bookmarkEnd w:id="3"/>
    </w:p>
    <w:p>
      <w:pPr>
        <w:pStyle w:val="Normal"/>
        <w:numPr>
          <w:ilvl w:val="0"/>
          <w:numId w:val="0"/>
        </w:numPr>
        <w:spacing w:before="60" w:after="0"/>
        <w:ind w:left="-284" w:right="709" w:firstLine="567"/>
        <w:jc w:val="center"/>
        <w:outlineLvl w:val="2"/>
        <w:rPr>
          <w:caps/>
          <w:lang w:val="x-none"/>
        </w:rPr>
      </w:pPr>
      <w:r>
        <w:rPr>
          <w:caps/>
          <w:lang w:val="x-none"/>
        </w:rPr>
      </w:r>
    </w:p>
    <w:p>
      <w:pPr>
        <w:pStyle w:val="Normal"/>
        <w:numPr>
          <w:ilvl w:val="0"/>
          <w:numId w:val="0"/>
        </w:numPr>
        <w:jc w:val="right"/>
        <w:outlineLvl w:val="2"/>
        <w:rPr>
          <w:sz w:val="24"/>
          <w:szCs w:val="24"/>
        </w:rPr>
      </w:pPr>
      <w:r>
        <w:rPr>
          <w:sz w:val="24"/>
          <w:szCs w:val="24"/>
        </w:rPr>
        <w:t xml:space="preserve">Приложение № 1 к Извещению и документации </w:t>
      </w:r>
    </w:p>
    <w:p>
      <w:pPr>
        <w:pStyle w:val="Normal"/>
        <w:numPr>
          <w:ilvl w:val="0"/>
          <w:numId w:val="0"/>
        </w:numPr>
        <w:jc w:val="right"/>
        <w:outlineLvl w:val="2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</w:t>
      </w:r>
      <w:r>
        <w:rPr>
          <w:sz w:val="24"/>
          <w:szCs w:val="24"/>
        </w:rPr>
        <w:t xml:space="preserve">для проведения процедуры </w:t>
      </w:r>
    </w:p>
    <w:p>
      <w:pPr>
        <w:pStyle w:val="Normal"/>
        <w:numPr>
          <w:ilvl w:val="0"/>
          <w:numId w:val="0"/>
        </w:numPr>
        <w:jc w:val="right"/>
        <w:outlineLvl w:val="2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>
        <w:rPr>
          <w:sz w:val="24"/>
          <w:szCs w:val="24"/>
        </w:rPr>
        <w:t>(запрос предложений в электронной форме)</w:t>
      </w:r>
    </w:p>
    <w:p>
      <w:pPr>
        <w:pStyle w:val="Normal"/>
        <w:numPr>
          <w:ilvl w:val="0"/>
          <w:numId w:val="0"/>
        </w:numPr>
        <w:jc w:val="right"/>
        <w:outlineLvl w:val="2"/>
        <w:rPr/>
      </w:pPr>
      <w:r>
        <w:rPr>
          <w:sz w:val="24"/>
          <w:szCs w:val="24"/>
        </w:rPr>
        <w:tab/>
      </w:r>
      <w:r>
        <w:rPr/>
        <w:tab/>
        <w:tab/>
        <w:tab/>
      </w:r>
    </w:p>
    <w:p>
      <w:pPr>
        <w:pStyle w:val="Normal"/>
        <w:numPr>
          <w:ilvl w:val="0"/>
          <w:numId w:val="0"/>
        </w:numPr>
        <w:outlineLvl w:val="2"/>
        <w:rPr/>
      </w:pPr>
      <w:r>
        <w:rPr/>
      </w:r>
    </w:p>
    <w:tbl>
      <w:tblPr>
        <w:tblW w:w="10694" w:type="dxa"/>
        <w:jc w:val="left"/>
        <w:tblInd w:w="-318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000" w:noHBand="0" w:noVBand="0" w:firstColumn="0" w:lastRow="0" w:lastColumn="0" w:firstRow="0"/>
      </w:tblPr>
      <w:tblGrid>
        <w:gridCol w:w="10457"/>
        <w:gridCol w:w="236"/>
      </w:tblGrid>
      <w:tr>
        <w:trPr/>
        <w:tc>
          <w:tcPr>
            <w:tcW w:w="10457" w:type="dxa"/>
            <w:tcBorders/>
          </w:tcPr>
          <w:tbl>
            <w:tblPr>
              <w:tblW w:w="10378" w:type="dxa"/>
              <w:jc w:val="left"/>
              <w:tblInd w:w="0" w:type="dxa"/>
              <w:tblLayout w:type="fixed"/>
              <w:tblCellMar>
                <w:top w:w="0" w:type="dxa"/>
                <w:left w:w="108" w:type="dxa"/>
                <w:bottom w:w="0" w:type="dxa"/>
                <w:right w:w="108" w:type="dxa"/>
              </w:tblCellMar>
              <w:tblLook w:val="0000" w:noHBand="0" w:noVBand="0" w:firstColumn="0" w:lastRow="0" w:lastColumn="0" w:firstRow="0"/>
            </w:tblPr>
            <w:tblGrid>
              <w:gridCol w:w="5278"/>
              <w:gridCol w:w="5099"/>
            </w:tblGrid>
            <w:tr>
              <w:trPr>
                <w:trHeight w:val="2310" w:hRule="atLeast"/>
              </w:trPr>
              <w:tc>
                <w:tcPr>
                  <w:tcW w:w="5278" w:type="dxa"/>
                  <w:tcBorders/>
                </w:tcPr>
                <w:p>
                  <w:pPr>
                    <w:pStyle w:val="Normal"/>
                    <w:widowControl w:val="false"/>
                    <w:numPr>
                      <w:ilvl w:val="0"/>
                      <w:numId w:val="0"/>
                    </w:numPr>
                    <w:jc w:val="left"/>
                    <w:outlineLvl w:val="2"/>
                    <w:rPr>
                      <w:i/>
                      <w:i/>
                      <w:shd w:fill="FFFF99" w:val="clear"/>
                    </w:rPr>
                  </w:pPr>
                  <w:r>
                    <w:rPr>
                      <w:i/>
                      <w:shd w:fill="FFFF99" w:val="clear"/>
                    </w:rPr>
                  </w:r>
                </w:p>
                <w:p>
                  <w:pPr>
                    <w:pStyle w:val="Normal"/>
                    <w:widowControl w:val="false"/>
                    <w:numPr>
                      <w:ilvl w:val="0"/>
                      <w:numId w:val="0"/>
                    </w:numPr>
                    <w:jc w:val="left"/>
                    <w:outlineLvl w:val="2"/>
                    <w:rPr>
                      <w:i/>
                      <w:i/>
                      <w:shd w:fill="FFFF99" w:val="clear"/>
                    </w:rPr>
                  </w:pPr>
                  <w:r>
                    <w:rPr>
                      <w:i/>
                      <w:shd w:fill="FFFF99" w:val="clear"/>
                    </w:rPr>
                  </w:r>
                </w:p>
              </w:tc>
              <w:tc>
                <w:tcPr>
                  <w:tcW w:w="5099" w:type="dxa"/>
                  <w:tcBorders/>
                </w:tcPr>
                <w:p>
                  <w:pPr>
                    <w:pStyle w:val="Normal"/>
                    <w:widowControl w:val="false"/>
                    <w:rPr/>
                  </w:pPr>
                  <w:r>
                    <w:rPr/>
                    <w:t>«УТВЕРЖДАЮ»</w:t>
                  </w:r>
                </w:p>
                <w:p>
                  <w:pPr>
                    <w:pStyle w:val="Normal"/>
                    <w:widowControl w:val="false"/>
                    <w:ind w:left="203" w:right="198" w:hanging="0"/>
                    <w:jc w:val="left"/>
                    <w:rPr/>
                  </w:pPr>
                  <w:r>
                    <w:rPr/>
                    <w:t>Директор филиала</w:t>
                  </w:r>
                </w:p>
                <w:p>
                  <w:pPr>
                    <w:pStyle w:val="Normal"/>
                    <w:widowControl w:val="false"/>
                    <w:ind w:left="203" w:right="198" w:hanging="0"/>
                    <w:jc w:val="left"/>
                    <w:rPr/>
                  </w:pPr>
                  <w:r>
                    <w:rPr/>
                    <w:t>ПАО «РусГидро» - «Новосибирская ГЭС»</w:t>
                  </w:r>
                </w:p>
                <w:p>
                  <w:pPr>
                    <w:pStyle w:val="Normal"/>
                    <w:widowControl w:val="false"/>
                    <w:numPr>
                      <w:ilvl w:val="0"/>
                      <w:numId w:val="0"/>
                    </w:numPr>
                    <w:jc w:val="left"/>
                    <w:outlineLvl w:val="2"/>
                    <w:rPr>
                      <w:i/>
                      <w:i/>
                      <w:shd w:fill="FFFF99" w:val="clear"/>
                    </w:rPr>
                  </w:pPr>
                  <w:r>
                    <w:rPr>
                      <w:i/>
                      <w:shd w:fill="FFFF99" w:val="clear"/>
                    </w:rPr>
                    <w:t xml:space="preserve"> </w:t>
                  </w:r>
                </w:p>
                <w:p>
                  <w:pPr>
                    <w:pStyle w:val="Normal"/>
                    <w:widowControl w:val="false"/>
                    <w:numPr>
                      <w:ilvl w:val="0"/>
                      <w:numId w:val="0"/>
                    </w:numPr>
                    <w:jc w:val="left"/>
                    <w:outlineLvl w:val="2"/>
                    <w:rPr>
                      <w:i/>
                      <w:i/>
                      <w:shd w:fill="FFFF99" w:val="clear"/>
                    </w:rPr>
                  </w:pPr>
                  <w:r>
                    <w:rPr>
                      <w:i/>
                      <w:shd w:fill="FFFF99" w:val="clear"/>
                    </w:rPr>
                  </w:r>
                </w:p>
                <w:p>
                  <w:pPr>
                    <w:pStyle w:val="Normal"/>
                    <w:widowControl w:val="false"/>
                    <w:rPr/>
                  </w:pPr>
                  <w:r>
                    <w:rPr/>
                    <w:t xml:space="preserve">  </w:t>
                  </w:r>
                  <w:r>
                    <w:rPr/>
                    <w:t xml:space="preserve">_________________  Холодов А.В. </w:t>
                  </w:r>
                </w:p>
                <w:p>
                  <w:pPr>
                    <w:pStyle w:val="Normal"/>
                    <w:widowControl w:val="false"/>
                    <w:numPr>
                      <w:ilvl w:val="0"/>
                      <w:numId w:val="0"/>
                    </w:numPr>
                    <w:jc w:val="left"/>
                    <w:outlineLvl w:val="2"/>
                    <w:rPr>
                      <w:i/>
                      <w:i/>
                      <w:shd w:fill="FFFF99" w:val="clear"/>
                    </w:rPr>
                  </w:pPr>
                  <w:r>
                    <w:rPr/>
                    <w:t>«___ » ____________ 202</w:t>
                  </w:r>
                  <w:r>
                    <w:rPr>
                      <w:lang w:val="en-US"/>
                    </w:rPr>
                    <w:t>6</w:t>
                  </w:r>
                  <w:r>
                    <w:rPr/>
                    <w:t xml:space="preserve"> года</w:t>
                  </w:r>
                </w:p>
              </w:tc>
            </w:tr>
          </w:tbl>
          <w:p>
            <w:pPr>
              <w:pStyle w:val="Normal"/>
              <w:widowControl w:val="false"/>
              <w:numPr>
                <w:ilvl w:val="0"/>
                <w:numId w:val="0"/>
              </w:numPr>
              <w:jc w:val="center"/>
              <w:outlineLvl w:val="2"/>
              <w:rPr/>
            </w:pPr>
            <w:r>
              <w:rPr/>
            </w:r>
          </w:p>
        </w:tc>
        <w:tc>
          <w:tcPr>
            <w:tcW w:w="236" w:type="dxa"/>
            <w:tcBorders/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jc w:val="center"/>
              <w:outlineLvl w:val="2"/>
              <w:rPr/>
            </w:pPr>
            <w:r>
              <w:rPr/>
            </w:r>
          </w:p>
        </w:tc>
      </w:tr>
    </w:tbl>
    <w:p>
      <w:pPr>
        <w:pStyle w:val="Normal"/>
        <w:numPr>
          <w:ilvl w:val="0"/>
          <w:numId w:val="0"/>
        </w:numPr>
        <w:outlineLvl w:val="2"/>
        <w:rPr/>
      </w:pPr>
      <w:r>
        <w:rPr/>
      </w:r>
    </w:p>
    <w:p>
      <w:pPr>
        <w:pStyle w:val="Normal"/>
        <w:numPr>
          <w:ilvl w:val="0"/>
          <w:numId w:val="0"/>
        </w:numPr>
        <w:outlineLvl w:val="2"/>
        <w:rPr/>
      </w:pPr>
      <w:r>
        <w:rPr/>
      </w:r>
    </w:p>
    <w:p>
      <w:pPr>
        <w:pStyle w:val="Normal"/>
        <w:numPr>
          <w:ilvl w:val="0"/>
          <w:numId w:val="0"/>
        </w:numPr>
        <w:outlineLvl w:val="2"/>
        <w:rPr/>
      </w:pPr>
      <w:r>
        <w:rPr/>
      </w:r>
    </w:p>
    <w:p>
      <w:pPr>
        <w:pStyle w:val="Normal"/>
        <w:numPr>
          <w:ilvl w:val="0"/>
          <w:numId w:val="0"/>
        </w:numPr>
        <w:outlineLvl w:val="2"/>
        <w:rPr/>
      </w:pPr>
      <w:r>
        <w:rPr/>
      </w:r>
    </w:p>
    <w:p>
      <w:pPr>
        <w:pStyle w:val="Normal"/>
        <w:numPr>
          <w:ilvl w:val="0"/>
          <w:numId w:val="0"/>
        </w:numPr>
        <w:outlineLvl w:val="2"/>
        <w:rPr/>
      </w:pPr>
      <w:r>
        <w:rPr/>
      </w:r>
    </w:p>
    <w:p>
      <w:pPr>
        <w:pStyle w:val="Normal"/>
        <w:numPr>
          <w:ilvl w:val="0"/>
          <w:numId w:val="0"/>
        </w:numPr>
        <w:outlineLvl w:val="2"/>
        <w:rPr/>
      </w:pPr>
      <w:r>
        <w:rPr/>
      </w:r>
    </w:p>
    <w:p>
      <w:pPr>
        <w:pStyle w:val="Normal"/>
        <w:numPr>
          <w:ilvl w:val="0"/>
          <w:numId w:val="0"/>
        </w:numPr>
        <w:jc w:val="center"/>
        <w:outlineLvl w:val="2"/>
        <w:rPr>
          <w:b/>
        </w:rPr>
      </w:pPr>
      <w:bookmarkStart w:id="4" w:name="_Toc20150259"/>
      <w:bookmarkStart w:id="5" w:name="_Toc20150081"/>
      <w:bookmarkStart w:id="6" w:name="_Toc21536929"/>
      <w:r>
        <w:rPr>
          <w:b/>
        </w:rPr>
        <w:t>Техническое задание</w:t>
      </w:r>
      <w:bookmarkEnd w:id="4"/>
      <w:bookmarkEnd w:id="5"/>
      <w:bookmarkEnd w:id="6"/>
    </w:p>
    <w:p>
      <w:pPr>
        <w:pStyle w:val="Normal"/>
        <w:numPr>
          <w:ilvl w:val="0"/>
          <w:numId w:val="0"/>
        </w:numPr>
        <w:jc w:val="center"/>
        <w:outlineLvl w:val="2"/>
        <w:rPr/>
      </w:pPr>
      <w:r>
        <w:rPr/>
        <w:t>для проведения процедуры реализации лопастей и затворов</w:t>
      </w:r>
    </w:p>
    <w:p>
      <w:pPr>
        <w:pStyle w:val="Normal"/>
        <w:jc w:val="center"/>
        <w:rPr/>
      </w:pPr>
      <w:bookmarkStart w:id="7" w:name="_Toc20150082"/>
      <w:bookmarkStart w:id="8" w:name="_Toc21536930"/>
      <w:bookmarkStart w:id="9" w:name="_Toc20150260"/>
      <w:r>
        <w:rPr/>
        <w:t>филиала ПАО «РусГидро» - «Новосибирская ГЭС»</w:t>
      </w:r>
      <w:bookmarkEnd w:id="7"/>
      <w:bookmarkEnd w:id="8"/>
      <w:bookmarkEnd w:id="9"/>
    </w:p>
    <w:p>
      <w:pPr>
        <w:pStyle w:val="Normal"/>
        <w:numPr>
          <w:ilvl w:val="0"/>
          <w:numId w:val="0"/>
        </w:numPr>
        <w:jc w:val="center"/>
        <w:outlineLvl w:val="2"/>
        <w:rPr/>
      </w:pPr>
      <w:r>
        <w:rPr/>
      </w:r>
    </w:p>
    <w:p>
      <w:pPr>
        <w:pStyle w:val="Normal"/>
        <w:numPr>
          <w:ilvl w:val="0"/>
          <w:numId w:val="0"/>
        </w:numPr>
        <w:jc w:val="center"/>
        <w:outlineLvl w:val="2"/>
        <w:rPr/>
      </w:pPr>
      <w:r>
        <w:rPr/>
      </w:r>
    </w:p>
    <w:p>
      <w:pPr>
        <w:pStyle w:val="Normal"/>
        <w:numPr>
          <w:ilvl w:val="0"/>
          <w:numId w:val="0"/>
        </w:numPr>
        <w:jc w:val="center"/>
        <w:outlineLvl w:val="2"/>
        <w:rPr/>
      </w:pPr>
      <w:r>
        <w:rPr/>
      </w:r>
    </w:p>
    <w:p>
      <w:pPr>
        <w:pStyle w:val="Normal"/>
        <w:numPr>
          <w:ilvl w:val="0"/>
          <w:numId w:val="0"/>
        </w:numPr>
        <w:jc w:val="center"/>
        <w:outlineLvl w:val="2"/>
        <w:rPr/>
      </w:pPr>
      <w:r>
        <w:rPr/>
      </w:r>
    </w:p>
    <w:p>
      <w:pPr>
        <w:pStyle w:val="Normal"/>
        <w:numPr>
          <w:ilvl w:val="0"/>
          <w:numId w:val="0"/>
        </w:numPr>
        <w:jc w:val="center"/>
        <w:outlineLvl w:val="2"/>
        <w:rPr/>
      </w:pPr>
      <w:r>
        <w:rPr/>
      </w:r>
    </w:p>
    <w:p>
      <w:pPr>
        <w:pStyle w:val="Normal"/>
        <w:numPr>
          <w:ilvl w:val="0"/>
          <w:numId w:val="0"/>
        </w:numPr>
        <w:jc w:val="center"/>
        <w:outlineLvl w:val="2"/>
        <w:rPr/>
      </w:pPr>
      <w:r>
        <w:rPr/>
      </w:r>
    </w:p>
    <w:p>
      <w:pPr>
        <w:pStyle w:val="Normal"/>
        <w:numPr>
          <w:ilvl w:val="0"/>
          <w:numId w:val="0"/>
        </w:numPr>
        <w:jc w:val="center"/>
        <w:outlineLvl w:val="2"/>
        <w:rPr/>
      </w:pPr>
      <w:r>
        <w:rPr/>
      </w:r>
    </w:p>
    <w:p>
      <w:pPr>
        <w:pStyle w:val="Normal"/>
        <w:numPr>
          <w:ilvl w:val="0"/>
          <w:numId w:val="0"/>
        </w:numPr>
        <w:jc w:val="center"/>
        <w:outlineLvl w:val="2"/>
        <w:rPr/>
      </w:pPr>
      <w:r>
        <w:rPr/>
      </w:r>
    </w:p>
    <w:p>
      <w:pPr>
        <w:pStyle w:val="Normal"/>
        <w:numPr>
          <w:ilvl w:val="0"/>
          <w:numId w:val="0"/>
        </w:numPr>
        <w:jc w:val="center"/>
        <w:outlineLvl w:val="2"/>
        <w:rPr/>
      </w:pPr>
      <w:r>
        <w:rPr/>
      </w:r>
    </w:p>
    <w:p>
      <w:pPr>
        <w:pStyle w:val="Normal"/>
        <w:numPr>
          <w:ilvl w:val="0"/>
          <w:numId w:val="0"/>
        </w:numPr>
        <w:jc w:val="center"/>
        <w:outlineLvl w:val="2"/>
        <w:rPr/>
      </w:pPr>
      <w:r>
        <w:rPr/>
      </w:r>
    </w:p>
    <w:p>
      <w:pPr>
        <w:pStyle w:val="Normal"/>
        <w:numPr>
          <w:ilvl w:val="0"/>
          <w:numId w:val="0"/>
        </w:numPr>
        <w:jc w:val="center"/>
        <w:outlineLvl w:val="2"/>
        <w:rPr/>
      </w:pPr>
      <w:r>
        <w:rPr/>
      </w:r>
    </w:p>
    <w:p>
      <w:pPr>
        <w:pStyle w:val="Normal"/>
        <w:numPr>
          <w:ilvl w:val="0"/>
          <w:numId w:val="0"/>
        </w:numPr>
        <w:jc w:val="center"/>
        <w:outlineLvl w:val="2"/>
        <w:rPr/>
      </w:pPr>
      <w:r>
        <w:rPr/>
      </w:r>
    </w:p>
    <w:p>
      <w:pPr>
        <w:pStyle w:val="Normal"/>
        <w:numPr>
          <w:ilvl w:val="0"/>
          <w:numId w:val="0"/>
        </w:numPr>
        <w:jc w:val="center"/>
        <w:outlineLvl w:val="2"/>
        <w:rPr/>
      </w:pPr>
      <w:r>
        <w:rPr/>
      </w:r>
    </w:p>
    <w:p>
      <w:pPr>
        <w:pStyle w:val="Normal"/>
        <w:numPr>
          <w:ilvl w:val="0"/>
          <w:numId w:val="0"/>
        </w:numPr>
        <w:jc w:val="center"/>
        <w:outlineLvl w:val="2"/>
        <w:rPr/>
      </w:pPr>
      <w:r>
        <w:rPr/>
      </w:r>
    </w:p>
    <w:p>
      <w:pPr>
        <w:pStyle w:val="Normal"/>
        <w:numPr>
          <w:ilvl w:val="0"/>
          <w:numId w:val="0"/>
        </w:numPr>
        <w:jc w:val="center"/>
        <w:outlineLvl w:val="2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jc w:val="center"/>
        <w:rPr/>
      </w:pPr>
      <w:r>
        <w:rPr/>
        <w:t>г.</w:t>
      </w:r>
      <w:r>
        <w:rPr>
          <w:lang w:val="en-US"/>
        </w:rPr>
        <w:t>Новосибирск</w:t>
      </w:r>
    </w:p>
    <w:p>
      <w:pPr>
        <w:pStyle w:val="Normal"/>
        <w:numPr>
          <w:ilvl w:val="0"/>
          <w:numId w:val="0"/>
        </w:numPr>
        <w:outlineLvl w:val="2"/>
        <w:rPr/>
      </w:pPr>
      <w:r>
        <w:rPr/>
        <w:tab/>
        <w:tab/>
        <w:tab/>
        <w:tab/>
        <w:tab/>
        <w:tab/>
      </w:r>
    </w:p>
    <w:p>
      <w:pPr>
        <w:pStyle w:val="Normal"/>
        <w:numPr>
          <w:ilvl w:val="0"/>
          <w:numId w:val="0"/>
        </w:numPr>
        <w:jc w:val="center"/>
        <w:outlineLvl w:val="2"/>
        <w:rPr>
          <w:lang w:val="en-US"/>
        </w:rPr>
      </w:pPr>
      <w:r>
        <w:rPr/>
        <w:t>20</w:t>
      </w:r>
      <w:r>
        <w:rPr>
          <w:lang w:val="en-US"/>
        </w:rPr>
        <w:t>26</w:t>
      </w:r>
    </w:p>
    <w:p>
      <w:pPr>
        <w:pStyle w:val="Normal"/>
        <w:numPr>
          <w:ilvl w:val="0"/>
          <w:numId w:val="0"/>
        </w:numPr>
        <w:jc w:val="center"/>
        <w:outlineLvl w:val="2"/>
        <w:rPr/>
      </w:pPr>
      <w:r>
        <w:rPr/>
      </w:r>
    </w:p>
    <w:p>
      <w:pPr>
        <w:pStyle w:val="Normal"/>
        <w:widowControl w:val="false"/>
        <w:numPr>
          <w:ilvl w:val="0"/>
          <w:numId w:val="2"/>
        </w:numPr>
        <w:tabs>
          <w:tab w:val="clear" w:pos="708"/>
          <w:tab w:val="left" w:pos="567" w:leader="none"/>
        </w:tabs>
        <w:ind w:left="0" w:right="709" w:hanging="0"/>
        <w:jc w:val="left"/>
        <w:outlineLvl w:val="2"/>
        <w:rPr>
          <w:b/>
          <w:bCs/>
          <w:kern w:val="2"/>
        </w:rPr>
      </w:pPr>
      <w:bookmarkStart w:id="10" w:name="_Toc20150261"/>
      <w:bookmarkStart w:id="11" w:name="_Toc20150083"/>
      <w:bookmarkStart w:id="12" w:name="_Toc21536931"/>
      <w:r>
        <w:rPr>
          <w:b/>
          <w:bCs/>
          <w:kern w:val="2"/>
        </w:rPr>
        <w:t>Общие сведения.</w:t>
      </w:r>
      <w:bookmarkEnd w:id="10"/>
      <w:bookmarkEnd w:id="11"/>
      <w:bookmarkEnd w:id="12"/>
    </w:p>
    <w:p>
      <w:pPr>
        <w:pStyle w:val="Normal"/>
        <w:numPr>
          <w:ilvl w:val="0"/>
          <w:numId w:val="0"/>
        </w:numPr>
        <w:tabs>
          <w:tab w:val="clear" w:pos="708"/>
          <w:tab w:val="left" w:pos="1701" w:leader="none"/>
          <w:tab w:val="left" w:pos="1843" w:leader="none"/>
        </w:tabs>
        <w:outlineLvl w:val="2"/>
        <w:rPr>
          <w:bCs/>
          <w:kern w:val="2"/>
        </w:rPr>
      </w:pPr>
      <w:r>
        <w:rPr/>
        <w:t>Лопасти и затворы</w:t>
      </w:r>
      <w:r>
        <w:rPr>
          <w:bCs/>
          <w:kern w:val="2"/>
        </w:rPr>
        <w:t>, образовавшиеся в результате производственно-хозяйственной деятельности Филиала ПАО «РусГидро» - «Новосибирская ГЭС», указанные в Спецификации (Приложение № 1 к настоящему Техническому заданию), реализуются навалом, разных видов и габаритах (Приложение № 4 к настоящему Техническому заданию).</w:t>
      </w:r>
    </w:p>
    <w:p>
      <w:pPr>
        <w:pStyle w:val="Normal"/>
        <w:numPr>
          <w:ilvl w:val="0"/>
          <w:numId w:val="0"/>
        </w:numPr>
        <w:tabs>
          <w:tab w:val="clear" w:pos="708"/>
          <w:tab w:val="left" w:pos="1701" w:leader="none"/>
          <w:tab w:val="left" w:pos="1843" w:leader="none"/>
        </w:tabs>
        <w:outlineLvl w:val="2"/>
        <w:rPr>
          <w:bCs/>
          <w:kern w:val="2"/>
        </w:rPr>
      </w:pPr>
      <w:r>
        <w:rPr>
          <w:bCs/>
          <w:kern w:val="2"/>
        </w:rPr>
      </w:r>
    </w:p>
    <w:p>
      <w:pPr>
        <w:pStyle w:val="Normal"/>
        <w:widowControl w:val="false"/>
        <w:numPr>
          <w:ilvl w:val="0"/>
          <w:numId w:val="2"/>
        </w:numPr>
        <w:tabs>
          <w:tab w:val="clear" w:pos="708"/>
          <w:tab w:val="left" w:pos="567" w:leader="none"/>
        </w:tabs>
        <w:ind w:left="0" w:right="709" w:hanging="0"/>
        <w:jc w:val="left"/>
        <w:outlineLvl w:val="2"/>
        <w:rPr>
          <w:b/>
          <w:bCs/>
          <w:kern w:val="2"/>
        </w:rPr>
      </w:pPr>
      <w:bookmarkStart w:id="13" w:name="_Ref20220400"/>
      <w:bookmarkStart w:id="14" w:name="_Toc21536932"/>
      <w:bookmarkStart w:id="15" w:name="_Toc20150262"/>
      <w:bookmarkStart w:id="16" w:name="_Toc20150084"/>
      <w:r>
        <w:rPr>
          <w:b/>
          <w:bCs/>
          <w:kern w:val="2"/>
        </w:rPr>
        <w:t>Место реализации лопастей и затворов.</w:t>
      </w:r>
      <w:bookmarkEnd w:id="13"/>
      <w:bookmarkEnd w:id="14"/>
      <w:bookmarkEnd w:id="15"/>
      <w:bookmarkEnd w:id="16"/>
    </w:p>
    <w:p>
      <w:pPr>
        <w:pStyle w:val="Normal"/>
        <w:widowControl w:val="false"/>
        <w:numPr>
          <w:ilvl w:val="0"/>
          <w:numId w:val="0"/>
        </w:numPr>
        <w:tabs>
          <w:tab w:val="clear" w:pos="708"/>
          <w:tab w:val="left" w:pos="567" w:leader="none"/>
        </w:tabs>
        <w:jc w:val="left"/>
        <w:outlineLvl w:val="2"/>
        <w:rPr>
          <w:bCs/>
          <w:kern w:val="2"/>
        </w:rPr>
      </w:pPr>
      <w:r>
        <w:rPr>
          <w:bCs/>
          <w:kern w:val="2"/>
        </w:rPr>
        <w:t>Территория ПАО «РусГидро» - «Новосибирская ГЭС».</w:t>
      </w:r>
    </w:p>
    <w:p>
      <w:pPr>
        <w:pStyle w:val="Normal"/>
        <w:numPr>
          <w:ilvl w:val="0"/>
          <w:numId w:val="0"/>
        </w:numPr>
        <w:tabs>
          <w:tab w:val="clear" w:pos="708"/>
          <w:tab w:val="left" w:pos="1701" w:leader="none"/>
          <w:tab w:val="left" w:pos="1843" w:leader="none"/>
        </w:tabs>
        <w:outlineLvl w:val="2"/>
        <w:rPr>
          <w:bCs/>
          <w:kern w:val="2"/>
        </w:rPr>
      </w:pPr>
      <w:r>
        <w:rPr>
          <w:bCs/>
          <w:kern w:val="2"/>
        </w:rPr>
        <w:t xml:space="preserve">Фактический адрес: Российская Федерация, г. Новосибирск, ул. Новоморская, д.4. Открытая площадка. </w:t>
      </w:r>
    </w:p>
    <w:p>
      <w:pPr>
        <w:pStyle w:val="Normal"/>
        <w:numPr>
          <w:ilvl w:val="0"/>
          <w:numId w:val="0"/>
        </w:numPr>
        <w:tabs>
          <w:tab w:val="clear" w:pos="708"/>
          <w:tab w:val="left" w:pos="1701" w:leader="none"/>
          <w:tab w:val="left" w:pos="1843" w:leader="none"/>
        </w:tabs>
        <w:outlineLvl w:val="2"/>
        <w:rPr>
          <w:bCs/>
          <w:kern w:val="2"/>
        </w:rPr>
      </w:pPr>
      <w:r>
        <w:rPr>
          <w:bCs/>
          <w:kern w:val="2"/>
        </w:rPr>
      </w:r>
    </w:p>
    <w:p>
      <w:pPr>
        <w:pStyle w:val="Normal"/>
        <w:widowControl w:val="false"/>
        <w:numPr>
          <w:ilvl w:val="0"/>
          <w:numId w:val="2"/>
        </w:numPr>
        <w:ind w:left="0" w:right="709" w:hanging="0"/>
        <w:jc w:val="left"/>
        <w:outlineLvl w:val="2"/>
        <w:rPr>
          <w:b/>
          <w:bCs/>
          <w:kern w:val="2"/>
        </w:rPr>
      </w:pPr>
      <w:bookmarkStart w:id="17" w:name="_Toc20150263"/>
      <w:bookmarkStart w:id="18" w:name="_Toc20150085"/>
      <w:bookmarkStart w:id="19" w:name="_Toc21536933"/>
      <w:r>
        <w:rPr>
          <w:b/>
          <w:bCs/>
          <w:kern w:val="2"/>
        </w:rPr>
        <w:t>Общие требования к Покупателю.</w:t>
      </w:r>
      <w:bookmarkEnd w:id="17"/>
      <w:bookmarkEnd w:id="18"/>
      <w:bookmarkEnd w:id="19"/>
    </w:p>
    <w:p>
      <w:pPr>
        <w:pStyle w:val="Normal"/>
        <w:widowControl w:val="false"/>
        <w:numPr>
          <w:ilvl w:val="1"/>
          <w:numId w:val="2"/>
        </w:numPr>
        <w:tabs>
          <w:tab w:val="clear" w:pos="708"/>
          <w:tab w:val="left" w:pos="1134" w:leader="none"/>
        </w:tabs>
        <w:ind w:left="0" w:hanging="6"/>
        <w:outlineLvl w:val="2"/>
        <w:rPr>
          <w:bCs/>
          <w:kern w:val="2"/>
        </w:rPr>
      </w:pPr>
      <w:bookmarkStart w:id="20" w:name="_Toc20150090"/>
      <w:bookmarkStart w:id="21" w:name="_Toc20150268"/>
      <w:bookmarkStart w:id="22" w:name="_Toc21536938"/>
      <w:r>
        <w:rPr>
          <w:bCs/>
          <w:kern w:val="2"/>
        </w:rPr>
        <w:t>При выполнении работ на территории филиала (погрузка в транспортное средство), Покупателю необходимо иметь в наличии (в собственности, либо аренде, либо по договору) подъемные сооружения (автокран, кран-манипулятор), исправные механизмы и грузозахватные приспособления для погрузки в транспортное средство</w:t>
      </w:r>
      <w:bookmarkEnd w:id="20"/>
      <w:bookmarkEnd w:id="21"/>
      <w:bookmarkEnd w:id="22"/>
      <w:r>
        <w:rPr>
          <w:bCs/>
          <w:kern w:val="2"/>
        </w:rPr>
        <w:t xml:space="preserve">. </w:t>
      </w:r>
    </w:p>
    <w:p>
      <w:pPr>
        <w:pStyle w:val="Normal"/>
        <w:widowControl w:val="false"/>
        <w:numPr>
          <w:ilvl w:val="1"/>
          <w:numId w:val="2"/>
        </w:numPr>
        <w:tabs>
          <w:tab w:val="clear" w:pos="708"/>
          <w:tab w:val="left" w:pos="1134" w:leader="none"/>
        </w:tabs>
        <w:ind w:left="0" w:hanging="0"/>
        <w:outlineLvl w:val="2"/>
        <w:rPr/>
      </w:pPr>
      <w:bookmarkStart w:id="23" w:name="_Toc21536939"/>
      <w:bookmarkStart w:id="24" w:name="_Toc20150091"/>
      <w:bookmarkStart w:id="25" w:name="_Toc20150269"/>
      <w:r>
        <w:rPr>
          <w:bCs/>
          <w:kern w:val="2"/>
        </w:rPr>
        <w:t xml:space="preserve">При выполнении работ на территории филиала (погрузка в транспортное средство), Покупатель и/или нанятые им субподрядчики солидарно должны располагать штатным квалифицированным персоналом, необходимым для выполнения всего комплекса работ (машинисты подъемных сооружений для погрузки в транспортное средство, стропальщики, специалисты ответственные за содержание в исправном состоянии и безопасное производство работ с применением подъемных сооружений с соответствующими квалификационными удостоверениями подтверждающими наличие соответствующего обучения, проверки знаний, а так же протоколы подтверждающие прохождение аттестации по областям промышленной безопасности в соответствии с требованиями приказа Ростехнадзора от 26.11.2020 №459). </w:t>
      </w:r>
      <w:bookmarkEnd w:id="23"/>
      <w:bookmarkEnd w:id="24"/>
      <w:bookmarkEnd w:id="25"/>
    </w:p>
    <w:p>
      <w:pPr>
        <w:pStyle w:val="Normal"/>
        <w:widowControl w:val="false"/>
        <w:numPr>
          <w:ilvl w:val="0"/>
          <w:numId w:val="0"/>
        </w:numPr>
        <w:tabs>
          <w:tab w:val="clear" w:pos="708"/>
          <w:tab w:val="left" w:pos="1134" w:leader="none"/>
        </w:tabs>
        <w:outlineLvl w:val="2"/>
        <w:rPr/>
      </w:pPr>
      <w:r>
        <w:rPr/>
      </w:r>
    </w:p>
    <w:p>
      <w:pPr>
        <w:pStyle w:val="Normal"/>
        <w:widowControl w:val="false"/>
        <w:numPr>
          <w:ilvl w:val="0"/>
          <w:numId w:val="2"/>
        </w:numPr>
        <w:ind w:left="0" w:right="709" w:hanging="0"/>
        <w:jc w:val="left"/>
        <w:outlineLvl w:val="2"/>
        <w:rPr>
          <w:b/>
          <w:bCs/>
          <w:kern w:val="2"/>
        </w:rPr>
      </w:pPr>
      <w:bookmarkStart w:id="26" w:name="_Toc20150270"/>
      <w:bookmarkStart w:id="27" w:name="_Toc21536940"/>
      <w:bookmarkStart w:id="28" w:name="_Toc20150092"/>
      <w:r>
        <w:rPr>
          <w:b/>
          <w:bCs/>
          <w:kern w:val="2"/>
        </w:rPr>
        <w:t>Требования к организации процесса реализации.</w:t>
      </w:r>
      <w:bookmarkEnd w:id="26"/>
      <w:bookmarkEnd w:id="27"/>
      <w:bookmarkEnd w:id="28"/>
    </w:p>
    <w:p>
      <w:pPr>
        <w:pStyle w:val="Normal"/>
        <w:widowControl w:val="false"/>
        <w:numPr>
          <w:ilvl w:val="1"/>
          <w:numId w:val="2"/>
        </w:numPr>
        <w:tabs>
          <w:tab w:val="clear" w:pos="708"/>
          <w:tab w:val="left" w:pos="1134" w:leader="none"/>
        </w:tabs>
        <w:ind w:left="0" w:hanging="0"/>
        <w:outlineLvl w:val="2"/>
        <w:rPr>
          <w:bCs/>
          <w:kern w:val="2"/>
        </w:rPr>
      </w:pPr>
      <w:bookmarkStart w:id="29" w:name="_Toc20150271"/>
      <w:bookmarkStart w:id="30" w:name="_Toc20150093"/>
      <w:bookmarkStart w:id="31" w:name="_Toc21536941"/>
      <w:bookmarkStart w:id="32" w:name="_Ref20147251"/>
      <w:r>
        <w:rPr>
          <w:bCs/>
          <w:kern w:val="2"/>
        </w:rPr>
        <w:t>Срок окончания реализации –  до 07.08.2026г., с учетом исполнения в полном объеме обязательств по договору купли-продажи.</w:t>
      </w:r>
      <w:bookmarkEnd w:id="29"/>
      <w:bookmarkEnd w:id="30"/>
      <w:bookmarkEnd w:id="31"/>
      <w:bookmarkEnd w:id="32"/>
    </w:p>
    <w:p>
      <w:pPr>
        <w:pStyle w:val="Normal"/>
        <w:widowControl w:val="false"/>
        <w:numPr>
          <w:ilvl w:val="1"/>
          <w:numId w:val="2"/>
        </w:numPr>
        <w:tabs>
          <w:tab w:val="clear" w:pos="708"/>
          <w:tab w:val="left" w:pos="1134" w:leader="none"/>
        </w:tabs>
        <w:ind w:left="0" w:hanging="0"/>
        <w:outlineLvl w:val="2"/>
        <w:rPr>
          <w:bCs/>
          <w:kern w:val="2"/>
        </w:rPr>
      </w:pPr>
      <w:bookmarkStart w:id="33" w:name="_Toc20150094"/>
      <w:bookmarkStart w:id="34" w:name="_Toc21536942"/>
      <w:bookmarkStart w:id="35" w:name="_Toc20150272"/>
      <w:r>
        <w:rPr>
          <w:bCs/>
          <w:kern w:val="2"/>
        </w:rPr>
        <w:t>Реализация производится на условиях предварительной 100 % оплаты.</w:t>
      </w:r>
      <w:bookmarkEnd w:id="33"/>
      <w:bookmarkEnd w:id="34"/>
      <w:bookmarkEnd w:id="35"/>
    </w:p>
    <w:p>
      <w:pPr>
        <w:pStyle w:val="Normal"/>
        <w:widowControl w:val="false"/>
        <w:numPr>
          <w:ilvl w:val="1"/>
          <w:numId w:val="2"/>
        </w:numPr>
        <w:tabs>
          <w:tab w:val="clear" w:pos="708"/>
          <w:tab w:val="left" w:pos="1134" w:leader="none"/>
        </w:tabs>
        <w:ind w:left="0" w:hanging="0"/>
        <w:outlineLvl w:val="2"/>
        <w:rPr>
          <w:bCs/>
          <w:kern w:val="2"/>
        </w:rPr>
      </w:pPr>
      <w:bookmarkStart w:id="36" w:name="_Toc20150095"/>
      <w:bookmarkStart w:id="37" w:name="_Toc20150273"/>
      <w:bookmarkStart w:id="38" w:name="_Toc21536943"/>
      <w:r>
        <w:rPr>
          <w:bCs/>
          <w:kern w:val="2"/>
        </w:rPr>
        <w:t>При выполнении Покупателем работ на территории Продавца, погрузка должны быть начаты в течение 10 (десяти) дней с момента подписания договора купли-продажи.</w:t>
      </w:r>
      <w:bookmarkEnd w:id="36"/>
      <w:bookmarkEnd w:id="37"/>
      <w:bookmarkEnd w:id="38"/>
    </w:p>
    <w:p>
      <w:pPr>
        <w:pStyle w:val="Normal"/>
        <w:widowControl w:val="false"/>
        <w:numPr>
          <w:ilvl w:val="1"/>
          <w:numId w:val="2"/>
        </w:numPr>
        <w:tabs>
          <w:tab w:val="clear" w:pos="708"/>
          <w:tab w:val="left" w:pos="1134" w:leader="none"/>
        </w:tabs>
        <w:ind w:left="0" w:hanging="0"/>
        <w:outlineLvl w:val="2"/>
        <w:rPr>
          <w:bCs/>
          <w:kern w:val="2"/>
        </w:rPr>
      </w:pPr>
      <w:bookmarkStart w:id="39" w:name="_Toc20150278"/>
      <w:bookmarkStart w:id="40" w:name="_Toc21536948"/>
      <w:bookmarkStart w:id="41" w:name="_Toc20150100"/>
      <w:r>
        <w:rPr>
          <w:bCs/>
          <w:kern w:val="2"/>
        </w:rPr>
        <w:t>При выполнении работ Покупателем на территории Продавца по погрузке должны выполняться с соблюдением требований охраны труда, пожарной безопасности, санитарно-экологических требований по обращению с отходами производства и потребления, соблюдением требований пропускного и внутриобъектового режимов и другими регламентирующими документами, квалифицированным персоналом, имеющим необходимые допуски и разрешения.</w:t>
      </w:r>
      <w:bookmarkEnd w:id="39"/>
      <w:bookmarkEnd w:id="40"/>
      <w:bookmarkEnd w:id="41"/>
    </w:p>
    <w:p>
      <w:pPr>
        <w:pStyle w:val="Normal"/>
        <w:widowControl w:val="false"/>
        <w:numPr>
          <w:ilvl w:val="1"/>
          <w:numId w:val="2"/>
        </w:numPr>
        <w:tabs>
          <w:tab w:val="clear" w:pos="708"/>
          <w:tab w:val="left" w:pos="1134" w:leader="none"/>
        </w:tabs>
        <w:ind w:left="0" w:hanging="0"/>
        <w:outlineLvl w:val="2"/>
        <w:rPr>
          <w:bCs/>
          <w:kern w:val="2"/>
        </w:rPr>
      </w:pPr>
      <w:bookmarkStart w:id="42" w:name="_Toc20150101"/>
      <w:bookmarkStart w:id="43" w:name="_Toc21536949"/>
      <w:bookmarkStart w:id="44" w:name="_Toc20150279"/>
      <w:r>
        <w:rPr>
          <w:bCs/>
          <w:kern w:val="2"/>
        </w:rPr>
        <w:t xml:space="preserve"> </w:t>
      </w:r>
      <w:r>
        <w:rPr>
          <w:bCs/>
          <w:kern w:val="2"/>
        </w:rPr>
        <w:t>Покупатель при необходимости за свой счет и в установленном порядке обеспечивает входной радиационный контроль и контроль на взрывобезопасность покупаемого лома металлов. Результаты отражаются в акте приема-передачи.</w:t>
      </w:r>
      <w:bookmarkEnd w:id="42"/>
      <w:bookmarkEnd w:id="43"/>
      <w:bookmarkEnd w:id="44"/>
    </w:p>
    <w:p>
      <w:pPr>
        <w:pStyle w:val="Normal"/>
        <w:numPr>
          <w:ilvl w:val="0"/>
          <w:numId w:val="0"/>
        </w:numPr>
        <w:tabs>
          <w:tab w:val="clear" w:pos="708"/>
          <w:tab w:val="left" w:pos="1701" w:leader="none"/>
          <w:tab w:val="left" w:pos="1843" w:leader="none"/>
        </w:tabs>
        <w:outlineLvl w:val="2"/>
        <w:rPr>
          <w:bCs/>
          <w:kern w:val="2"/>
        </w:rPr>
      </w:pPr>
      <w:r>
        <w:rPr>
          <w:bCs/>
          <w:kern w:val="2"/>
        </w:rPr>
      </w:r>
    </w:p>
    <w:p>
      <w:pPr>
        <w:pStyle w:val="Normal"/>
        <w:widowControl w:val="false"/>
        <w:numPr>
          <w:ilvl w:val="0"/>
          <w:numId w:val="2"/>
        </w:numPr>
        <w:ind w:left="567" w:right="709" w:hanging="567"/>
        <w:outlineLvl w:val="2"/>
        <w:rPr>
          <w:b/>
          <w:bCs/>
          <w:kern w:val="2"/>
        </w:rPr>
      </w:pPr>
      <w:bookmarkStart w:id="45" w:name="_Toc20150102"/>
      <w:bookmarkStart w:id="46" w:name="_Toc20150280"/>
      <w:bookmarkStart w:id="47" w:name="_Toc21536950"/>
      <w:r>
        <w:rPr>
          <w:b/>
          <w:bCs/>
          <w:kern w:val="2"/>
        </w:rPr>
        <w:t>Требования по охране труда при работе Покупателя на территории Продавца.</w:t>
      </w:r>
      <w:bookmarkEnd w:id="45"/>
      <w:bookmarkEnd w:id="46"/>
      <w:bookmarkEnd w:id="47"/>
    </w:p>
    <w:p>
      <w:pPr>
        <w:pStyle w:val="Normal"/>
        <w:widowControl w:val="false"/>
        <w:numPr>
          <w:ilvl w:val="1"/>
          <w:numId w:val="2"/>
        </w:numPr>
        <w:tabs>
          <w:tab w:val="clear" w:pos="708"/>
          <w:tab w:val="left" w:pos="1134" w:leader="none"/>
        </w:tabs>
        <w:ind w:left="0" w:firstLine="567"/>
        <w:outlineLvl w:val="2"/>
        <w:rPr>
          <w:bCs/>
          <w:kern w:val="2"/>
        </w:rPr>
      </w:pPr>
      <w:bookmarkStart w:id="48" w:name="_Toc20150103"/>
      <w:bookmarkStart w:id="49" w:name="_Toc20150281"/>
      <w:bookmarkStart w:id="50" w:name="_Toc21536951"/>
      <w:r>
        <w:rPr>
          <w:bCs/>
          <w:kern w:val="2"/>
        </w:rPr>
        <w:t>Покупатель может привлечь к исполнению работ персонал                                     для погрузки и выполнения сопутствующих работ на территории Продавца, только после выполнения следующих условий:</w:t>
      </w:r>
      <w:bookmarkEnd w:id="48"/>
      <w:bookmarkEnd w:id="49"/>
      <w:bookmarkEnd w:id="50"/>
    </w:p>
    <w:p>
      <w:pPr>
        <w:pStyle w:val="Normal"/>
        <w:widowControl w:val="false"/>
        <w:numPr>
          <w:ilvl w:val="2"/>
          <w:numId w:val="2"/>
        </w:numPr>
        <w:tabs>
          <w:tab w:val="clear" w:pos="708"/>
          <w:tab w:val="left" w:pos="1418" w:leader="none"/>
        </w:tabs>
        <w:ind w:left="0" w:firstLine="567"/>
        <w:outlineLvl w:val="2"/>
        <w:rPr>
          <w:bCs/>
          <w:kern w:val="2"/>
        </w:rPr>
      </w:pPr>
      <w:bookmarkStart w:id="51" w:name="_Toc21536952"/>
      <w:bookmarkStart w:id="52" w:name="_Toc20150104"/>
      <w:bookmarkStart w:id="53" w:name="_Toc20150282"/>
      <w:r>
        <w:rPr>
          <w:bCs/>
          <w:kern w:val="2"/>
        </w:rPr>
        <w:t>Проведения персоналу вводного и первичного инструктажей с учетом особенностей объекта, на котором предстоит работать, а также с целью изучения рисков и влияния опасных факторов от действующего оборудования, находящегося вблизи рабочего места.</w:t>
      </w:r>
      <w:bookmarkEnd w:id="51"/>
      <w:bookmarkEnd w:id="52"/>
      <w:bookmarkEnd w:id="53"/>
    </w:p>
    <w:p>
      <w:pPr>
        <w:pStyle w:val="Normal"/>
        <w:widowControl w:val="false"/>
        <w:numPr>
          <w:ilvl w:val="2"/>
          <w:numId w:val="2"/>
        </w:numPr>
        <w:tabs>
          <w:tab w:val="clear" w:pos="708"/>
          <w:tab w:val="left" w:pos="1418" w:leader="none"/>
        </w:tabs>
        <w:ind w:left="0" w:firstLine="567"/>
        <w:outlineLvl w:val="2"/>
        <w:rPr>
          <w:bCs/>
          <w:kern w:val="2"/>
        </w:rPr>
      </w:pPr>
      <w:bookmarkStart w:id="54" w:name="_Toc21536953"/>
      <w:bookmarkStart w:id="55" w:name="_Toc20150283"/>
      <w:bookmarkStart w:id="56" w:name="_Toc20150105"/>
      <w:r>
        <w:rPr>
          <w:bCs/>
          <w:kern w:val="2"/>
        </w:rPr>
        <w:t>Предъявления квалификационных удостоверений с записями результатов проверки знаний правил охраны труда, инструкций по охране труда и правил производства специальных работ, выданные организацией (Покупателем).</w:t>
      </w:r>
      <w:bookmarkEnd w:id="54"/>
      <w:bookmarkEnd w:id="55"/>
      <w:bookmarkEnd w:id="56"/>
    </w:p>
    <w:p>
      <w:pPr>
        <w:pStyle w:val="Normal"/>
        <w:widowControl w:val="false"/>
        <w:numPr>
          <w:ilvl w:val="2"/>
          <w:numId w:val="2"/>
        </w:numPr>
        <w:tabs>
          <w:tab w:val="clear" w:pos="708"/>
          <w:tab w:val="left" w:pos="1418" w:leader="none"/>
        </w:tabs>
        <w:ind w:left="0" w:firstLine="567"/>
        <w:outlineLvl w:val="2"/>
        <w:rPr>
          <w:bCs/>
          <w:kern w:val="2"/>
        </w:rPr>
      </w:pPr>
      <w:bookmarkStart w:id="57" w:name="_Toc20150106"/>
      <w:bookmarkStart w:id="58" w:name="_Toc20150284"/>
      <w:bookmarkStart w:id="59" w:name="_Toc21536954"/>
      <w:r>
        <w:rPr>
          <w:bCs/>
          <w:kern w:val="2"/>
        </w:rPr>
        <w:t xml:space="preserve">Направления письма с указанием работников, имеющих право быть ответственными лицами за безопасное производство работ, оформленного согласно </w:t>
      </w:r>
      <w:r>
        <w:rPr/>
        <w:t xml:space="preserve">Методики допуска персонала подрядных организаций к выполнению работ на объектах </w:t>
      </w:r>
      <w:r>
        <w:rPr>
          <w:bCs/>
          <w:kern w:val="2"/>
        </w:rPr>
        <w:t>ПАО «РусГидро» (Приложение № 3 к настоящему Техническому заданию).</w:t>
      </w:r>
      <w:bookmarkEnd w:id="57"/>
      <w:bookmarkEnd w:id="58"/>
      <w:bookmarkEnd w:id="59"/>
    </w:p>
    <w:p>
      <w:pPr>
        <w:pStyle w:val="Normal"/>
        <w:widowControl w:val="false"/>
        <w:numPr>
          <w:ilvl w:val="2"/>
          <w:numId w:val="2"/>
        </w:numPr>
        <w:tabs>
          <w:tab w:val="clear" w:pos="708"/>
          <w:tab w:val="left" w:pos="1418" w:leader="none"/>
        </w:tabs>
        <w:ind w:left="0" w:firstLine="567"/>
        <w:outlineLvl w:val="2"/>
        <w:rPr>
          <w:bCs/>
          <w:kern w:val="2"/>
        </w:rPr>
      </w:pPr>
      <w:r>
        <w:rPr>
          <w:bCs/>
          <w:kern w:val="2"/>
        </w:rPr>
        <w:t>Наличия средств индивидуальной защиты (спецодежды, спецобуви, средств защиты лица и головы, средств защиты рук, средств защиты органов дыхания и т.п.)</w:t>
      </w:r>
    </w:p>
    <w:p>
      <w:pPr>
        <w:pStyle w:val="Normal"/>
        <w:widowControl w:val="false"/>
        <w:numPr>
          <w:ilvl w:val="2"/>
          <w:numId w:val="2"/>
        </w:numPr>
        <w:tabs>
          <w:tab w:val="clear" w:pos="708"/>
          <w:tab w:val="left" w:pos="1418" w:leader="none"/>
        </w:tabs>
        <w:ind w:left="0" w:firstLine="567"/>
        <w:outlineLvl w:val="2"/>
        <w:rPr>
          <w:bCs/>
          <w:kern w:val="2"/>
        </w:rPr>
      </w:pPr>
      <w:bookmarkStart w:id="60" w:name="_Toc20150108"/>
      <w:bookmarkStart w:id="61" w:name="_Toc20150286"/>
      <w:bookmarkStart w:id="62" w:name="_Toc21536956"/>
      <w:bookmarkStart w:id="63" w:name="_Toc20150107"/>
      <w:bookmarkStart w:id="64" w:name="_Toc20150285"/>
      <w:bookmarkStart w:id="65" w:name="_Toc21536955"/>
      <w:bookmarkEnd w:id="63"/>
      <w:bookmarkEnd w:id="64"/>
      <w:bookmarkEnd w:id="65"/>
      <w:r>
        <w:rPr>
          <w:bCs/>
          <w:kern w:val="2"/>
        </w:rPr>
        <w:t>Подтверждения официально оформленных трудовых отношений работников с Покупателем или его субподрядчиком.</w:t>
      </w:r>
      <w:bookmarkEnd w:id="60"/>
      <w:bookmarkEnd w:id="61"/>
      <w:bookmarkEnd w:id="62"/>
    </w:p>
    <w:p>
      <w:pPr>
        <w:pStyle w:val="Normal"/>
        <w:widowControl w:val="false"/>
        <w:numPr>
          <w:ilvl w:val="1"/>
          <w:numId w:val="2"/>
        </w:numPr>
        <w:tabs>
          <w:tab w:val="clear" w:pos="708"/>
          <w:tab w:val="left" w:pos="1134" w:leader="none"/>
        </w:tabs>
        <w:ind w:left="0" w:firstLine="567"/>
        <w:outlineLvl w:val="2"/>
        <w:rPr>
          <w:bCs/>
          <w:kern w:val="2"/>
        </w:rPr>
      </w:pPr>
      <w:bookmarkStart w:id="66" w:name="_Toc21536957"/>
      <w:bookmarkStart w:id="67" w:name="_Toc20150109"/>
      <w:bookmarkStart w:id="68" w:name="_Toc20150287"/>
      <w:r>
        <w:rPr>
          <w:bCs/>
          <w:kern w:val="2"/>
        </w:rPr>
        <w:t>В случае организации работ в зонах воздушных линий электропередач и действующих энергоустановок, требуется наличие группы по электробезопасности не ниже II у машинистов ПС и стропальщиков.</w:t>
      </w:r>
      <w:bookmarkEnd w:id="66"/>
      <w:bookmarkEnd w:id="67"/>
      <w:bookmarkEnd w:id="68"/>
    </w:p>
    <w:p>
      <w:pPr>
        <w:pStyle w:val="Normal"/>
        <w:widowControl w:val="false"/>
        <w:numPr>
          <w:ilvl w:val="1"/>
          <w:numId w:val="2"/>
        </w:numPr>
        <w:tabs>
          <w:tab w:val="clear" w:pos="708"/>
          <w:tab w:val="left" w:pos="1134" w:leader="none"/>
        </w:tabs>
        <w:ind w:left="0" w:firstLine="567"/>
        <w:outlineLvl w:val="2"/>
        <w:rPr>
          <w:bCs/>
          <w:kern w:val="2"/>
        </w:rPr>
      </w:pPr>
      <w:bookmarkStart w:id="69" w:name="_Toc20150288"/>
      <w:bookmarkStart w:id="70" w:name="_Toc20150110"/>
      <w:bookmarkStart w:id="71" w:name="_Toc21536958"/>
      <w:bookmarkEnd w:id="69"/>
      <w:bookmarkEnd w:id="70"/>
      <w:bookmarkEnd w:id="71"/>
      <w:r>
        <w:rPr/>
        <w:t>Персонал Покупателя допускается к выполнению</w:t>
      </w:r>
      <w:r>
        <w:rPr>
          <w:bCs/>
          <w:kern w:val="2"/>
        </w:rPr>
        <w:t xml:space="preserve"> работ на территории Продавца только после оформления </w:t>
      </w:r>
      <w:r>
        <w:rPr/>
        <w:t xml:space="preserve">акта-допуска для производства работ на территории объекта в соответствии с требованиями Методики допуска персонала подрядных организаций к выполнению работ на объектах </w:t>
      </w:r>
      <w:r>
        <w:rPr>
          <w:bCs/>
          <w:kern w:val="2"/>
        </w:rPr>
        <w:t>ПАО «РусГидро» (Приложение № 3 к настоящему Техническому заданию).</w:t>
      </w:r>
    </w:p>
    <w:p>
      <w:pPr>
        <w:pStyle w:val="Normal"/>
        <w:widowControl w:val="false"/>
        <w:numPr>
          <w:ilvl w:val="1"/>
          <w:numId w:val="2"/>
        </w:numPr>
        <w:tabs>
          <w:tab w:val="clear" w:pos="708"/>
          <w:tab w:val="left" w:pos="1134" w:leader="none"/>
        </w:tabs>
        <w:ind w:left="0" w:firstLine="567"/>
        <w:outlineLvl w:val="2"/>
        <w:rPr>
          <w:bCs/>
          <w:kern w:val="2"/>
        </w:rPr>
      </w:pPr>
      <w:bookmarkStart w:id="72" w:name="_Toc20150288"/>
      <w:bookmarkStart w:id="73" w:name="_Toc20150110"/>
      <w:bookmarkStart w:id="74" w:name="_Toc21536958"/>
      <w:bookmarkStart w:id="75" w:name="_Toc20150289"/>
      <w:bookmarkStart w:id="76" w:name="_Toc20150111"/>
      <w:bookmarkStart w:id="77" w:name="_Toc21536959"/>
      <w:bookmarkEnd w:id="72"/>
      <w:bookmarkEnd w:id="73"/>
      <w:bookmarkEnd w:id="74"/>
      <w:r>
        <w:rPr/>
        <w:t>Осуществлять погрузочно-разгрузочные работы в соответствии                                 с Правилами по охране труда при погрузочно-разгрузочных работах и размещении грузов», утвержденными приказом Минтруда России от 28.10.2020 № 753н</w:t>
      </w:r>
      <w:r>
        <w:rPr>
          <w:bCs/>
          <w:kern w:val="2"/>
        </w:rPr>
        <w:t>.</w:t>
      </w:r>
      <w:bookmarkEnd w:id="75"/>
      <w:bookmarkEnd w:id="76"/>
      <w:bookmarkEnd w:id="77"/>
    </w:p>
    <w:p>
      <w:pPr>
        <w:pStyle w:val="Normal"/>
        <w:widowControl w:val="false"/>
        <w:numPr>
          <w:ilvl w:val="1"/>
          <w:numId w:val="2"/>
        </w:numPr>
        <w:tabs>
          <w:tab w:val="clear" w:pos="708"/>
          <w:tab w:val="left" w:pos="1134" w:leader="none"/>
        </w:tabs>
        <w:ind w:left="0" w:firstLine="567"/>
        <w:outlineLvl w:val="2"/>
        <w:rPr>
          <w:bCs/>
          <w:kern w:val="2"/>
        </w:rPr>
      </w:pPr>
      <w:bookmarkStart w:id="78" w:name="_Toc20150112"/>
      <w:bookmarkStart w:id="79" w:name="_Toc20150290"/>
      <w:bookmarkStart w:id="80" w:name="_Toc21536960"/>
      <w:r>
        <w:rPr/>
        <w:t>Выполнять работы с использованием подъёмных сооружений (самоходные краны, краны-манипуляторы) в соответствии с федеральными нормами и правилами в области промышленной безопасности (Правила безопасности опасных производственных объектов, на которых используются подъемные сооружения, утвержденные приказом Ростехнадзора от 26.11.2020 № 461)</w:t>
      </w:r>
      <w:r>
        <w:rPr>
          <w:bCs/>
          <w:kern w:val="2"/>
        </w:rPr>
        <w:t>.</w:t>
      </w:r>
      <w:bookmarkEnd w:id="78"/>
      <w:bookmarkEnd w:id="79"/>
      <w:bookmarkEnd w:id="80"/>
      <w:r>
        <w:rPr>
          <w:bCs/>
          <w:kern w:val="2"/>
        </w:rPr>
        <w:t xml:space="preserve"> </w:t>
      </w:r>
    </w:p>
    <w:p>
      <w:pPr>
        <w:pStyle w:val="Normal"/>
        <w:widowControl w:val="false"/>
        <w:numPr>
          <w:ilvl w:val="1"/>
          <w:numId w:val="2"/>
        </w:numPr>
        <w:tabs>
          <w:tab w:val="clear" w:pos="708"/>
          <w:tab w:val="left" w:pos="1134" w:leader="none"/>
        </w:tabs>
        <w:ind w:left="0" w:right="-57" w:firstLine="567"/>
        <w:outlineLvl w:val="2"/>
        <w:rPr>
          <w:bCs/>
          <w:kern w:val="2"/>
        </w:rPr>
      </w:pPr>
      <w:bookmarkStart w:id="81" w:name="_Toc20150291"/>
      <w:bookmarkStart w:id="82" w:name="_Toc21536961"/>
      <w:bookmarkStart w:id="83" w:name="_Toc20150113"/>
      <w:r>
        <w:rPr>
          <w:bCs/>
          <w:kern w:val="2"/>
        </w:rPr>
        <w:t>Для допуска подъёмных сооружений (самоходные краны, краны-манипуляторы (далее - ПС) Покупателя на территорию Продавца необходимо предоставить следующие документы:</w:t>
      </w:r>
      <w:bookmarkEnd w:id="81"/>
      <w:bookmarkEnd w:id="82"/>
      <w:bookmarkEnd w:id="83"/>
    </w:p>
    <w:p>
      <w:pPr>
        <w:pStyle w:val="Normal"/>
        <w:widowControl w:val="false"/>
        <w:numPr>
          <w:ilvl w:val="2"/>
          <w:numId w:val="2"/>
        </w:numPr>
        <w:tabs>
          <w:tab w:val="clear" w:pos="708"/>
          <w:tab w:val="left" w:pos="1276" w:leader="none"/>
        </w:tabs>
        <w:ind w:left="0" w:firstLine="567"/>
        <w:outlineLvl w:val="2"/>
        <w:rPr>
          <w:bCs/>
          <w:kern w:val="2"/>
        </w:rPr>
      </w:pPr>
      <w:bookmarkStart w:id="84" w:name="_Toc21536962"/>
      <w:bookmarkStart w:id="85" w:name="_Toc20150292"/>
      <w:bookmarkStart w:id="86" w:name="_Toc20150114"/>
      <w:r>
        <w:rPr>
          <w:bCs/>
          <w:kern w:val="2"/>
        </w:rPr>
        <w:t>Копии удостоверений на право допуска в качестве машиниста автомобильного крана, самоходного крана-манипулятора, стропальщика с отметкой о последней проверке знаний, удостоверений стропальщика.</w:t>
      </w:r>
      <w:bookmarkEnd w:id="84"/>
      <w:bookmarkEnd w:id="85"/>
      <w:bookmarkEnd w:id="86"/>
    </w:p>
    <w:p>
      <w:pPr>
        <w:pStyle w:val="Normal"/>
        <w:widowControl w:val="false"/>
        <w:numPr>
          <w:ilvl w:val="2"/>
          <w:numId w:val="2"/>
        </w:numPr>
        <w:tabs>
          <w:tab w:val="clear" w:pos="708"/>
          <w:tab w:val="left" w:pos="1276" w:leader="none"/>
        </w:tabs>
        <w:ind w:left="0" w:firstLine="567"/>
        <w:outlineLvl w:val="2"/>
        <w:rPr>
          <w:bCs/>
          <w:kern w:val="2"/>
        </w:rPr>
      </w:pPr>
      <w:bookmarkStart w:id="87" w:name="_Toc20150115"/>
      <w:bookmarkStart w:id="88" w:name="_Toc20150293"/>
      <w:bookmarkStart w:id="89" w:name="_Toc21536963"/>
      <w:r>
        <w:rPr>
          <w:bCs/>
          <w:kern w:val="2"/>
        </w:rPr>
        <w:t>Вахтенный журнал и выкопировку из паспорта ПС о его постановке на учет (регистрации) в Ростехнадзоре, о проведении последнего технического освидетельствования ПС (ЧТО и ПТО либо результатов экспертизы промышленной безопасности), а также копию страхового полиса обязательного страхования гражданской ответственности владельца опасного объекта за причинение вреда в результате аварии.</w:t>
      </w:r>
      <w:bookmarkEnd w:id="87"/>
      <w:bookmarkEnd w:id="88"/>
      <w:bookmarkEnd w:id="89"/>
    </w:p>
    <w:p>
      <w:pPr>
        <w:pStyle w:val="Normal"/>
        <w:widowControl w:val="false"/>
        <w:numPr>
          <w:ilvl w:val="2"/>
          <w:numId w:val="2"/>
        </w:numPr>
        <w:tabs>
          <w:tab w:val="clear" w:pos="708"/>
          <w:tab w:val="left" w:pos="1276" w:leader="none"/>
        </w:tabs>
        <w:ind w:left="0" w:firstLine="567"/>
        <w:outlineLvl w:val="2"/>
        <w:rPr>
          <w:bCs/>
          <w:kern w:val="2"/>
        </w:rPr>
      </w:pPr>
      <w:bookmarkStart w:id="90" w:name="_Toc20150116"/>
      <w:bookmarkStart w:id="91" w:name="_Toc20150294"/>
      <w:bookmarkStart w:id="92" w:name="_Toc21536964"/>
      <w:r>
        <w:rPr>
          <w:bCs/>
          <w:kern w:val="2"/>
        </w:rPr>
        <w:t>Копии протоколов аттестации (при наличии удостоверения) специалиста ответственного за безопасное производство работ с применением ПС.</w:t>
      </w:r>
      <w:bookmarkEnd w:id="90"/>
      <w:bookmarkEnd w:id="91"/>
      <w:bookmarkEnd w:id="92"/>
    </w:p>
    <w:p>
      <w:pPr>
        <w:pStyle w:val="Normal"/>
        <w:widowControl w:val="false"/>
        <w:numPr>
          <w:ilvl w:val="1"/>
          <w:numId w:val="2"/>
        </w:numPr>
        <w:tabs>
          <w:tab w:val="clear" w:pos="708"/>
          <w:tab w:val="left" w:pos="1134" w:leader="none"/>
        </w:tabs>
        <w:ind w:left="0" w:firstLine="567"/>
        <w:outlineLvl w:val="2"/>
        <w:rPr>
          <w:bCs/>
          <w:kern w:val="2"/>
        </w:rPr>
      </w:pPr>
      <w:bookmarkStart w:id="93" w:name="_Toc20150117"/>
      <w:bookmarkStart w:id="94" w:name="_Toc21536965"/>
      <w:bookmarkStart w:id="95" w:name="_Toc20150295"/>
      <w:r>
        <w:rPr>
          <w:bCs/>
          <w:kern w:val="2"/>
        </w:rPr>
        <w:t>Допуск к работам на территории Продавца с применением ПС и другой спецтехники осуществляется при наличии заявки на проезд (пропуск) ПС.</w:t>
      </w:r>
      <w:bookmarkEnd w:id="93"/>
      <w:bookmarkEnd w:id="94"/>
      <w:bookmarkEnd w:id="95"/>
    </w:p>
    <w:p>
      <w:pPr>
        <w:pStyle w:val="Normal"/>
        <w:numPr>
          <w:ilvl w:val="0"/>
          <w:numId w:val="0"/>
        </w:numPr>
        <w:ind w:left="-284" w:right="709" w:hanging="142"/>
        <w:outlineLvl w:val="2"/>
        <w:rPr/>
      </w:pPr>
      <w:r>
        <w:rPr/>
      </w:r>
    </w:p>
    <w:p>
      <w:pPr>
        <w:pStyle w:val="Normal"/>
        <w:numPr>
          <w:ilvl w:val="0"/>
          <w:numId w:val="0"/>
        </w:numPr>
        <w:ind w:left="7540" w:firstLine="737"/>
        <w:jc w:val="left"/>
        <w:outlineLvl w:val="2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jc w:val="left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jc w:val="left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jc w:val="left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jc w:val="left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jc w:val="left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jc w:val="left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jc w:val="left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jc w:val="left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jc w:val="left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jc w:val="left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jc w:val="left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jc w:val="left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jc w:val="left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jc w:val="left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jc w:val="left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jc w:val="left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jc w:val="left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jc w:val="left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jc w:val="left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jc w:val="left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jc w:val="left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jc w:val="left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jc w:val="left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jc w:val="left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jc w:val="left"/>
        <w:rPr>
          <w:sz w:val="24"/>
          <w:szCs w:val="24"/>
        </w:rPr>
      </w:pPr>
      <w:r>
        <w:rPr>
          <w:sz w:val="24"/>
          <w:szCs w:val="24"/>
        </w:rPr>
      </w:r>
    </w:p>
    <w:p>
      <w:pPr>
        <w:sectPr>
          <w:type w:val="nextPage"/>
          <w:pgSz w:w="11906" w:h="16838"/>
          <w:pgMar w:left="1701" w:right="850" w:gutter="0" w:header="0" w:top="1134" w:footer="0" w:bottom="1134"/>
          <w:pgNumType w:fmt="decimal"/>
          <w:formProt w:val="false"/>
          <w:textDirection w:val="lrTb"/>
          <w:docGrid w:type="default" w:linePitch="381" w:charSpace="0"/>
        </w:sectPr>
        <w:pStyle w:val="Normal"/>
        <w:jc w:val="left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6804" w:firstLine="426"/>
        <w:jc w:val="right"/>
        <w:outlineLvl w:val="2"/>
        <w:rPr>
          <w:sz w:val="24"/>
          <w:szCs w:val="24"/>
        </w:rPr>
      </w:pPr>
      <w:r>
        <w:rPr>
          <w:sz w:val="24"/>
          <w:szCs w:val="24"/>
        </w:rPr>
        <w:t>Приложение № 1</w:t>
      </w:r>
    </w:p>
    <w:p>
      <w:pPr>
        <w:pStyle w:val="Normal"/>
        <w:widowControl w:val="false"/>
        <w:numPr>
          <w:ilvl w:val="0"/>
          <w:numId w:val="0"/>
        </w:numPr>
        <w:jc w:val="right"/>
        <w:outlineLvl w:val="2"/>
        <w:rPr>
          <w:sz w:val="24"/>
          <w:szCs w:val="24"/>
        </w:rPr>
      </w:pPr>
      <w:r>
        <w:rPr>
          <w:sz w:val="24"/>
          <w:szCs w:val="24"/>
        </w:rPr>
        <w:t>к техническому заданию</w:t>
      </w:r>
    </w:p>
    <w:p>
      <w:pPr>
        <w:pStyle w:val="Normal"/>
        <w:numPr>
          <w:ilvl w:val="0"/>
          <w:numId w:val="0"/>
        </w:numPr>
        <w:jc w:val="right"/>
        <w:outlineLvl w:val="2"/>
        <w:rPr>
          <w:b/>
          <w:sz w:val="24"/>
          <w:szCs w:val="24"/>
        </w:rPr>
      </w:pPr>
      <w:r>
        <w:rPr>
          <w:sz w:val="24"/>
          <w:szCs w:val="24"/>
        </w:rPr>
        <w:t>филиала ПАО “РусГидро”- “Новосибирская ГЭС”</w:t>
      </w:r>
      <w:r>
        <w:rPr>
          <w:i/>
          <w:sz w:val="24"/>
          <w:szCs w:val="24"/>
          <w:u w:val="single"/>
          <w:shd w:fill="FFFF99" w:val="clear"/>
        </w:rPr>
        <w:t xml:space="preserve"> </w:t>
      </w:r>
    </w:p>
    <w:p>
      <w:pPr>
        <w:pStyle w:val="Normal"/>
        <w:numPr>
          <w:ilvl w:val="0"/>
          <w:numId w:val="0"/>
        </w:numPr>
        <w:jc w:val="center"/>
        <w:outlineLvl w:val="2"/>
        <w:rPr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widowControl w:val="false"/>
        <w:numPr>
          <w:ilvl w:val="0"/>
          <w:numId w:val="0"/>
        </w:numPr>
        <w:jc w:val="center"/>
        <w:outlineLvl w:val="2"/>
        <w:rPr>
          <w:b/>
          <w:lang w:val="en-US"/>
        </w:rPr>
      </w:pPr>
      <w:r>
        <w:rPr>
          <w:b/>
        </w:rPr>
        <w:t xml:space="preserve">Спецификация на </w:t>
      </w:r>
      <w:r>
        <w:rPr>
          <w:b/>
          <w:lang w:val="en-US"/>
        </w:rPr>
        <w:t>лопасти и затворы</w:t>
      </w:r>
    </w:p>
    <w:p>
      <w:pPr>
        <w:pStyle w:val="Normal"/>
        <w:numPr>
          <w:ilvl w:val="0"/>
          <w:numId w:val="0"/>
        </w:numPr>
        <w:jc w:val="center"/>
        <w:outlineLvl w:val="2"/>
        <w:rPr>
          <w:b/>
          <w:sz w:val="24"/>
          <w:szCs w:val="24"/>
        </w:rPr>
      </w:pPr>
      <w:r>
        <w:rPr>
          <w:b/>
          <w:sz w:val="24"/>
          <w:szCs w:val="24"/>
        </w:rPr>
      </w:r>
    </w:p>
    <w:tbl>
      <w:tblPr>
        <w:tblW w:w="5386" w:type="dxa"/>
        <w:jc w:val="center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 w:noHBand="0" w:noVBand="1" w:firstColumn="1" w:lastRow="0" w:lastColumn="0" w:firstRow="1"/>
      </w:tblPr>
      <w:tblGrid>
        <w:gridCol w:w="703"/>
        <w:gridCol w:w="2984"/>
        <w:gridCol w:w="565"/>
        <w:gridCol w:w="1133"/>
      </w:tblGrid>
      <w:tr>
        <w:trPr>
          <w:trHeight w:val="1532" w:hRule="atLeast"/>
          <w:cantSplit w:val="true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ind w:left="-57" w:right="1" w:hanging="0"/>
              <w:jc w:val="center"/>
              <w:outlineLvl w:val="2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№ </w:t>
            </w:r>
            <w:r>
              <w:rPr>
                <w:sz w:val="18"/>
                <w:szCs w:val="18"/>
              </w:rPr>
              <w:t>п/п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rFonts w:eastAsia="Times New Roman"/>
                <w:sz w:val="18"/>
                <w:szCs w:val="18"/>
              </w:rPr>
            </w:pPr>
            <w:r>
              <w:rPr>
                <w:rFonts w:eastAsia="Times New Roman"/>
                <w:sz w:val="18"/>
                <w:szCs w:val="18"/>
              </w:rPr>
              <w:t xml:space="preserve">Наименование товара </w:t>
            </w:r>
          </w:p>
          <w:p>
            <w:pPr>
              <w:pStyle w:val="Normal"/>
              <w:widowControl w:val="false"/>
              <w:jc w:val="center"/>
              <w:rPr>
                <w:sz w:val="18"/>
                <w:szCs w:val="18"/>
              </w:rPr>
            </w:pPr>
            <w:r>
              <w:rPr>
                <w:rFonts w:eastAsia="Times New Roman"/>
                <w:sz w:val="18"/>
                <w:szCs w:val="18"/>
              </w:rPr>
              <w:t>(вид лома)</w:t>
            </w:r>
          </w:p>
        </w:tc>
        <w:tc>
          <w:tcPr>
            <w:tcW w:w="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ind w:left="-57" w:hanging="0"/>
              <w:jc w:val="center"/>
              <w:outlineLvl w:val="2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Ед. изм.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ind w:left="-57" w:hanging="0"/>
              <w:jc w:val="center"/>
              <w:outlineLvl w:val="2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Количество</w:t>
            </w:r>
          </w:p>
        </w:tc>
      </w:tr>
      <w:tr>
        <w:trPr>
          <w:trHeight w:val="789" w:hRule="atLeast"/>
          <w:cantSplit w:val="true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ind w:left="-57" w:right="1" w:firstLine="454"/>
              <w:jc w:val="center"/>
              <w:outlineLvl w:val="2"/>
              <w:rPr>
                <w:rFonts w:eastAsia="Times New Roman"/>
                <w:color w:val="000000"/>
                <w:sz w:val="18"/>
                <w:szCs w:val="18"/>
                <w:lang w:val="en-US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val="en-US"/>
              </w:rPr>
              <w:t>1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rFonts w:eastAsia="Times New Roman"/>
                <w:sz w:val="24"/>
                <w:szCs w:val="24"/>
                <w:lang w:val="en-US"/>
              </w:rPr>
            </w:pPr>
            <w:r>
              <w:rPr>
                <w:rFonts w:eastAsia="Times New Roman"/>
                <w:sz w:val="24"/>
                <w:szCs w:val="24"/>
                <w:lang w:val="en-US"/>
              </w:rPr>
              <w:t>Лопасть</w:t>
            </w:r>
          </w:p>
        </w:tc>
        <w:tc>
          <w:tcPr>
            <w:tcW w:w="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ind w:left="-170" w:firstLine="57"/>
              <w:jc w:val="center"/>
              <w:outlineLvl w:val="2"/>
              <w:rPr>
                <w:sz w:val="24"/>
                <w:szCs w:val="24"/>
                <w:lang w:val="en-US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val="en-US"/>
              </w:rPr>
              <w:t>шт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  <w:lang w:val="en-US"/>
              </w:rPr>
              <w:t>4</w:t>
            </w:r>
          </w:p>
        </w:tc>
      </w:tr>
      <w:tr>
        <w:trPr>
          <w:trHeight w:val="789" w:hRule="atLeast"/>
          <w:cantSplit w:val="true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ind w:left="-57" w:right="1" w:firstLine="454"/>
              <w:jc w:val="center"/>
              <w:outlineLvl w:val="2"/>
              <w:rPr>
                <w:rFonts w:eastAsia="Times New Roman"/>
                <w:color w:val="000000"/>
                <w:sz w:val="18"/>
                <w:szCs w:val="18"/>
                <w:lang w:val="en-US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val="en-US"/>
              </w:rPr>
              <w:t>2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rFonts w:eastAsia="Times New Roman"/>
                <w:sz w:val="24"/>
                <w:szCs w:val="24"/>
                <w:lang w:val="en-US"/>
              </w:rPr>
            </w:pPr>
            <w:r>
              <w:rPr>
                <w:rFonts w:eastAsia="Times New Roman"/>
                <w:sz w:val="24"/>
                <w:szCs w:val="24"/>
                <w:lang w:val="en-US"/>
              </w:rPr>
              <w:t>Затвор</w:t>
            </w:r>
          </w:p>
        </w:tc>
        <w:tc>
          <w:tcPr>
            <w:tcW w:w="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ind w:left="-170" w:firstLine="57"/>
              <w:jc w:val="center"/>
              <w:outlineLvl w:val="2"/>
              <w:rPr>
                <w:rFonts w:eastAsia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val="en-US"/>
              </w:rPr>
              <w:t>шт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rFonts w:eastAsia="Times New Roman"/>
                <w:sz w:val="24"/>
                <w:szCs w:val="24"/>
                <w:lang w:val="en-US"/>
              </w:rPr>
            </w:pPr>
            <w:r>
              <w:rPr>
                <w:rFonts w:eastAsia="Times New Roman"/>
                <w:sz w:val="24"/>
                <w:szCs w:val="24"/>
                <w:lang w:val="en-US"/>
              </w:rPr>
              <w:t>2</w:t>
            </w:r>
          </w:p>
        </w:tc>
      </w:tr>
    </w:tbl>
    <w:p>
      <w:pPr>
        <w:sectPr>
          <w:type w:val="nextPage"/>
          <w:pgSz w:w="11906" w:h="16838"/>
          <w:pgMar w:left="1701" w:right="850" w:gutter="0" w:header="0" w:top="1134" w:footer="0" w:bottom="1134"/>
          <w:pgNumType w:fmt="decimal"/>
          <w:formProt w:val="false"/>
          <w:textDirection w:val="lrTb"/>
          <w:docGrid w:type="default" w:linePitch="381" w:charSpace="0"/>
        </w:sectPr>
        <w:pStyle w:val="Normal"/>
        <w:numPr>
          <w:ilvl w:val="0"/>
          <w:numId w:val="0"/>
        </w:numPr>
        <w:jc w:val="left"/>
        <w:outlineLvl w:val="2"/>
        <w:rPr>
          <w:b/>
          <w:sz w:val="24"/>
          <w:szCs w:val="24"/>
        </w:rPr>
      </w:pPr>
      <w:r>
        <w:rPr>
          <w:b/>
          <w:sz w:val="24"/>
          <w:szCs w:val="24"/>
        </w:rPr>
      </w:r>
      <w:r>
        <w:br w:type="page"/>
      </w:r>
    </w:p>
    <w:p>
      <w:pPr>
        <w:pStyle w:val="Normal"/>
        <w:numPr>
          <w:ilvl w:val="0"/>
          <w:numId w:val="0"/>
        </w:numPr>
        <w:ind w:left="7483" w:firstLine="737"/>
        <w:jc w:val="right"/>
        <w:outlineLvl w:val="2"/>
        <w:rPr>
          <w:b/>
          <w:sz w:val="24"/>
          <w:szCs w:val="24"/>
        </w:rPr>
      </w:pPr>
      <w:r>
        <w:rPr>
          <w:sz w:val="24"/>
          <w:szCs w:val="24"/>
        </w:rPr>
        <w:t xml:space="preserve"> </w:t>
      </w:r>
      <w:bookmarkStart w:id="96" w:name="_GoBack"/>
      <w:bookmarkEnd w:id="96"/>
    </w:p>
    <w:p>
      <w:pPr>
        <w:pStyle w:val="Normal"/>
        <w:widowControl w:val="false"/>
        <w:jc w:val="right"/>
        <w:rPr>
          <w:sz w:val="24"/>
          <w:szCs w:val="24"/>
        </w:rPr>
      </w:pPr>
      <w:r>
        <w:rPr>
          <w:sz w:val="24"/>
          <w:szCs w:val="24"/>
        </w:rPr>
        <w:t xml:space="preserve">Приложение № 4 </w:t>
      </w:r>
    </w:p>
    <w:p>
      <w:pPr>
        <w:pStyle w:val="Normal"/>
        <w:widowControl w:val="false"/>
        <w:jc w:val="right"/>
        <w:rPr>
          <w:sz w:val="24"/>
          <w:szCs w:val="24"/>
        </w:rPr>
      </w:pPr>
      <w:r>
        <w:rPr>
          <w:sz w:val="24"/>
          <w:szCs w:val="24"/>
        </w:rPr>
        <w:t>к техническому заданию</w:t>
      </w:r>
    </w:p>
    <w:p>
      <w:pPr>
        <w:pStyle w:val="Normal"/>
        <w:jc w:val="right"/>
        <w:rPr>
          <w:b/>
        </w:rPr>
      </w:pPr>
      <w:r>
        <w:rPr>
          <w:sz w:val="24"/>
          <w:szCs w:val="24"/>
        </w:rPr>
        <w:t>филиала ПАО “РусГидро”-Новосибирская ГЭС</w:t>
      </w:r>
      <w:r>
        <w:rPr>
          <w:i/>
          <w:sz w:val="24"/>
          <w:szCs w:val="24"/>
          <w:u w:val="single"/>
          <w:shd w:fill="FFFF99" w:val="clear"/>
        </w:rPr>
        <w:t xml:space="preserve"> </w:t>
      </w:r>
    </w:p>
    <w:p>
      <w:pPr>
        <w:pStyle w:val="Normal"/>
        <w:jc w:val="center"/>
        <w:rPr>
          <w:b/>
        </w:rPr>
      </w:pPr>
      <w:r>
        <w:rPr>
          <w:b/>
        </w:rPr>
      </w:r>
    </w:p>
    <w:p>
      <w:pPr>
        <w:pStyle w:val="Normal"/>
        <w:jc w:val="center"/>
        <w:rPr>
          <w:b/>
        </w:rPr>
      </w:pPr>
      <w:r>
        <w:rPr>
          <w:b/>
        </w:rPr>
        <w:t xml:space="preserve">Фотоматериал, </w:t>
      </w:r>
    </w:p>
    <w:p>
      <w:pPr>
        <w:pStyle w:val="Normal"/>
        <w:jc w:val="center"/>
        <w:rPr>
          <w:b/>
        </w:rPr>
      </w:pPr>
      <w:r>
        <w:rPr>
          <w:b/>
        </w:rPr>
        <w:t>подтверждающий наличие на филиале ПАО “РусГидро”- “Новосибирская ГЭС” лопастей и затворов.</w:t>
      </w:r>
    </w:p>
    <w:p>
      <w:pPr>
        <w:pStyle w:val="Normal"/>
        <w:jc w:val="center"/>
        <w:rPr>
          <w:b/>
        </w:rPr>
      </w:pPr>
      <w:r>
        <w:rPr>
          <w:b/>
        </w:rPr>
      </w:r>
    </w:p>
    <w:p>
      <w:pPr>
        <w:pStyle w:val="ListParagraph"/>
        <w:numPr>
          <w:ilvl w:val="2"/>
          <w:numId w:val="3"/>
        </w:numPr>
        <w:ind w:left="0" w:hanging="0"/>
        <w:jc w:val="center"/>
        <w:rPr>
          <w:rFonts w:ascii="Times New Roman" w:hAnsi="Times New Roman"/>
          <w:szCs w:val="24"/>
          <w:lang w:eastAsia="ru-RU"/>
        </w:rPr>
      </w:pPr>
      <w:r>
        <w:rPr>
          <w:rFonts w:ascii="Times New Roman" w:hAnsi="Times New Roman"/>
          <w:szCs w:val="24"/>
          <w:lang w:val="en-US" w:eastAsia="ru-RU"/>
        </w:rPr>
        <w:t>Лопасти и затворы</w:t>
      </w:r>
    </w:p>
    <w:p>
      <w:pPr>
        <w:pStyle w:val="ListParagraph"/>
        <w:ind w:left="0" w:hanging="0"/>
        <w:rPr>
          <w:rFonts w:ascii="Times New Roman" w:hAnsi="Times New Roman"/>
          <w:szCs w:val="24"/>
          <w:lang w:eastAsia="ru-RU"/>
        </w:rPr>
      </w:pPr>
      <w:r>
        <w:rPr>
          <w:rFonts w:ascii="Times New Roman" w:hAnsi="Times New Roman"/>
          <w:szCs w:val="24"/>
          <w:lang w:eastAsia="ru-RU"/>
        </w:rPr>
      </w:r>
    </w:p>
    <w:p>
      <w:pPr>
        <w:pStyle w:val="ListParagraph"/>
        <w:ind w:left="0" w:hanging="0"/>
        <w:jc w:val="center"/>
        <w:rPr>
          <w:rFonts w:ascii="Times New Roman" w:hAnsi="Times New Roman"/>
          <w:sz w:val="22"/>
          <w:szCs w:val="22"/>
          <w:lang w:val="en-US" w:eastAsia="ru-RU"/>
        </w:rPr>
      </w:pPr>
      <w:r>
        <w:rPr>
          <w:rFonts w:ascii="Times New Roman" w:hAnsi="Times New Roman"/>
          <w:sz w:val="22"/>
          <w:szCs w:val="22"/>
          <w:lang w:val="en-US" w:eastAsia="ru-RU"/>
        </w:rPr>
        <w:t>АРЗДВ А1</w:t>
      </w:r>
    </w:p>
    <w:p>
      <w:pPr>
        <w:pStyle w:val="ListParagraph"/>
        <w:ind w:left="0" w:hanging="0"/>
        <w:jc w:val="center"/>
        <w:rPr>
          <w:rFonts w:ascii="Times New Roman" w:hAnsi="Times New Roman"/>
          <w:sz w:val="22"/>
          <w:szCs w:val="22"/>
          <w:lang w:val="en-US" w:eastAsia="ru-RU"/>
        </w:rPr>
      </w:pPr>
      <w:r>
        <w:rPr/>
        <w:drawing>
          <wp:inline distT="0" distB="0" distL="0" distR="0">
            <wp:extent cx="6254750" cy="2851150"/>
            <wp:effectExtent l="0" t="0" r="0" b="0"/>
            <wp:docPr id="1" name="Рисунок 3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32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4750" cy="285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stParagraph"/>
        <w:ind w:left="0" w:hanging="0"/>
        <w:jc w:val="center"/>
        <w:rPr>
          <w:rFonts w:ascii="Times New Roman" w:hAnsi="Times New Roman"/>
          <w:sz w:val="22"/>
          <w:szCs w:val="22"/>
          <w:lang w:eastAsia="ru-RU"/>
        </w:rPr>
      </w:pPr>
      <w:r>
        <w:rPr>
          <w:rFonts w:ascii="Times New Roman" w:hAnsi="Times New Roman"/>
          <w:sz w:val="22"/>
          <w:szCs w:val="22"/>
          <w:lang w:eastAsia="ru-RU"/>
        </w:rPr>
      </w:r>
    </w:p>
    <w:p>
      <w:pPr>
        <w:pStyle w:val="ListParagraph"/>
        <w:ind w:left="0" w:hanging="0"/>
        <w:jc w:val="center"/>
        <w:rPr>
          <w:rFonts w:ascii="Times New Roman" w:hAnsi="Times New Roman"/>
          <w:sz w:val="22"/>
          <w:szCs w:val="22"/>
          <w:lang w:eastAsia="ru-RU"/>
        </w:rPr>
      </w:pPr>
      <w:r>
        <w:rPr>
          <w:rFonts w:ascii="Times New Roman" w:hAnsi="Times New Roman"/>
          <w:sz w:val="22"/>
          <w:szCs w:val="22"/>
          <w:lang w:eastAsia="ru-RU"/>
        </w:rPr>
      </w:r>
    </w:p>
    <w:p>
      <w:pPr>
        <w:pStyle w:val="ListParagraph"/>
        <w:ind w:left="0" w:hanging="0"/>
        <w:jc w:val="center"/>
        <w:rPr>
          <w:rFonts w:ascii="Times New Roman" w:hAnsi="Times New Roman"/>
          <w:sz w:val="22"/>
          <w:szCs w:val="22"/>
          <w:lang w:eastAsia="ru-RU"/>
        </w:rPr>
      </w:pPr>
      <w:r>
        <w:rPr>
          <w:rFonts w:ascii="Times New Roman" w:hAnsi="Times New Roman"/>
          <w:sz w:val="22"/>
          <w:szCs w:val="22"/>
          <w:lang w:eastAsia="ru-RU"/>
        </w:rPr>
      </w:r>
    </w:p>
    <w:p>
      <w:pPr>
        <w:pStyle w:val="ListParagraph"/>
        <w:ind w:left="0" w:hanging="0"/>
        <w:jc w:val="center"/>
        <w:rPr>
          <w:rFonts w:ascii="Times New Roman" w:hAnsi="Times New Roman"/>
          <w:sz w:val="22"/>
          <w:szCs w:val="22"/>
          <w:lang w:eastAsia="ru-RU"/>
        </w:rPr>
      </w:pPr>
      <w:r>
        <w:rPr>
          <w:rFonts w:ascii="Times New Roman" w:hAnsi="Times New Roman"/>
          <w:sz w:val="22"/>
          <w:szCs w:val="22"/>
          <w:lang w:eastAsia="ru-RU"/>
        </w:rPr>
      </w:r>
    </w:p>
    <w:p>
      <w:pPr>
        <w:pStyle w:val="ListParagraph"/>
        <w:ind w:left="0" w:hanging="0"/>
        <w:jc w:val="center"/>
        <w:rPr>
          <w:rFonts w:ascii="Times New Roman" w:hAnsi="Times New Roman"/>
          <w:sz w:val="22"/>
          <w:szCs w:val="22"/>
          <w:lang w:val="en-US" w:eastAsia="ru-RU"/>
        </w:rPr>
      </w:pPr>
      <w:r>
        <w:rPr>
          <w:rFonts w:ascii="Times New Roman" w:hAnsi="Times New Roman"/>
          <w:sz w:val="22"/>
          <w:szCs w:val="22"/>
          <w:lang w:val="en-US" w:eastAsia="ru-RU"/>
        </w:rPr>
        <w:t>АРЗДВ А2</w:t>
      </w:r>
    </w:p>
    <w:p>
      <w:pPr>
        <w:pStyle w:val="ListParagraph"/>
        <w:ind w:left="0" w:hanging="0"/>
        <w:jc w:val="center"/>
        <w:rPr>
          <w:rFonts w:ascii="Times New Roman" w:hAnsi="Times New Roman"/>
          <w:sz w:val="22"/>
          <w:szCs w:val="22"/>
          <w:lang w:val="en-US" w:eastAsia="ru-RU"/>
        </w:rPr>
      </w:pPr>
      <w:r>
        <w:rPr/>
        <w:drawing>
          <wp:inline distT="0" distB="0" distL="0" distR="0">
            <wp:extent cx="5938520" cy="3044825"/>
            <wp:effectExtent l="0" t="0" r="0" b="0"/>
            <wp:docPr id="2" name="Рисунок 3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33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04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stParagraph"/>
        <w:ind w:left="0" w:hanging="0"/>
        <w:jc w:val="center"/>
        <w:rPr>
          <w:rFonts w:ascii="Times New Roman" w:hAnsi="Times New Roman"/>
          <w:sz w:val="22"/>
          <w:szCs w:val="22"/>
          <w:lang w:val="en-US" w:eastAsia="ru-RU"/>
        </w:rPr>
      </w:pPr>
      <w:r>
        <w:rPr>
          <w:rFonts w:ascii="Times New Roman" w:hAnsi="Times New Roman"/>
          <w:sz w:val="22"/>
          <w:szCs w:val="22"/>
          <w:lang w:val="en-US" w:eastAsia="ru-RU"/>
        </w:rPr>
        <w:t>АРЗДВ чертеж</w:t>
      </w:r>
    </w:p>
    <w:p>
      <w:pPr>
        <w:pStyle w:val="ListParagraph"/>
        <w:ind w:left="0" w:hanging="0"/>
        <w:jc w:val="center"/>
        <w:rPr>
          <w:rFonts w:ascii="Times New Roman" w:hAnsi="Times New Roman"/>
          <w:sz w:val="22"/>
          <w:szCs w:val="22"/>
          <w:lang w:val="en-US" w:eastAsia="ru-RU"/>
        </w:rPr>
      </w:pPr>
      <w:r>
        <w:rPr/>
        <w:drawing>
          <wp:inline distT="0" distB="0" distL="0" distR="0">
            <wp:extent cx="6336665" cy="3420745"/>
            <wp:effectExtent l="0" t="0" r="0" b="0"/>
            <wp:docPr id="3" name="Рисунок 3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4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665" cy="3420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lang w:val="en-US"/>
        </w:rPr>
      </w:pPr>
      <w:r>
        <w:rPr>
          <w:lang w:val="en-US"/>
        </w:rPr>
      </w:r>
    </w:p>
    <w:p>
      <w:pPr>
        <w:pStyle w:val="Normal"/>
        <w:tabs>
          <w:tab w:val="clear" w:pos="708"/>
          <w:tab w:val="left" w:pos="2033" w:leader="none"/>
        </w:tabs>
        <w:jc w:val="center"/>
        <w:rPr>
          <w:lang w:val="en-US"/>
        </w:rPr>
      </w:pPr>
      <w:r>
        <w:rPr>
          <w:lang w:val="en-US"/>
        </w:rPr>
        <w:t>Лопасть чертеж</w:t>
      </w:r>
    </w:p>
    <w:p>
      <w:pPr>
        <w:pStyle w:val="Normal"/>
        <w:tabs>
          <w:tab w:val="clear" w:pos="708"/>
          <w:tab w:val="left" w:pos="2033" w:leader="none"/>
        </w:tabs>
        <w:rPr>
          <w:lang w:val="en-US"/>
        </w:rPr>
      </w:pPr>
      <w:r>
        <w:rPr>
          <w:lang w:val="en-US"/>
        </w:rPr>
      </w:r>
    </w:p>
    <w:p>
      <w:pPr>
        <w:pStyle w:val="Normal"/>
        <w:tabs>
          <w:tab w:val="clear" w:pos="708"/>
          <w:tab w:val="left" w:pos="2033" w:leader="none"/>
        </w:tabs>
        <w:rPr>
          <w:lang w:val="en-US"/>
        </w:rPr>
      </w:pPr>
      <w:r>
        <w:rPr/>
        <w:drawing>
          <wp:inline distT="0" distB="0" distL="0" distR="0">
            <wp:extent cx="6243320" cy="3194685"/>
            <wp:effectExtent l="0" t="0" r="0" b="0"/>
            <wp:docPr id="4" name="Рисунок 3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5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3320" cy="319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lang w:val="en-US"/>
        </w:rPr>
      </w:pPr>
      <w:r>
        <w:rPr>
          <w:lang w:val="en-US"/>
        </w:rPr>
      </w:r>
    </w:p>
    <w:p>
      <w:pPr>
        <w:pStyle w:val="Normal"/>
        <w:rPr>
          <w:lang w:val="en-US"/>
        </w:rPr>
      </w:pPr>
      <w:r>
        <w:rPr>
          <w:lang w:val="en-US"/>
        </w:rPr>
      </w:r>
    </w:p>
    <w:p>
      <w:pPr>
        <w:pStyle w:val="Normal"/>
        <w:rPr>
          <w:lang w:val="en-US"/>
        </w:rPr>
      </w:pPr>
      <w:r>
        <w:rPr>
          <w:lang w:val="en-US"/>
        </w:rPr>
      </w:r>
    </w:p>
    <w:p>
      <w:pPr>
        <w:pStyle w:val="Normal"/>
        <w:tabs>
          <w:tab w:val="clear" w:pos="708"/>
          <w:tab w:val="left" w:pos="4117" w:leader="none"/>
        </w:tabs>
        <w:rPr>
          <w:lang w:val="en-US"/>
        </w:rPr>
      </w:pPr>
      <w:r>
        <w:rPr>
          <w:lang w:val="en-US"/>
        </w:rPr>
        <w:tab/>
      </w:r>
    </w:p>
    <w:p>
      <w:pPr>
        <w:pStyle w:val="Normal"/>
        <w:tabs>
          <w:tab w:val="clear" w:pos="708"/>
          <w:tab w:val="left" w:pos="4117" w:leader="none"/>
        </w:tabs>
        <w:rPr>
          <w:lang w:val="en-US"/>
        </w:rPr>
      </w:pPr>
      <w:r>
        <w:rPr>
          <w:lang w:val="en-US"/>
        </w:rPr>
      </w:r>
    </w:p>
    <w:p>
      <w:pPr>
        <w:pStyle w:val="Normal"/>
        <w:tabs>
          <w:tab w:val="clear" w:pos="708"/>
          <w:tab w:val="left" w:pos="4117" w:leader="none"/>
        </w:tabs>
        <w:rPr>
          <w:lang w:val="en-US"/>
        </w:rPr>
      </w:pPr>
      <w:r>
        <w:rPr>
          <w:lang w:val="en-US"/>
        </w:rPr>
      </w:r>
    </w:p>
    <w:p>
      <w:pPr>
        <w:pStyle w:val="Normal"/>
        <w:tabs>
          <w:tab w:val="clear" w:pos="708"/>
          <w:tab w:val="left" w:pos="4117" w:leader="none"/>
        </w:tabs>
        <w:rPr>
          <w:lang w:val="en-US"/>
        </w:rPr>
      </w:pPr>
      <w:r>
        <w:rPr>
          <w:lang w:val="en-US"/>
        </w:rPr>
      </w:r>
    </w:p>
    <w:p>
      <w:pPr>
        <w:pStyle w:val="Normal"/>
        <w:tabs>
          <w:tab w:val="clear" w:pos="708"/>
          <w:tab w:val="left" w:pos="4117" w:leader="none"/>
        </w:tabs>
        <w:rPr>
          <w:lang w:val="en-US"/>
        </w:rPr>
      </w:pPr>
      <w:r>
        <w:rPr>
          <w:lang w:val="en-US"/>
        </w:rPr>
      </w:r>
    </w:p>
    <w:p>
      <w:pPr>
        <w:pStyle w:val="Normal"/>
        <w:tabs>
          <w:tab w:val="clear" w:pos="708"/>
          <w:tab w:val="left" w:pos="4117" w:leader="none"/>
        </w:tabs>
        <w:rPr>
          <w:lang w:val="en-US"/>
        </w:rPr>
      </w:pPr>
      <w:r>
        <w:rPr>
          <w:lang w:val="en-US"/>
        </w:rPr>
      </w:r>
    </w:p>
    <w:p>
      <w:pPr>
        <w:pStyle w:val="Normal"/>
        <w:tabs>
          <w:tab w:val="clear" w:pos="708"/>
          <w:tab w:val="left" w:pos="4117" w:leader="none"/>
        </w:tabs>
        <w:jc w:val="center"/>
        <w:rPr>
          <w:lang w:val="en-US"/>
        </w:rPr>
      </w:pPr>
      <w:r>
        <w:rPr>
          <w:lang w:val="en-US"/>
        </w:rPr>
        <w:t>Лопасть</w:t>
      </w:r>
    </w:p>
    <w:p>
      <w:pPr>
        <w:pStyle w:val="Normal"/>
        <w:tabs>
          <w:tab w:val="clear" w:pos="708"/>
          <w:tab w:val="left" w:pos="4117" w:leader="none"/>
        </w:tabs>
        <w:rPr>
          <w:lang w:val="en-US"/>
        </w:rPr>
      </w:pPr>
      <w:r>
        <w:rPr/>
        <w:drawing>
          <wp:inline distT="0" distB="0" distL="0" distR="0">
            <wp:extent cx="5938520" cy="4130675"/>
            <wp:effectExtent l="0" t="0" r="0" b="0"/>
            <wp:docPr id="5" name="Рисунок 3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36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413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tabs>
          <w:tab w:val="clear" w:pos="708"/>
          <w:tab w:val="left" w:pos="4117" w:leader="none"/>
        </w:tabs>
        <w:rPr>
          <w:lang w:val="en-US"/>
        </w:rPr>
      </w:pPr>
      <w:r>
        <w:rPr>
          <w:lang w:val="en-US"/>
        </w:rPr>
      </w:r>
    </w:p>
    <w:p>
      <w:pPr>
        <w:pStyle w:val="Normal"/>
        <w:tabs>
          <w:tab w:val="clear" w:pos="708"/>
          <w:tab w:val="left" w:pos="4117" w:leader="none"/>
        </w:tabs>
        <w:rPr>
          <w:lang w:val="en-US"/>
        </w:rPr>
      </w:pPr>
      <w:r>
        <w:rPr/>
      </w:r>
    </w:p>
    <w:sectPr>
      <w:type w:val="nextPage"/>
      <w:pgSz w:w="11906" w:h="16838"/>
      <w:pgMar w:left="1701" w:right="850" w:gutter="0" w:header="0" w:top="1134" w:footer="0" w:bottom="1134"/>
      <w:pgNumType w:fmt="decimal"/>
      <w:formProt w:val="false"/>
      <w:textDirection w:val="lrTb"/>
      <w:docGrid w:type="default" w:linePitch="381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Calibri">
    <w:charset w:val="01"/>
    <w:family w:val="roman"/>
    <w:pitch w:val="variable"/>
  </w:font>
  <w:font w:name="Times New Roman">
    <w:charset w:val="01"/>
    <w:family w:val="roman"/>
    <w:pitch w:val="variable"/>
  </w:font>
  <w:font w:name="Liberation Sans">
    <w:altName w:val="Arial"/>
    <w:charset w:val="01"/>
    <w:family w:val="swiss"/>
    <w:pitch w:val="variable"/>
  </w:font>
  <w:font w:name="Geneva CY">
    <w:charset w:val="01"/>
    <w:family w:val="roman"/>
    <w:pitch w:val="variable"/>
  </w:font>
  <w:font w:name="Symbol">
    <w:charset w:val="02"/>
    <w:family w:val="auto"/>
    <w:pitch w:val="default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abstractNum w:abstractNumId="2">
    <w:lvl w:ilvl="0">
      <w:start w:val="1"/>
      <w:numFmt w:val="decimal"/>
      <w:lvlText w:val="%1."/>
      <w:lvlJc w:val="left"/>
      <w:pPr>
        <w:tabs>
          <w:tab w:val="num" w:pos="0"/>
        </w:tabs>
        <w:ind w:left="417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4677"/>
        </w:tabs>
        <w:ind w:left="6528" w:hanging="432"/>
      </w:pPr>
      <w:rPr>
        <w:sz w:val="28"/>
        <w:b w:val="false"/>
        <w:szCs w:val="28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646" w:hanging="504"/>
      </w:pPr>
      <w:rPr>
        <w:i w:val="false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85" w:hanging="648"/>
      </w:pPr>
      <w:rPr/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89" w:hanging="792"/>
      </w:pPr>
      <w:rPr/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93" w:hanging="936"/>
      </w:pPr>
      <w:rPr/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97" w:hanging="1080"/>
      </w:pPr>
      <w:rPr/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801" w:hanging="1224"/>
      </w:pPr>
      <w:rPr/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77" w:hanging="1440"/>
      </w:pPr>
      <w:rPr/>
    </w:lvl>
  </w:abstractNum>
  <w:abstractNum w:abstractNumId="3">
    <w:lvl w:ilvl="0">
      <w:start w:val="1"/>
      <w:numFmt w:val="lowerLetter"/>
      <w:lvlText w:val="%1)"/>
      <w:lvlJc w:val="left"/>
      <w:pPr>
        <w:tabs>
          <w:tab w:val="num" w:pos="0"/>
        </w:tabs>
        <w:ind w:left="1770" w:hanging="360"/>
      </w:pPr>
      <w:rPr/>
    </w:lvl>
    <w:lvl w:ilvl="1">
      <w:start w:val="1"/>
      <w:numFmt w:val="bullet"/>
      <w:lvlText w:val=""/>
      <w:lvlJc w:val="left"/>
      <w:pPr>
        <w:tabs>
          <w:tab w:val="num" w:pos="0"/>
        </w:tabs>
        <w:ind w:left="1211" w:hanging="360"/>
      </w:pPr>
      <w:rPr>
        <w:rFonts w:ascii="Symbol" w:hAnsi="Symbol" w:cs="Symbol" w:hint="default"/>
      </w:rPr>
    </w:lvl>
    <w:lvl w:ilvl="2">
      <w:start w:val="1"/>
      <w:numFmt w:val="decimal"/>
      <w:lvlText w:val="%3."/>
      <w:lvlJc w:val="left"/>
      <w:pPr>
        <w:tabs>
          <w:tab w:val="num" w:pos="0"/>
        </w:tabs>
        <w:ind w:left="1637" w:hanging="36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3930" w:hanging="360"/>
      </w:pPr>
      <w:rPr/>
    </w:lvl>
    <w:lvl w:ilvl="4">
      <w:start w:val="1"/>
      <w:numFmt w:val="lowerLetter"/>
      <w:lvlText w:val="%5."/>
      <w:lvlJc w:val="left"/>
      <w:pPr>
        <w:tabs>
          <w:tab w:val="num" w:pos="0"/>
        </w:tabs>
        <w:ind w:left="4650" w:hanging="36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5370" w:hanging="1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6090" w:hanging="360"/>
      </w:pPr>
      <w:rPr/>
    </w:lvl>
    <w:lvl w:ilvl="7">
      <w:start w:val="1"/>
      <w:numFmt w:val="lowerLetter"/>
      <w:lvlText w:val="%8."/>
      <w:lvlJc w:val="left"/>
      <w:pPr>
        <w:tabs>
          <w:tab w:val="num" w:pos="0"/>
        </w:tabs>
        <w:ind w:left="6810" w:hanging="36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7530" w:hanging="180"/>
      </w:pPr>
      <w:rPr/>
    </w:lvl>
  </w:abstractNum>
  <w:num w:numId="1">
    <w:abstractNumId w:val="1"/>
  </w:num>
  <w:num w:numId="2">
    <w:abstractNumId w:val="2"/>
  </w:num>
  <w:num w:numId="3">
    <w:abstractNumId w:val="3"/>
  </w:num>
</w:numbering>
</file>

<file path=word/settings.xml><?xml version="1.0" encoding="utf-8"?>
<w:settings xmlns:w="http://schemas.openxmlformats.org/wordprocessingml/2006/main">
  <w:zoom w:percent="89"/>
  <w:defaultTabStop w:val="708"/>
  <w:autoHyphenation w:val="true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ru-RU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uiPriority="0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rsid w:val="00421d1b"/>
    <w:pPr>
      <w:widowControl/>
      <w:suppressAutoHyphens w:val="true"/>
      <w:bidi w:val="0"/>
      <w:spacing w:lineRule="auto" w:line="240" w:before="0" w:after="0"/>
      <w:jc w:val="both"/>
    </w:pPr>
    <w:rPr>
      <w:rFonts w:ascii="Times New Roman" w:hAnsi="Times New Roman" w:eastAsia="Calibri" w:cs="Times New Roman" w:eastAsiaTheme="minorHAnsi"/>
      <w:color w:val="auto"/>
      <w:kern w:val="0"/>
      <w:sz w:val="28"/>
      <w:szCs w:val="28"/>
      <w:lang w:eastAsia="ru-RU" w:val="ru-RU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yle9" w:customStyle="1">
    <w:name w:val="Текст сноски Знак"/>
    <w:uiPriority w:val="99"/>
    <w:semiHidden/>
    <w:qFormat/>
    <w:locked/>
    <w:rsid w:val="00421d1b"/>
    <w:rPr>
      <w:rFonts w:ascii="Times New Roman" w:hAnsi="Times New Roman" w:cs="Times New Roman"/>
      <w:sz w:val="20"/>
      <w:szCs w:val="20"/>
    </w:rPr>
  </w:style>
  <w:style w:type="character" w:styleId="Style10">
    <w:name w:val="Символ сноски"/>
    <w:qFormat/>
    <w:rsid w:val="00421d1b"/>
    <w:rPr>
      <w:rFonts w:cs="Times New Roman"/>
      <w:vertAlign w:val="superscript"/>
    </w:rPr>
  </w:style>
  <w:style w:type="character" w:styleId="FootnoteReference">
    <w:name w:val="Footnote Reference"/>
    <w:rPr>
      <w:rFonts w:cs="Times New Roman"/>
      <w:vertAlign w:val="superscript"/>
    </w:rPr>
  </w:style>
  <w:style w:type="character" w:styleId="1" w:customStyle="1">
    <w:name w:val="Текст сноски Знак1"/>
    <w:basedOn w:val="DefaultParagraphFont"/>
    <w:uiPriority w:val="99"/>
    <w:semiHidden/>
    <w:qFormat/>
    <w:rsid w:val="00421d1b"/>
    <w:rPr>
      <w:rFonts w:ascii="Times New Roman" w:hAnsi="Times New Roman" w:eastAsia="Calibri" w:cs="Times New Roman"/>
      <w:sz w:val="20"/>
      <w:szCs w:val="20"/>
      <w:lang w:eastAsia="ru-RU"/>
    </w:rPr>
  </w:style>
  <w:style w:type="character" w:styleId="Style11" w:customStyle="1">
    <w:name w:val="Верхний колонтитул Знак"/>
    <w:basedOn w:val="DefaultParagraphFont"/>
    <w:uiPriority w:val="99"/>
    <w:qFormat/>
    <w:rsid w:val="00ff5f45"/>
    <w:rPr>
      <w:rFonts w:ascii="Times New Roman" w:hAnsi="Times New Roman" w:eastAsia="Calibri" w:cs="Times New Roman"/>
      <w:sz w:val="28"/>
      <w:szCs w:val="28"/>
      <w:lang w:eastAsia="ru-RU"/>
    </w:rPr>
  </w:style>
  <w:style w:type="character" w:styleId="Style12" w:customStyle="1">
    <w:name w:val="Нижний колонтитул Знак"/>
    <w:basedOn w:val="DefaultParagraphFont"/>
    <w:uiPriority w:val="99"/>
    <w:qFormat/>
    <w:rsid w:val="00ff5f45"/>
    <w:rPr>
      <w:rFonts w:ascii="Times New Roman" w:hAnsi="Times New Roman" w:eastAsia="Calibri" w:cs="Times New Roman"/>
      <w:sz w:val="28"/>
      <w:szCs w:val="28"/>
      <w:lang w:eastAsia="ru-RU"/>
    </w:rPr>
  </w:style>
  <w:style w:type="paragraph" w:styleId="Style13">
    <w:name w:val="Заголовок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Noto Sans CJK SC" w:cs="Arial Unicode MS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cs="Arial Unicode M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styleId="Style14">
    <w:name w:val="Указатель"/>
    <w:basedOn w:val="Normal"/>
    <w:qFormat/>
    <w:pPr>
      <w:suppressLineNumbers/>
    </w:pPr>
    <w:rPr>
      <w:rFonts w:cs="Arial Unicode MS"/>
    </w:rPr>
  </w:style>
  <w:style w:type="paragraph" w:styleId="FootnoteText">
    <w:name w:val="Footnote Text"/>
    <w:basedOn w:val="Normal"/>
    <w:link w:val="Style9"/>
    <w:uiPriority w:val="99"/>
    <w:semiHidden/>
    <w:rsid w:val="00421d1b"/>
    <w:pPr/>
    <w:rPr>
      <w:rFonts w:eastAsia="Calibri" w:eastAsiaTheme="minorHAnsi"/>
      <w:sz w:val="20"/>
      <w:szCs w:val="20"/>
      <w:lang w:eastAsia="en-US"/>
    </w:rPr>
  </w:style>
  <w:style w:type="paragraph" w:styleId="ListParagraph">
    <w:name w:val="List Paragraph"/>
    <w:basedOn w:val="Normal"/>
    <w:uiPriority w:val="34"/>
    <w:qFormat/>
    <w:rsid w:val="00421d1f"/>
    <w:pPr>
      <w:suppressAutoHyphens w:val="false"/>
      <w:spacing w:before="0" w:after="0"/>
      <w:ind w:left="720" w:hanging="0"/>
      <w:contextualSpacing/>
      <w:jc w:val="left"/>
    </w:pPr>
    <w:rPr>
      <w:rFonts w:ascii="Geneva CY" w:hAnsi="Geneva CY" w:eastAsia="Geneva"/>
      <w:sz w:val="24"/>
      <w:szCs w:val="20"/>
      <w:lang w:eastAsia="en-US"/>
    </w:rPr>
  </w:style>
  <w:style w:type="paragraph" w:styleId="Style15">
    <w:name w:val="Колонтитул"/>
    <w:basedOn w:val="Normal"/>
    <w:qFormat/>
    <w:pPr/>
    <w:rPr/>
  </w:style>
  <w:style w:type="paragraph" w:styleId="Header">
    <w:name w:val="Header"/>
    <w:basedOn w:val="Normal"/>
    <w:link w:val="Style11"/>
    <w:uiPriority w:val="99"/>
    <w:unhideWhenUsed/>
    <w:rsid w:val="00ff5f45"/>
    <w:pPr>
      <w:tabs>
        <w:tab w:val="clear" w:pos="708"/>
        <w:tab w:val="center" w:pos="4677" w:leader="none"/>
        <w:tab w:val="right" w:pos="9355" w:leader="none"/>
      </w:tabs>
    </w:pPr>
    <w:rPr/>
  </w:style>
  <w:style w:type="paragraph" w:styleId="Footer">
    <w:name w:val="Footer"/>
    <w:basedOn w:val="Normal"/>
    <w:link w:val="Style12"/>
    <w:uiPriority w:val="99"/>
    <w:unhideWhenUsed/>
    <w:rsid w:val="00ff5f45"/>
    <w:pPr>
      <w:tabs>
        <w:tab w:val="clear" w:pos="708"/>
        <w:tab w:val="center" w:pos="4677" w:leader="none"/>
        <w:tab w:val="right" w:pos="9355" w:leader="none"/>
      </w:tabs>
    </w:pPr>
    <w:rPr/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numbering" Target="numbering.xml"/><Relationship Id="rId8" Type="http://schemas.openxmlformats.org/officeDocument/2006/relationships/fontTable" Target="fontTable.xml"/><Relationship Id="rId9" Type="http://schemas.openxmlformats.org/officeDocument/2006/relationships/settings" Target="settings.xml"/><Relationship Id="rId10" Type="http://schemas.openxmlformats.org/officeDocument/2006/relationships/theme" Target="theme/theme1.xml"/><Relationship Id="rId11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15D0F71-9F37-4C76-BFA8-AF0B89871F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830</TotalTime>
  <Application>AlterOffice/3.4.0.9$Linux_X86_64 LibreOffice_project/b8daf9e823b1a5463a2f48435ddc2e8696e7d4fc</Application>
  <AppVersion>15.0000</AppVersion>
  <Pages>8</Pages>
  <Words>849</Words>
  <Characters>6084</Characters>
  <CharactersWithSpaces>6977</CharactersWithSpaces>
  <Paragraphs>82</Paragraphs>
  <Company>РусГидро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2024-11-28T02:18:00Z</dcterms:created>
  <dc:creator>Карпова Вероника Вячеславовна</dc:creator>
  <dc:description/>
  <dc:language>ru-RU</dc:language>
  <cp:lastModifiedBy>murinatv@corp.gidroogk.com</cp:lastModifiedBy>
  <dcterms:modified xsi:type="dcterms:W3CDTF">2026-07-06T10:12:39Z</dcterms:modified>
  <cp:revision>33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