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ОКПД2 08.92 Поставка земли растительной механизированной заготовки для нужд Саратовского филиала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3"/>
        </w:numPr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24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ОКПД2 08.92 Поставка земли растительной механизированной заготовки для нужд Саратовского филиала.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2" w:name="_Toc75446569"/>
      <w:bookmarkStart w:id="3" w:name="_Toc46743507"/>
      <w:r>
        <w:rPr/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1.2.1. Продукция закупается для исполнения: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Fonts w:eastAsia="Calibri"/>
          <w:sz w:val="24"/>
          <w:szCs w:val="24"/>
          <w:lang w:eastAsia="x-none"/>
        </w:rPr>
        <w:t>- Договор подряда № 1300-355-2023 от 02.11.2023 г. Капитальный и текущий ремонт оборудования, зданий, сооружений филиала ПАО "РусГидро" - "Саратовская ГЭС" заключенный между АО «Гидроремонт-ВКК” и филиалом ПАО "РусГидро" – «Саратовская ГЭС».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3"/>
        </w:numPr>
        <w:rPr/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>
      <w:pPr>
        <w:pStyle w:val="Heading1"/>
        <w:keepLines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2"/>
        <w:gridCol w:w="2983"/>
        <w:gridCol w:w="1555"/>
        <w:gridCol w:w="1564"/>
        <w:gridCol w:w="2834"/>
      </w:tblGrid>
      <w:tr>
        <w:trPr>
          <w:tblHeader w:val="true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Земля растительная механизированной заготовки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Цех ГТС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ВОР 6.18 – 408м3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Heading3"/>
        <w:numPr>
          <w:ilvl w:val="2"/>
          <w:numId w:val="3"/>
        </w:numPr>
        <w:spacing w:before="240" w:after="60"/>
        <w:ind w:left="1225" w:hanging="505"/>
        <w:rPr>
          <w:lang w:val="ru-RU"/>
        </w:rPr>
      </w:pPr>
      <w:bookmarkStart w:id="10" w:name="_Toc75446578"/>
      <w:bookmarkStart w:id="11" w:name="_Toc51339696"/>
      <w:r>
        <w:rPr>
          <w:lang w:val="ru-RU"/>
        </w:rPr>
        <w:t xml:space="preserve">Требования </w:t>
      </w:r>
      <w:bookmarkEnd w:id="11"/>
      <w:r>
        <w:rPr>
          <w:lang w:val="ru-RU"/>
        </w:rPr>
        <w:t xml:space="preserve">к срокам поставки продукции </w:t>
      </w:r>
      <w:bookmarkEnd w:id="10"/>
    </w:p>
    <w:p>
      <w:pPr>
        <w:pStyle w:val="Heading1"/>
        <w:keepLines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2" w:name="_Toc75446579"/>
      <w:bookmarkStart w:id="13" w:name="_Toc51339697"/>
      <w:bookmarkStart w:id="14" w:name="_Toc50125127"/>
      <w:bookmarkStart w:id="15" w:name="_Toc50125126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2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2554"/>
        <w:gridCol w:w="3830"/>
        <w:gridCol w:w="2690"/>
      </w:tblGrid>
      <w:tr>
        <w:trPr>
          <w:trHeight w:val="99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bookmarkStart w:id="17" w:name="_Toc46743510"/>
            <w:r>
              <w:rPr>
                <w:b/>
                <w:sz w:val="24"/>
                <w:szCs w:val="24"/>
              </w:rPr>
              <w:t>4</w:t>
            </w:r>
            <w:bookmarkEnd w:id="17"/>
          </w:p>
        </w:tc>
      </w:tr>
      <w:tr>
        <w:trPr>
          <w:trHeight w:val="74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hanging="360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Земля растительная механизированной заготовки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 по заявкам-спецификациям, в течение 3 календарных дней с даты направления заявки- спецификации Поставщику (ориентировочное количество заявок − 20).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>
            <w:pPr>
              <w:pStyle w:val="Normal"/>
              <w:widowControl w:val="false"/>
              <w:ind w:right="-1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 г.*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  <w:t>*срок установлен в соответствии с условиями договора, указанного в п.1.2.1 Технических требований.</w:t>
      </w:r>
    </w:p>
    <w:p>
      <w:pPr>
        <w:pStyle w:val="Heading4"/>
        <w:numPr>
          <w:ilvl w:val="1"/>
          <w:numId w:val="3"/>
        </w:numPr>
        <w:rPr/>
      </w:pPr>
      <w:bookmarkStart w:id="18" w:name="_Toc51339698"/>
      <w:bookmarkStart w:id="19" w:name="_Toc75446581"/>
      <w:bookmarkStart w:id="20" w:name="_Toc46743511"/>
      <w:r>
        <w:rPr/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  <w:bCs/>
          <w:iCs/>
          <w:sz w:val="24"/>
          <w:szCs w:val="24"/>
        </w:rPr>
      </w:pPr>
      <w:bookmarkStart w:id="2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r>
        <w:rPr>
          <w:sz w:val="24"/>
          <w:szCs w:val="24"/>
        </w:rPr>
        <w:t xml:space="preserve"> </w:t>
      </w:r>
      <w:bookmarkEnd w:id="18"/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1.1.) </w:t>
      </w:r>
      <w:r>
        <w:rPr>
          <w:bCs/>
          <w:iCs/>
          <w:sz w:val="24"/>
          <w:szCs w:val="24"/>
        </w:rPr>
        <w:t>«Перечень и объем закупаемой продукции»): земля растительная механизированной заготовки</w:t>
      </w:r>
    </w:p>
    <w:tbl>
      <w:tblPr>
        <w:tblStyle w:val="affff4"/>
        <w:tblW w:w="5000" w:type="pct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2283"/>
        <w:gridCol w:w="6090"/>
        <w:gridCol w:w="3039"/>
        <w:gridCol w:w="2801"/>
      </w:tblGrid>
      <w:tr>
        <w:trPr>
          <w:tblHeader w:val="true"/>
        </w:trPr>
        <w:tc>
          <w:tcPr>
            <w:tcW w:w="10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8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0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0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81" w:hRule="atLeast"/>
        </w:trPr>
        <w:tc>
          <w:tcPr>
            <w:tcW w:w="10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03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Способ заготовки</w:t>
            </w:r>
          </w:p>
        </w:tc>
        <w:tc>
          <w:tcPr>
            <w:tcW w:w="6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Механизированный</w:t>
            </w:r>
            <w:bookmarkStart w:id="22" w:name="_GoBack"/>
            <w:bookmarkEnd w:id="22"/>
          </w:p>
        </w:tc>
        <w:tc>
          <w:tcPr>
            <w:tcW w:w="30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</w:t>
            </w:r>
          </w:p>
        </w:tc>
        <w:tc>
          <w:tcPr>
            <w:tcW w:w="609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</w:tc>
        <w:tc>
          <w:tcPr>
            <w:tcW w:w="3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</w:rPr>
            </w:pPr>
            <w:r>
              <w:rPr>
                <w:rFonts w:eastAsia="DotumChe"/>
                <w:b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Фасовка</w:t>
            </w:r>
          </w:p>
        </w:tc>
        <w:tc>
          <w:tcPr>
            <w:tcW w:w="609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  <w:t>Валом</w:t>
            </w:r>
          </w:p>
        </w:tc>
        <w:tc>
          <w:tcPr>
            <w:tcW w:w="3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</w:rPr>
            </w:pPr>
            <w:r>
              <w:rPr>
                <w:rFonts w:eastAsia="DotumChe"/>
                <w:b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территория Саратовской ГЭС, русловая плотина, левобережная дамба</w:t>
            </w:r>
          </w:p>
        </w:tc>
        <w:tc>
          <w:tcPr>
            <w:tcW w:w="30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60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(соисполнителей).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30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6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месяцев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Гарантийный срок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6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609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При поставке продукции поставщик должен предоставить заверенные копии документов на русском языке, подтверждающих соответствие предлагаемой продукции обязательным требованиям нормативных документов, действующих в РФ, (сертификаты соответствия, паспорта).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При поставке вся продукция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продукции.</w:t>
            </w:r>
          </w:p>
        </w:tc>
        <w:tc>
          <w:tcPr>
            <w:tcW w:w="303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993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3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23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24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24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Heading1"/>
        <w:keepLines/>
        <w:tabs>
          <w:tab w:val="clear" w:pos="0"/>
        </w:tabs>
        <w:ind w:left="0" w:hanging="0"/>
        <w:rPr>
          <w:i/>
          <w:i/>
          <w:iCs/>
          <w:sz w:val="24"/>
          <w:szCs w:val="24"/>
          <w:shd w:fill="FFFF99" w:val="clear"/>
          <w:lang w:val="ru-RU"/>
        </w:rPr>
      </w:pPr>
      <w:r>
        <w:rPr>
          <w:i/>
          <w:iCs/>
          <w:sz w:val="24"/>
          <w:szCs w:val="24"/>
          <w:shd w:fill="FFFF99" w:val="clear"/>
          <w:lang w:val="ru-RU"/>
        </w:rPr>
      </w:r>
    </w:p>
    <w:p>
      <w:pPr>
        <w:pStyle w:val="Heading1"/>
        <w:tabs>
          <w:tab w:val="clear" w:pos="0"/>
        </w:tabs>
        <w:ind w:left="5038" w:hanging="360"/>
        <w:rPr/>
      </w:pPr>
      <w:r>
        <w:rPr/>
      </w:r>
    </w:p>
    <w:p>
      <w:pPr>
        <w:pStyle w:val="Normal"/>
        <w:rPr>
          <w:lang w:val="x-none"/>
        </w:rPr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DA6E-229A-4945-8B0A-7F0CCEFC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AlterOffice/3.4.0.9$Linux_X86_64 LibreOffice_project/b8daf9e823b1a5463a2f48435ddc2e8696e7d4fc</Application>
  <AppVersion>15.0000</AppVersion>
  <Pages>5</Pages>
  <Words>572</Words>
  <Characters>3989</Characters>
  <CharactersWithSpaces>4444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2024-02-09T11:17:00Z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2026-07-06T11:37:44Z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