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w:t>
      </w:r>
      <w:r>
        <w:rPr>
          <w:lang w:val="ru-RU"/>
        </w:rPr>
        <w:t>Пятигорск</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w:t>
      </w:r>
      <w:r>
        <w:rPr>
          <w:b/>
          <w:sz w:val="24"/>
          <w:szCs w:val="24"/>
          <w:lang w:val="ru-RU"/>
        </w:rPr>
        <w:t>кционерное общество «</w:t>
      </w:r>
      <w:r>
        <w:rPr>
          <w:b/>
          <w:sz w:val="24"/>
          <w:szCs w:val="24"/>
          <w:lang w:val="ru-RU"/>
        </w:rPr>
        <w:t>Транспортная</w:t>
      </w:r>
      <w:r>
        <w:rPr>
          <w:b/>
          <w:sz w:val="24"/>
          <w:szCs w:val="24"/>
          <w:lang w:val="ru-RU"/>
        </w:rPr>
        <w:t xml:space="preserve"> компания РусГидро» (АО «</w:t>
      </w:r>
      <w:r>
        <w:rPr>
          <w:b/>
          <w:sz w:val="24"/>
          <w:szCs w:val="24"/>
          <w:lang w:val="ru-RU"/>
        </w:rPr>
        <w:t>ТК</w:t>
      </w:r>
      <w:r>
        <w:rPr>
          <w:b/>
          <w:sz w:val="24"/>
          <w:szCs w:val="24"/>
          <w:lang w:val="ru-RU"/>
        </w:rPr>
        <w:t xml:space="preserve"> РусГидро»)</w:t>
      </w:r>
      <w:r>
        <w:rPr>
          <w:sz w:val="24"/>
          <w:szCs w:val="24"/>
          <w:lang w:val="ru-RU"/>
        </w:rPr>
        <w:t xml:space="preserve"> (далее – «Заказчик»),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 </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2" w:name="_GoBack"/>
      <w:bookmarkEnd w:id="12"/>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keepNext w:val="true"/>
              <w:keepLines/>
              <w:widowControl w:val="false"/>
              <w:tabs>
                <w:tab w:val="clear" w:pos="709"/>
                <w:tab w:val="left" w:pos="567" w:leader="none"/>
                <w:tab w:val="left" w:pos="851" w:leader="none"/>
                <w:tab w:val="left" w:pos="1134" w:leader="none"/>
              </w:tabs>
              <w:rPr>
                <w:b/>
                <w:lang w:val="ru-RU"/>
              </w:rPr>
            </w:pPr>
            <w:r>
              <w:rPr>
                <w:b/>
                <w:lang w:val="ru-RU"/>
              </w:rPr>
              <w:t>Акционерное общество «ТК РусГидро»</w:t>
            </w:r>
          </w:p>
          <w:p>
            <w:pPr>
              <w:pStyle w:val="Normal"/>
              <w:keepNext w:val="true"/>
              <w:keepLines/>
              <w:widowControl w:val="false"/>
              <w:tabs>
                <w:tab w:val="clear" w:pos="709"/>
                <w:tab w:val="left" w:pos="567" w:leader="none"/>
                <w:tab w:val="left" w:pos="851" w:leader="none"/>
                <w:tab w:val="left" w:pos="1134" w:leader="none"/>
              </w:tabs>
              <w:rPr>
                <w:b/>
                <w:lang w:val="ru-RU"/>
              </w:rPr>
            </w:pPr>
            <w:r>
              <w:rPr>
                <w:b/>
                <w:lang w:val="ru-RU"/>
              </w:rPr>
              <w:t>(АО «ТК РусГидро»)</w:t>
            </w:r>
          </w:p>
          <w:p>
            <w:pPr>
              <w:pStyle w:val="Normal"/>
              <w:keepNext w:val="true"/>
              <w:keepLines/>
              <w:widowControl w:val="false"/>
              <w:rPr>
                <w:lang w:val="ru-RU"/>
              </w:rPr>
            </w:pPr>
            <w:r>
              <w:rPr>
                <w:lang w:val="ru-RU"/>
              </w:rPr>
            </w:r>
          </w:p>
          <w:p>
            <w:pPr>
              <w:pStyle w:val="Normal"/>
              <w:widowControl w:val="false"/>
              <w:rPr>
                <w:lang w:val="ru-RU"/>
              </w:rPr>
            </w:pPr>
            <w:r>
              <w:rPr>
                <w:lang w:val="ru-RU"/>
              </w:rPr>
              <w:t>655619, Республика Хакасия, город Саяногорск, рабочий поселок Черемушки, д. 101</w:t>
            </w:r>
          </w:p>
          <w:p>
            <w:pPr>
              <w:pStyle w:val="Normal"/>
              <w:keepNext w:val="true"/>
              <w:keepLines/>
              <w:widowControl w:val="false"/>
              <w:rPr>
                <w:lang w:val="ru-RU"/>
              </w:rPr>
            </w:pPr>
            <w:r>
              <w:rPr>
                <w:lang w:val="ru-RU"/>
              </w:rPr>
              <w:t>ИНН 1902018248</w:t>
            </w:r>
          </w:p>
          <w:p>
            <w:pPr>
              <w:pStyle w:val="Normal"/>
              <w:keepNext w:val="true"/>
              <w:keepLines/>
              <w:widowControl w:val="false"/>
              <w:rPr>
                <w:lang w:val="ru-RU"/>
              </w:rPr>
            </w:pPr>
            <w:r>
              <w:rPr>
                <w:lang w:val="ru-RU"/>
              </w:rPr>
              <w:t>КПП 190201001</w:t>
            </w:r>
          </w:p>
          <w:p>
            <w:pPr>
              <w:pStyle w:val="Normal"/>
              <w:keepNext w:val="true"/>
              <w:keepLines/>
              <w:widowControl w:val="false"/>
              <w:rPr>
                <w:lang w:val="ru-RU"/>
              </w:rPr>
            </w:pPr>
            <w:r>
              <w:rPr>
                <w:lang w:val="ru-RU"/>
              </w:rPr>
              <w:t>ОГРН 1031900676356</w:t>
            </w:r>
          </w:p>
          <w:p>
            <w:pPr>
              <w:pStyle w:val="Normal"/>
              <w:keepNext w:val="true"/>
              <w:keepLines/>
              <w:widowControl w:val="false"/>
              <w:rPr>
                <w:lang w:val="ru-RU"/>
              </w:rPr>
            </w:pPr>
            <w:r>
              <w:rPr>
                <w:lang w:val="ru-RU"/>
              </w:rPr>
              <w:t>ОКПО 42213224</w:t>
            </w:r>
          </w:p>
          <w:p>
            <w:pPr>
              <w:pStyle w:val="Normal"/>
              <w:keepNext w:val="true"/>
              <w:keepLines/>
              <w:widowControl w:val="false"/>
              <w:rPr>
                <w:lang w:val="ru-RU"/>
              </w:rPr>
            </w:pPr>
            <w:r>
              <w:rPr>
                <w:lang w:val="ru-RU"/>
              </w:rPr>
              <w:t>Южный филиал АО «ТК РусГидро»</w:t>
            </w:r>
          </w:p>
          <w:p>
            <w:pPr>
              <w:pStyle w:val="Normal"/>
              <w:keepNext w:val="true"/>
              <w:keepLines/>
              <w:widowControl w:val="false"/>
              <w:rPr>
                <w:lang w:val="ru-RU"/>
              </w:rPr>
            </w:pPr>
            <w:r>
              <w:rPr>
                <w:lang w:val="ru-RU"/>
              </w:rPr>
              <w:t>357506, Российская Федерация, Ставропольский край, город-курорт Пятигорск, ул. Тургеневская, зд. 30.</w:t>
            </w:r>
          </w:p>
          <w:p>
            <w:pPr>
              <w:pStyle w:val="Normal"/>
              <w:keepNext w:val="true"/>
              <w:keepLines/>
              <w:widowControl w:val="false"/>
              <w:rPr>
                <w:lang w:val="ru-RU"/>
              </w:rPr>
            </w:pPr>
            <w:r>
              <w:rPr>
                <w:lang w:val="ru-RU"/>
              </w:rPr>
              <w:t>Телефон, факс: +7(86554) 4-16-55</w:t>
            </w:r>
          </w:p>
          <w:p>
            <w:pPr>
              <w:pStyle w:val="Normal"/>
              <w:keepNext w:val="true"/>
              <w:keepLines/>
              <w:widowControl w:val="false"/>
              <w:rPr>
                <w:lang w:val="ru-RU"/>
              </w:rPr>
            </w:pPr>
            <w:r>
              <w:rPr>
                <w:lang w:val="ru-RU"/>
              </w:rPr>
              <w:t>ИНН 1902018248</w:t>
            </w:r>
          </w:p>
          <w:p>
            <w:pPr>
              <w:pStyle w:val="Normal"/>
              <w:keepNext w:val="true"/>
              <w:keepLines/>
              <w:widowControl w:val="false"/>
              <w:rPr>
                <w:lang w:val="ru-RU"/>
              </w:rPr>
            </w:pPr>
            <w:r>
              <w:rPr>
                <w:lang w:val="ru-RU"/>
              </w:rPr>
              <w:t>КПП 263243001</w:t>
            </w:r>
          </w:p>
          <w:p>
            <w:pPr>
              <w:pStyle w:val="Normal"/>
              <w:keepNext w:val="true"/>
              <w:keepLines/>
              <w:widowControl w:val="false"/>
              <w:rPr>
                <w:lang w:val="ru-RU"/>
              </w:rPr>
            </w:pPr>
            <w:r>
              <w:rPr>
                <w:lang w:val="ru-RU"/>
              </w:rPr>
              <w:t>ОКПО 21967982</w:t>
            </w:r>
          </w:p>
          <w:p>
            <w:pPr>
              <w:pStyle w:val="Normal"/>
              <w:keepNext w:val="true"/>
              <w:keepLines/>
              <w:widowControl w:val="false"/>
              <w:rPr>
                <w:lang w:val="ru-RU"/>
              </w:rPr>
            </w:pPr>
            <w:r>
              <w:rPr>
                <w:lang w:val="ru-RU"/>
              </w:rPr>
              <w:t>Банковские реквизиты:</w:t>
            </w:r>
          </w:p>
          <w:p>
            <w:pPr>
              <w:pStyle w:val="Normal"/>
              <w:keepNext w:val="true"/>
              <w:keepLines/>
              <w:widowControl w:val="false"/>
              <w:rPr>
                <w:lang w:val="ru-RU"/>
              </w:rPr>
            </w:pPr>
            <w:r>
              <w:rPr>
                <w:lang w:val="ru-RU"/>
              </w:rPr>
              <w:t>р/с 40702810795000000002</w:t>
            </w:r>
          </w:p>
          <w:p>
            <w:pPr>
              <w:pStyle w:val="Normal"/>
              <w:keepNext w:val="true"/>
              <w:keepLines/>
              <w:widowControl w:val="false"/>
              <w:rPr>
                <w:lang w:val="ru-RU"/>
              </w:rPr>
            </w:pPr>
            <w:r>
              <w:rPr>
                <w:lang w:val="ru-RU"/>
              </w:rPr>
              <w:t>в Банк ГПБ (АО), г. Москва</w:t>
            </w:r>
          </w:p>
          <w:p>
            <w:pPr>
              <w:pStyle w:val="Normal"/>
              <w:keepNext w:val="true"/>
              <w:keepLines/>
              <w:widowControl w:val="false"/>
              <w:rPr/>
            </w:pPr>
            <w:r>
              <w:rPr/>
              <w:t>БИК 044525823</w:t>
            </w:r>
          </w:p>
          <w:p>
            <w:pPr>
              <w:pStyle w:val="Normal"/>
              <w:keepNext w:val="true"/>
              <w:keepLines/>
              <w:widowControl w:val="false"/>
              <w:rPr>
                <w:b w:val="false"/>
                <w:bCs w:val="false"/>
              </w:rPr>
            </w:pPr>
            <w:r>
              <w:rPr>
                <w:b w:val="false"/>
                <w:bCs w:val="false"/>
                <w:lang w:val="ru-RU"/>
              </w:rPr>
              <w:t>к/с 30101810200000000823</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74"/>
        <w:gridCol w:w="1762"/>
        <w:gridCol w:w="1175"/>
        <w:gridCol w:w="1173"/>
        <w:gridCol w:w="1322"/>
        <w:gridCol w:w="2205"/>
        <w:gridCol w:w="1909"/>
        <w:gridCol w:w="1322"/>
        <w:gridCol w:w="3076"/>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5</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Application>AlterOffice/3.4.0.9$Linux_X86_64 LibreOffice_project/b8daf9e823b1a5463a2f48435ddc2e8696e7d4fc</Application>
  <AppVersion>15.0000</AppVersion>
  <Pages>25</Pages>
  <Words>8285</Words>
  <Characters>58499</Characters>
  <CharactersWithSpaces>66711</CharactersWithSpaces>
  <Paragraphs>473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balanovskiivd@corp.gidroogk.com</cp:lastModifiedBy>
  <cp:lastPrinted>2016-12-15T13:00:00Z</cp:lastPrinted>
  <dcterms:modified xsi:type="dcterms:W3CDTF">2025-08-29T14:38:56Z</dcterms:modified>
  <cp:revision>11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