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i w:val="false"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КПД2 23.61.12.162 Поставка железобетонных изделий для нужд филиалов АО "ДРСК" "Амурские электрические сети", "Южно-Якутские электрические сети" в рамках инвестиционной и ремонтной программ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7"/>
          <w:i w:val="false"/>
          <w:i w:val="false"/>
          <w:sz w:val="22"/>
          <w:szCs w:val="22"/>
          <w:highlight w:val="white"/>
        </w:rPr>
      </w:pPr>
      <w:r>
        <w:rPr>
          <w:i w:val="false"/>
          <w:sz w:val="22"/>
          <w:szCs w:val="22"/>
          <w:highlight w:val="whit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2" w:name="_Toc51339692"/>
      <w:bookmarkStart w:id="3" w:name="_Toc75446566"/>
      <w:bookmarkEnd w:id="2"/>
      <w:bookmarkEnd w:id="3"/>
      <w:r>
        <w:rPr>
          <w:sz w:val="22"/>
          <w:szCs w:val="22"/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Обозначения и сокращения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85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СВ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Стойка вибрированная;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4" w:name="_Toc75446568"/>
      <w:bookmarkStart w:id="5" w:name="_Toc46743506"/>
      <w:bookmarkEnd w:id="4"/>
      <w:bookmarkEnd w:id="5"/>
      <w:r>
        <w:rPr>
          <w:sz w:val="22"/>
          <w:szCs w:val="22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ОКПД2 23.61.12.162 Поставка железобетонных изделий для нужд филиала АО "ДРСК" "Приморские электрические сети" в рамках инвестиционной и ремонтной программ </w:t>
      </w:r>
      <w:bookmarkStart w:id="6" w:name="_Toc46743510"/>
      <w:bookmarkStart w:id="7" w:name="_Toc50125126"/>
      <w:bookmarkStart w:id="8" w:name="_Toc75446573"/>
      <w:bookmarkStart w:id="9" w:name="_Toc51339693"/>
      <w:bookmarkEnd w:id="6"/>
      <w:bookmarkEnd w:id="7"/>
      <w:bookmarkEnd w:id="8"/>
      <w:bookmarkEnd w:id="9"/>
      <w:r>
        <w:rPr>
          <w:iCs/>
          <w:sz w:val="22"/>
          <w:szCs w:val="22"/>
        </w:rPr>
        <w:t>Требования к продукции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10" w:name="_Toc75446574"/>
      <w:r>
        <w:rPr>
          <w:sz w:val="22"/>
          <w:szCs w:val="22"/>
        </w:rPr>
        <w:t xml:space="preserve">Требования к объемам и срокам </w:t>
      </w:r>
      <w:bookmarkEnd w:id="10"/>
      <w:r>
        <w:rPr>
          <w:sz w:val="22"/>
          <w:szCs w:val="22"/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</w:rPr>
      </w:pPr>
      <w:bookmarkStart w:id="11" w:name="_Toc75446575"/>
      <w:bookmarkEnd w:id="11"/>
      <w:r>
        <w:rPr>
          <w:sz w:val="22"/>
          <w:szCs w:val="22"/>
          <w:lang w:val="ru-RU"/>
        </w:rPr>
        <w:t>Перечень и объем закупаемой продукции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12" w:name="_Toc51339695"/>
      <w:bookmarkStart w:id="13" w:name="_Toc75446576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2"/>
      <w:bookmarkEnd w:id="13"/>
      <w:r>
        <w:rPr>
          <w:sz w:val="22"/>
          <w:szCs w:val="22"/>
          <w:lang w:val="ru-RU"/>
        </w:rPr>
        <w:t>и объем закупаемой продукции</w:t>
      </w:r>
    </w:p>
    <w:tbl>
      <w:tblPr>
        <w:tblW w:w="145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11739"/>
        <w:gridCol w:w="1134"/>
        <w:gridCol w:w="113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Филиал АО «ДРСК» «Амурские электрические сети»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СВ-95-3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3 600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1 218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СВ-110-5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СВ-164-12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Филиал АО «ДРСК» «Южно – Якутские электрические сети»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Приставка железобетонная, ПТ-43-2, </w:t>
            </w:r>
            <w:r>
              <w:rPr>
                <w:b/>
                <w:i/>
                <w:sz w:val="22"/>
                <w:szCs w:val="22"/>
              </w:rPr>
              <w:t>согласно приложению 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Приставка железобетонная, ПТ-45, </w:t>
            </w:r>
            <w:r>
              <w:rPr>
                <w:b/>
                <w:i/>
                <w:sz w:val="22"/>
                <w:szCs w:val="22"/>
              </w:rPr>
              <w:t>согласно приложению 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290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СВ-110-5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СНВ-7-13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</w:tbl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  <w:lang w:val="ru-RU"/>
        </w:rPr>
      </w:pPr>
      <w:bookmarkStart w:id="14" w:name="_Toc75446578"/>
      <w:bookmarkStart w:id="15" w:name="_Toc51339696"/>
      <w:r>
        <w:rPr>
          <w:sz w:val="22"/>
          <w:szCs w:val="22"/>
          <w:lang w:val="ru-RU"/>
        </w:rPr>
        <w:t xml:space="preserve">Требования </w:t>
      </w:r>
      <w:bookmarkEnd w:id="14"/>
      <w:bookmarkEnd w:id="15"/>
      <w:r>
        <w:rPr>
          <w:sz w:val="22"/>
          <w:szCs w:val="22"/>
          <w:lang w:val="ru-RU"/>
        </w:rPr>
        <w:t xml:space="preserve">к срокам поставки продукции 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16" w:name="_Toc75446579"/>
      <w:bookmarkStart w:id="17" w:name="_Toc51339697"/>
      <w:bookmarkStart w:id="18" w:name="_Toc50125127"/>
      <w:bookmarkStart w:id="19" w:name="_Toc50125126_Копия_1"/>
      <w:bookmarkEnd w:id="19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Start w:id="20" w:name="_Hlk50465284"/>
      <w:r>
        <w:rPr>
          <w:sz w:val="22"/>
          <w:szCs w:val="22"/>
        </w:rPr>
        <w:t xml:space="preserve">Требования по срокам </w:t>
      </w:r>
      <w:bookmarkEnd w:id="17"/>
      <w:bookmarkEnd w:id="18"/>
      <w:bookmarkEnd w:id="20"/>
      <w:r>
        <w:rPr>
          <w:sz w:val="22"/>
          <w:szCs w:val="22"/>
          <w:lang w:val="ru-RU"/>
        </w:rPr>
        <w:t>поставки продукции</w:t>
      </w:r>
      <w:bookmarkEnd w:id="16"/>
      <w:r>
        <w:rPr>
          <w:sz w:val="22"/>
          <w:szCs w:val="22"/>
          <w:lang w:val="ru-RU"/>
        </w:rPr>
        <w:t xml:space="preserve"> </w:t>
      </w:r>
    </w:p>
    <w:tbl>
      <w:tblPr>
        <w:tblW w:w="14738" w:type="dxa"/>
        <w:jc w:val="left"/>
        <w:tblInd w:w="2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2694"/>
        <w:gridCol w:w="3839"/>
        <w:gridCol w:w="7473"/>
      </w:tblGrid>
      <w:tr>
        <w:trPr>
          <w:trHeight w:val="495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продукции/ (партии продукции)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Позиции 1-9 Таблицы 1.1 настоящих Технических требований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партиями в течение 260 календарных дней с момента  подписания договора поставки в соответствии с Календарным графиком поставки (Приложение № 1 к Техническим требованиям)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№1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110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140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01.03.2027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170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01.04.2027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200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5</w:t>
            </w:r>
          </w:p>
        </w:tc>
        <w:tc>
          <w:tcPr>
            <w:tcW w:w="3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01.05.2027 г.</w:t>
            </w:r>
          </w:p>
        </w:tc>
        <w:tc>
          <w:tcPr>
            <w:tcW w:w="74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260 календарных дней с момента  подписания договора поставки</w:t>
            </w:r>
          </w:p>
        </w:tc>
      </w:tr>
    </w:tbl>
    <w:p>
      <w:pPr>
        <w:pStyle w:val="Heading4"/>
        <w:spacing w:before="120" w:after="0"/>
        <w:ind w:left="432" w:hanging="0"/>
        <w:rPr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Участник должен представить в составе заявки «Календарный график» по форме Приложения № 1 к  настоящим Техническим требованиям.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качеству продукции</w:t>
      </w:r>
    </w:p>
    <w:p>
      <w:pPr>
        <w:pStyle w:val="Heading1"/>
        <w:keepLines/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1" w:name="_Toc75446582"/>
      <w:r>
        <w:rPr>
          <w:sz w:val="22"/>
          <w:szCs w:val="22"/>
        </w:rPr>
        <w:t>Таблица 1.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1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rStyle w:val="Style7"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железобетонные</w:t>
      </w:r>
      <w:r>
        <w:rPr>
          <w:rFonts w:eastAsia="Calibri"/>
          <w:i/>
          <w:sz w:val="22"/>
          <w:szCs w:val="22"/>
          <w:lang w:eastAsia="x-none"/>
        </w:rPr>
        <w:t>»</w:t>
      </w:r>
      <w:r>
        <w:rPr>
          <w:rStyle w:val="Style7"/>
          <w:iCs/>
          <w:sz w:val="22"/>
          <w:szCs w:val="22"/>
        </w:rPr>
        <w:t xml:space="preserve"> </w:t>
      </w:r>
      <w:r>
        <w:br w:type="page"/>
      </w:r>
    </w:p>
    <w:tbl>
      <w:tblPr>
        <w:tblStyle w:val="affff7"/>
        <w:tblW w:w="14666" w:type="dxa"/>
        <w:jc w:val="left"/>
        <w:tblInd w:w="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2"/>
        <w:gridCol w:w="3536"/>
        <w:gridCol w:w="3973"/>
        <w:gridCol w:w="2266"/>
        <w:gridCol w:w="2587"/>
        <w:gridCol w:w="1651"/>
      </w:tblGrid>
      <w:tr>
        <w:trPr/>
        <w:tc>
          <w:tcPr>
            <w:tcW w:w="65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customMarkFollows="1" w:id="2"/>
              <w:t>*</w:t>
            </w:r>
          </w:p>
        </w:tc>
        <w:tc>
          <w:tcPr>
            <w:tcW w:w="39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85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изготовлению железобетонных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Изготовление продукции должно производиться в соответствии требованиями ГОСТ 13015-2012 «Изделия железобетонные и бетонные для строительства. Общие технические требования. Правила приёмки, маркировки, транспортирования и хранения»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Продукцию следует изготавливать из тяжелого бетона (средней плотности 2200…2500 кг/м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), удовлетворяющего требованиям ГОСТ 26633-2015 «Бетоны тяжелые и мелкозернистые»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заполнителям в соответствии с разделом 4.7 ГОСТа 26633 – 2015, максимальная крупность заполнителя – фракция не более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мм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trike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Класс бетона по прочности на сжатие для опор железобетонных СВ-95-3, СВ-164-12, СВ-105-5, СВ-110-5, СНВ-7-13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(Таблица 4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Приложения № 2 Технических требований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приставок железобетонных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ПТ43-2, ПТ-45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(Таблица 1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Приложения № 3 Технических требований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Независимо от расчетной температуры наружного воздуха бетон изделий должен иметь марку по морозостойкости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200, марку по водонепроницаемости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W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6 и изготавливаться из сульфатостойкого цемента или в отдельных случаях, когда содержание в грунтах сульфатов в пересчете на ионы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-2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до 3000 мг/л, допускается использовать портландцемент по ГОСТ 31108-2020 с содержанием в клинкере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65%,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7%,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22%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рабочей арматуре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качестве рабочей арматуры следует применять стержневую периодического профиля по ГОСТ 34028-2016 с учетом требований ГОСТ 5781-82 по классам арматуры: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А400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класс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А1000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о защите комлевой части железобетонных стоек</w:t>
            </w:r>
          </w:p>
        </w:tc>
        <w:tc>
          <w:tcPr>
            <w:tcW w:w="39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Защита комлевой части железобетонных стоек типа СВ на длину 3 м лакокрасочным толстослойным (мастичным) покрытием в соответствии с СП 28.1330 (в соответствии с п. 2.17 технических условий «Стойки железобетонные вибрированные для опор ВЛ напряжением 0,4-10 кВ» ТУ 5863-007-96502166-2016)</w:t>
            </w:r>
          </w:p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Нанесение на поверхности железобетонных стоек типа СВ на расстоянии 3 м от нижнего торца контрольной метки в виде вдавленного на 6 мм треугольника со сторонами 50 мм (в соответствии с п. 3.1 технических условий «Стойки железобетонные вибрированные для опор ВЛ напряжением 0,4-10 кВ» ТУ 5863-007-96502166-2016).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маркировке</w:t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Маркировка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иметь маркировку в соответствии с ГОСТ 13015-2012.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продукцию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не менее 3-х лет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 начинает истекать с даты подписания сторонами  накладной ТОРГ-12 или УПД.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Место поставки и количество продукции в адрес филиалов АО «ДРСК» «Амурские электрические сети» и «Южно-Якутские электрические сети» определены в календарном графике поставки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Приложение № 1 к техническим требованиям).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0" w:right="-109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изготовлена в 2026-2027 гг.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о подтверждении соответствия техническим условиям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Опоры железобетонные СВ-95-3, СВ-105-5, СВ-110-5, СВ-164-12, СНВ-7-13 соответствуют техническим условиям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ТУ 5863-007-96502166-2016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Приложение № 2 к Техническим требованиям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58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808080" w:themeColor="background1" w:themeShade="80"/>
                <w:kern w:val="0"/>
                <w:sz w:val="22"/>
                <w:szCs w:val="22"/>
                <w:lang w:val="ru-RU" w:eastAsia="ru-RU" w:bidi="ar-SA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с указанием на соответствие ТУ письмо производителя о соответствии выпускаемой продукции ТУ или др. юридически значимый документ)  подтверждающий соответствие закупаемой продукции ТУ </w:t>
            </w: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22"/>
                <w:szCs w:val="22"/>
                <w:lang w:val="ru-RU" w:eastAsia="ru-RU" w:bidi="ar-SA"/>
              </w:rPr>
              <w:t xml:space="preserve">5863-007-96502166-2016, </w:t>
            </w:r>
            <w:r>
              <w:rPr>
                <w:rFonts w:eastAsia="Calibri" w:cs="Times New Roman"/>
                <w:b/>
                <w:i/>
                <w:color w:val="A6A6A6" w:themeColor="background1" w:themeShade="a6"/>
                <w:kern w:val="0"/>
                <w:sz w:val="22"/>
                <w:szCs w:val="22"/>
                <w:lang w:val="ru-RU" w:eastAsia="en-US" w:bidi="ar-SA"/>
              </w:rPr>
              <w:t>ТУ 5863-006-00113557-94</w:t>
            </w:r>
          </w:p>
        </w:tc>
        <w:tc>
          <w:tcPr>
            <w:tcW w:w="16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5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Приставки железобетонные ПТ43-2, ПТ-45 соответствуют техническим условиям</w:t>
            </w:r>
          </w:p>
        </w:tc>
        <w:tc>
          <w:tcPr>
            <w:tcW w:w="39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ТУ 5863-006-00113557-94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bidi="ar-SA"/>
              </w:rPr>
              <w:t>Приложение № 3 к Техническим требованиям и согласно чертежам Приложение № 4 к Техническим требованиям)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51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10"/>
        <w:jc w:val="both"/>
        <w:rPr/>
      </w:pPr>
      <w:r>
        <w:rPr>
          <w:sz w:val="22"/>
          <w:szCs w:val="22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1.3 настоящих Технических требований, без корректировки уже имеющейся в таблице информации и требований.</w:t>
      </w:r>
    </w:p>
    <w:p>
      <w:pPr>
        <w:pStyle w:val="Normal"/>
        <w:tabs>
          <w:tab w:val="clear" w:pos="708"/>
          <w:tab w:val="left" w:pos="2475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headerReference w:type="default" r:id="rId2"/>
          <w:headerReference w:type="first" r:id="rId3"/>
          <w:footnotePr>
            <w:numFmt w:val="decimal"/>
          </w:footnotePr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74" w:leader="none"/>
        </w:tabs>
        <w:rPr/>
      </w:pPr>
      <w:r>
        <w:rPr/>
        <w:tab/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22" w:name="_Toc53393312"/>
      <w:bookmarkStart w:id="23" w:name="_Toc75446583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22"/>
      <w:bookmarkEnd w:id="23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tabs>
          <w:tab w:val="clear" w:pos="708"/>
          <w:tab w:val="left" w:pos="1134" w:leader="none"/>
        </w:tabs>
        <w:ind w:right="593" w:firstLine="567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2.1.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  <w:lang w:eastAsia="x-none"/>
        </w:rPr>
        <w:t>2</w:t>
      </w:r>
      <w:bookmarkStart w:id="24" w:name="_Toc51339699"/>
      <w:bookmarkStart w:id="25" w:name="_Toc46743519"/>
      <w:r>
        <w:rPr>
          <w:bCs/>
          <w:iCs/>
          <w:sz w:val="22"/>
          <w:szCs w:val="22"/>
          <w:lang w:eastAsia="x-none"/>
        </w:rPr>
        <w:t>.2.</w:t>
      </w:r>
      <w:bookmarkEnd w:id="24"/>
      <w:bookmarkEnd w:id="25"/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1 – </w:t>
      </w:r>
      <w:r>
        <w:rPr>
          <w:b/>
          <w:bCs/>
          <w:i/>
          <w:iCs/>
          <w:sz w:val="22"/>
          <w:szCs w:val="22"/>
        </w:rPr>
        <w:t>Календарный график поставки</w:t>
      </w:r>
    </w:p>
    <w:p>
      <w:pPr>
        <w:pStyle w:val="Normal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2 – </w:t>
      </w:r>
      <w:r>
        <w:rPr>
          <w:b/>
          <w:bCs/>
          <w:i/>
          <w:iCs/>
          <w:sz w:val="22"/>
          <w:szCs w:val="22"/>
        </w:rPr>
        <w:t>Технические условия ТУ 5863-007-96502166-2016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3 – </w:t>
      </w:r>
      <w:r>
        <w:rPr>
          <w:b/>
          <w:bCs/>
          <w:i/>
          <w:iCs/>
          <w:sz w:val="22"/>
          <w:szCs w:val="22"/>
        </w:rPr>
        <w:t>Технические условия ТУ 5863-006-00113557-94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rStyle w:val="Style7"/>
          <w:b/>
          <w:bCs/>
          <w:i/>
          <w:iCs/>
          <w:sz w:val="22"/>
          <w:szCs w:val="22"/>
          <w:shd w:fill="auto" w:val="clear"/>
        </w:rPr>
        <w:t>Приложение № 4 – Чертёж на приставки железобетонные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7"/>
          <w:bCs/>
          <w:i w:val="false"/>
          <w:i w:val="false"/>
          <w:iCs/>
          <w:sz w:val="22"/>
          <w:szCs w:val="22"/>
        </w:rPr>
      </w:pPr>
      <w:r>
        <w:rPr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/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iCs/>
          <w:color w:val="auto"/>
        </w:rPr>
      </w:pPr>
      <w:r>
        <w:rPr>
          <w:rStyle w:val="Style"/>
        </w:rPr>
        <w:t>*</w:t>
      </w:r>
      <w:r>
        <w:rPr>
          <w:rStyle w:val="Style"/>
        </w:rPr>
        <w:t>**********</w:t>
      </w:r>
      <w:bookmarkStart w:id="26" w:name="_Hlk68806928"/>
      <w:r>
        <w:rPr>
          <w:iCs/>
          <w:color w:val="auto"/>
        </w:rPr>
        <w:t xml:space="preserve">Указанные в настоящем техническом требовании ссылки на марку (тип) продукции носят описательный, а не обязательный характер. </w:t>
      </w:r>
      <w:bookmarkEnd w:id="26"/>
      <w:r>
        <w:rPr>
          <w:iCs/>
          <w:color w:val="auto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bCs/>
          <w:iCs/>
          <w:color w:val="auto"/>
        </w:rPr>
        <w:t>Параметрами эквивалентности являются технические характеристики продукции, указанные в Таблице № 3 настоящих технических требований.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iCs/>
          <w:color w:val="auto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FootnoteText"/>
        <w:widowControl w:val="false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Текст сноски Знак1"/>
    <w:qFormat/>
    <w:rsid w:val="00d561d9"/>
    <w:rPr>
      <w:vertAlign w:val="superscript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Style2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link w:val="36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link w:val="Style29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ndnoteSymbol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11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13" w:customStyle="1">
    <w:name w:val="Основной текст с отступом Знак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i/>
      <w:shd w:fill="FFFF99" w:val="clear"/>
    </w:rPr>
  </w:style>
  <w:style w:type="character" w:styleId="Style8" w:customStyle="1">
    <w:name w:val="Указатель Знак"/>
    <w:link w:val="Indexheading11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4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Style12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3"/>
    <w:qFormat/>
    <w:rsid w:val="00de52bc"/>
    <w:rPr>
      <w:b/>
      <w:sz w:val="28"/>
    </w:rPr>
  </w:style>
  <w:style w:type="character" w:styleId="14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5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3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Style14" w:customStyle="1">
    <w:name w:val="Символы концевой сноски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link w:val="Style8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1"/>
    <w:rsid w:val="00d561d9"/>
    <w:pPr/>
    <w:rPr>
      <w:sz w:val="20"/>
      <w:szCs w:val="20"/>
    </w:rPr>
  </w:style>
  <w:style w:type="paragraph" w:styleId="16" w:customStyle="1">
    <w:name w:val="Шапка 1"/>
    <w:basedOn w:val="Normal"/>
    <w:link w:val="Style1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link w:val="22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13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link w:val="31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link w:val="14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 w:customStyle="1">
    <w:name w:val="Endnote Symbol"/>
    <w:basedOn w:val="Normal"/>
    <w:link w:val="Style4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24A2-A923-473F-903F-5FE19D5F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AlterOffice/3.3.0.4$Linux_X86_64 LibreOffice_project/fa736b558560ebea8f92088bfd7720f4b3918f3f</Application>
  <AppVersion>15.0000</AppVersion>
  <Pages>8</Pages>
  <Words>1233</Words>
  <Characters>8014</Characters>
  <CharactersWithSpaces>9055</CharactersWithSpaces>
  <Paragraphs>209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2025-08-20T05:09:00Z</dcterms:created>
  <dc:creator>Быстров Олег Геннадьевич</dc:creator>
  <dc:description/>
  <dc:language>ru-RU</dc:language>
  <cp:lastModifiedBy>veryutin_va</cp:lastModifiedBy>
  <cp:lastPrinted>2006-07-26T14:04:00Z</cp:lastPrinted>
  <dcterms:modified xsi:type="dcterms:W3CDTF">2026-07-08T14:32:47Z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