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media/image9.wmf" ContentType="image/x-wmf"/>
  <Override PartName="/word/media/image10.wmf" ContentType="image/x-wmf"/>
  <Override PartName="/word/media/image13.wmf" ContentType="image/x-wmf"/>
  <Override PartName="/word/media/image21.wmf" ContentType="image/x-wmf"/>
  <Override PartName="/word/media/image8.wmf" ContentType="image/x-wmf"/>
  <Override PartName="/word/media/image12.wmf" ContentType="image/x-wmf"/>
  <Override PartName="/word/media/image20.wmf" ContentType="image/x-wmf"/>
  <Override PartName="/word/media/image7.wmf" ContentType="image/x-wmf"/>
  <Override PartName="/word/media/image11.wmf" ContentType="image/x-wmf"/>
  <Override PartName="/word/media/image19.wmf" ContentType="image/x-wmf"/>
  <Override PartName="/word/media/image1.png" ContentType="image/png"/>
  <Override PartName="/word/media/image18.wmf" ContentType="image/x-wmf"/>
  <Override PartName="/word/media/image17.wmf" ContentType="image/x-wmf"/>
  <Override PartName="/word/media/image16.wmf" ContentType="image/x-wmf"/>
  <Override PartName="/word/media/image15.wmf" ContentType="image/x-wmf"/>
  <Override PartName="/word/media/image22.wmf" ContentType="image/x-wmf"/>
  <Override PartName="/word/media/image14.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footer5.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rFonts w:eastAsia="Times New Roman" w:cs="Times New Roman"/>
          <w:b/>
          <w:color w:val="auto"/>
          <w:kern w:val="0"/>
          <w:sz w:val="24"/>
          <w:szCs w:val="24"/>
          <w:lang w:val="ru-RU" w:eastAsia="en-US" w:bidi="ar-SA"/>
        </w:rPr>
        <w:t>«</w:t>
      </w:r>
      <w:r>
        <w:rPr>
          <w:b/>
          <w:lang w:eastAsia="en-US"/>
        </w:rPr>
        <w:t>Национальный режим</w:t>
      </w:r>
      <w:r>
        <w:rPr>
          <w:rFonts w:eastAsia="Times New Roman" w:cs="Times New Roman"/>
          <w:b/>
          <w:color w:val="auto"/>
          <w:kern w:val="0"/>
          <w:sz w:val="24"/>
          <w:szCs w:val="24"/>
          <w:lang w:val="ru-RU" w:eastAsia="en-US" w:bidi="ar-SA"/>
        </w:rPr>
        <w:t xml:space="preserve">» – </w:t>
      </w:r>
      <w:r>
        <w:rPr>
          <w:rFonts w:eastAsia="Times New Roman" w:cs="Times New Roman"/>
          <w:b w:val="false"/>
          <w:bCs w:val="false"/>
          <w:color w:val="auto"/>
          <w:kern w:val="0"/>
          <w:sz w:val="24"/>
          <w:szCs w:val="24"/>
          <w:lang w:val="ru-RU" w:eastAsia="en-US" w:bidi="ar-SA"/>
        </w:rPr>
        <w:t>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rFonts w:eastAsia="Times New Roman" w:cs="Times New Roman"/>
          <w:b/>
          <w:bCs/>
          <w:color w:val="000000"/>
          <w:kern w:val="0"/>
          <w:sz w:val="24"/>
          <w:szCs w:val="24"/>
          <w:shd w:fill="C0C0C0" w:val="clear"/>
          <w:lang w:val="ru-RU" w:eastAsia="ru-RU" w:bidi="ar-SA"/>
        </w:rPr>
        <w:t>«Отходы»</w:t>
      </w:r>
      <w:r>
        <w:rPr>
          <w:rFonts w:eastAsia="Times New Roman" w:cs="Times New Roman"/>
          <w:color w:val="000000"/>
          <w:kern w:val="0"/>
          <w:sz w:val="24"/>
          <w:szCs w:val="24"/>
          <w:shd w:fill="C0C0C0" w:val="clear"/>
          <w:lang w:val="ru-RU" w:eastAsia="ru-RU" w:bidi="ar-SA"/>
        </w:rPr>
        <w:t xml:space="preserve"> </w:t>
      </w:r>
      <w:r>
        <w:rPr>
          <w:rFonts w:eastAsia="Times New Roman" w:cs="Times New Roman"/>
          <w:color w:val="000000"/>
          <w:kern w:val="0"/>
          <w:sz w:val="24"/>
          <w:szCs w:val="24"/>
          <w:shd w:fill="C0C0C0" w:val="clear"/>
          <w:lang w:val="ru-RU" w:eastAsia="en-US" w:bidi="ar-SA"/>
        </w:rPr>
        <w:t>–</w:t>
      </w:r>
      <w:r>
        <w:rPr>
          <w:rFonts w:eastAsia="Times New Roman" w:cs="Times New Roman"/>
          <w:color w:val="000000"/>
          <w:kern w:val="0"/>
          <w:sz w:val="24"/>
          <w:szCs w:val="24"/>
          <w:shd w:fill="C0C0C0" w:val="clear"/>
          <w:lang w:val="ru-RU" w:eastAsia="ru-RU" w:bidi="ar-SA"/>
        </w:rPr>
        <w:t xml:space="preserve"> отходы, извлечённые из водных объектов (древесина, полиэтиленовая тара и другой мусор), отходы от очистки, технического обслуживания, обследования, ремонта, технического перевооружения и реконструкции сороудерживающих решеток / сооружений (древесина, песок от пескоструек, речная дрейссена, тара от лакокрасочных материалов, ветоши, твердые коммунальные отходы и т.д.), образующиеся при оказании Услуг по Договору</w:t>
      </w:r>
      <w:r>
        <w:rPr>
          <w:rStyle w:val="FootnoteReference"/>
          <w:rFonts w:eastAsia="Times New Roman" w:cs="Times New Roman"/>
          <w:color w:val="000000"/>
          <w:kern w:val="0"/>
          <w:sz w:val="24"/>
          <w:szCs w:val="24"/>
          <w:shd w:fill="C0C0C0" w:val="clear"/>
          <w:lang w:val="ru-RU" w:eastAsia="ru-RU" w:bidi="ar-SA"/>
        </w:rPr>
        <w:footnoteReference w:id="2"/>
      </w:r>
      <w:r>
        <w:rPr>
          <w:rFonts w:eastAsia="Times New Roman" w:cs="Times New Roman"/>
          <w:color w:val="000000"/>
          <w:kern w:val="0"/>
          <w:sz w:val="24"/>
          <w:szCs w:val="24"/>
          <w:shd w:fill="C0C0C0" w:val="clear"/>
          <w:lang w:val="ru-RU" w:eastAsia="ru-RU" w:bidi="ar-SA"/>
        </w:rPr>
        <w:t>, ответственность за обращение с которыми несет Исполнитель.</w:t>
      </w:r>
      <w:r>
        <w:rPr>
          <w:rStyle w:val="FootnoteReference"/>
          <w:rFonts w:eastAsia="Times New Roman" w:cs="Times New Roman"/>
          <w:color w:val="000000"/>
          <w:kern w:val="0"/>
          <w:sz w:val="24"/>
          <w:szCs w:val="24"/>
          <w:shd w:fill="C0C0C0" w:val="clear"/>
          <w:lang w:val="ru-RU" w:eastAsia="ru-RU" w:bidi="ar-SA"/>
        </w:rPr>
        <w:footnoteReference w:id="3"/>
      </w:r>
      <w:r>
        <w:rPr>
          <w:lang w:eastAsia="en-US"/>
        </w:rPr>
        <w:t xml:space="preserve">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widowControl w:val="false"/>
        <w:tabs>
          <w:tab w:val="clear" w:pos="709"/>
          <w:tab w:val="left" w:pos="567" w:leader="none"/>
        </w:tabs>
        <w:overflowPunct w:val="tru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Normal"/>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 xml:space="preserve">________________________________________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highlight w:val="lightGray"/>
          <w:lang w:val="ru-RU"/>
        </w:rPr>
        <w:t>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9"/>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4"/>
        </w:numPr>
        <w:shd w:val="clear" w:color="auto" w:fill="FFFFFF"/>
        <w:tabs>
          <w:tab w:val="clear" w:pos="709"/>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4"/>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4"/>
        </w:numPr>
        <w:shd w:val="clear" w:color="auto" w:fill="FFFFFF"/>
        <w:tabs>
          <w:tab w:val="clear" w:pos="709"/>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4"/>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4"/>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4"/>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4"/>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4"/>
        </w:numPr>
        <w:shd w:val="clear" w:color="auto" w:fill="FFFFFF"/>
        <w:tabs>
          <w:tab w:val="clear" w:pos="709"/>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4"/>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4"/>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4"/>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4"/>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4"/>
        </w:numPr>
        <w:shd w:val="clear" w:color="auto" w:fill="FFFFFF"/>
        <w:tabs>
          <w:tab w:val="clear" w:pos="709"/>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4"/>
        </w:numPr>
        <w:shd w:val="clear" w:color="auto" w:fill="FFFFFF"/>
        <w:tabs>
          <w:tab w:val="clear" w:pos="709"/>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4"/>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4"/>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4"/>
        </w:numPr>
        <w:shd w:val="clear" w:color="auto" w:fill="FFFFFF"/>
        <w:tabs>
          <w:tab w:val="clear" w:pos="709"/>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4"/>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4"/>
        </w:numPr>
        <w:shd w:val="clear" w:color="auto" w:fill="FFFFFF"/>
        <w:tabs>
          <w:tab w:val="clear" w:pos="709"/>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4"/>
        </w:numPr>
        <w:shd w:val="clear" w:color="auto" w:fill="FFFFFF"/>
        <w:tabs>
          <w:tab w:val="clear" w:pos="709"/>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4"/>
        </w:numPr>
        <w:shd w:val="clear" w:color="auto" w:fill="FFFFFF"/>
        <w:tabs>
          <w:tab w:val="clear" w:pos="709"/>
          <w:tab w:val="left" w:pos="1418" w:leader="none"/>
        </w:tabs>
        <w:ind w:left="0" w:firstLine="709"/>
        <w:jc w:val="both"/>
        <w:rPr/>
      </w:pPr>
      <w:r>
        <w:rPr>
          <w:highlight w:val="lightGray"/>
        </w:rPr>
        <w:t>До даты окончания оказания Услуг обеспечить за свой счет исполнение обязанностей в области обращения с Отходами, в том числе:</w:t>
      </w:r>
    </w:p>
    <w:p>
      <w:pPr>
        <w:pStyle w:val="ListParagraph"/>
        <w:numPr>
          <w:ilvl w:val="3"/>
          <w:numId w:val="14"/>
        </w:numPr>
        <w:shd w:val="clear" w:color="auto" w:fill="FFFFFF"/>
        <w:tabs>
          <w:tab w:val="clear" w:pos="709"/>
          <w:tab w:val="left" w:pos="1418" w:leader="none"/>
        </w:tabs>
        <w:ind w:left="0" w:firstLine="709"/>
        <w:jc w:val="both"/>
        <w:rPr>
          <w:highlight w:val="none"/>
          <w:shd w:fill="C0C0C0" w:val="clear"/>
        </w:rPr>
      </w:pPr>
      <w:r>
        <w:rPr>
          <w:bCs/>
          <w:shd w:fill="C0C0C0" w:val="clear"/>
        </w:rPr>
        <w:t xml:space="preserve">Обеспечить за свой счет осуществление деятельности по сбору, накоплению, транспортированию, обработке, утилизации, обезвреживанию, </w:t>
      </w:r>
      <w:r>
        <w:rPr>
          <w:rFonts w:eastAsia="Times New Roman" w:cs="Times New Roman"/>
          <w:bCs/>
          <w:color w:val="000000"/>
          <w:kern w:val="0"/>
          <w:sz w:val="24"/>
          <w:szCs w:val="24"/>
          <w:shd w:fill="C0C0C0" w:val="clear"/>
          <w:lang w:val="ru-RU" w:eastAsia="ru-RU" w:bidi="ar-SA"/>
        </w:rPr>
        <w:t>размещению</w:t>
      </w:r>
      <w:r>
        <w:rPr>
          <w:bCs/>
          <w:shd w:fill="C0C0C0" w:val="clear"/>
        </w:rPr>
        <w:t xml:space="preserve"> Отходов, а также внесение платы за негативное воздействие на окружающую среду (далее </w:t>
      </w:r>
      <w:r>
        <w:rPr>
          <w:b w:val="false"/>
          <w:bCs/>
          <w:sz w:val="24"/>
          <w:szCs w:val="24"/>
          <w:shd w:fill="C0C0C0" w:val="clear"/>
          <w:lang w:val="ru-RU" w:eastAsia="en-US"/>
        </w:rPr>
        <w:t>–</w:t>
      </w:r>
      <w:r>
        <w:rPr>
          <w:bCs/>
          <w:shd w:fill="C0C0C0" w:val="clear"/>
        </w:rPr>
        <w:t xml:space="preserve"> НВОС) при размещении Отходов.</w:t>
      </w:r>
    </w:p>
    <w:p>
      <w:pPr>
        <w:pStyle w:val="ListParagraph"/>
        <w:numPr>
          <w:ilvl w:val="3"/>
          <w:numId w:val="14"/>
        </w:numPr>
        <w:shd w:val="clear" w:color="auto" w:fill="FFFFFF"/>
        <w:tabs>
          <w:tab w:val="clear" w:pos="709"/>
          <w:tab w:val="left" w:pos="1418" w:leader="none"/>
        </w:tabs>
        <w:ind w:left="0" w:firstLine="709"/>
        <w:jc w:val="both"/>
        <w:rPr>
          <w:highlight w:val="none"/>
          <w:shd w:fill="C0C0C0" w:val="clear"/>
        </w:rPr>
      </w:pPr>
      <w:r>
        <w:rPr>
          <w:shd w:fill="C0C0C0" w:val="clear"/>
        </w:rPr>
        <w:t xml:space="preserve">Обеспечить накопление </w:t>
      </w:r>
      <w:r>
        <w:rPr>
          <w:rFonts w:eastAsia="Times New Roman" w:cs="Times New Roman"/>
          <w:color w:val="000000"/>
          <w:kern w:val="0"/>
          <w:sz w:val="24"/>
          <w:szCs w:val="24"/>
          <w:shd w:fill="C0C0C0" w:val="clear"/>
          <w:lang w:val="ru-RU" w:eastAsia="ru-RU" w:bidi="ar-SA"/>
        </w:rPr>
        <w:t>Отходов</w:t>
      </w:r>
      <w:r>
        <w:rPr>
          <w:shd w:fill="C0C0C0" w:val="clear"/>
        </w:rPr>
        <w:t xml:space="preserve"> в </w:t>
      </w:r>
      <w:r>
        <w:rPr>
          <w:rFonts w:eastAsia="Times New Roman" w:cs="Times New Roman"/>
          <w:color w:val="000000"/>
          <w:kern w:val="0"/>
          <w:sz w:val="24"/>
          <w:szCs w:val="24"/>
          <w:shd w:fill="C0C0C0" w:val="clear"/>
          <w:lang w:val="ru-RU" w:eastAsia="ru-RU" w:bidi="ar-SA"/>
        </w:rPr>
        <w:t>местах</w:t>
      </w:r>
      <w:r>
        <w:rPr>
          <w:shd w:fill="C0C0C0" w:val="clear"/>
        </w:rPr>
        <w:t>, указанных или согласованных с Заказчиком.</w:t>
      </w:r>
    </w:p>
    <w:p>
      <w:pPr>
        <w:pStyle w:val="ListParagraph"/>
        <w:numPr>
          <w:ilvl w:val="3"/>
          <w:numId w:val="14"/>
        </w:numPr>
        <w:shd w:val="clear" w:color="auto" w:fill="FFFFFF"/>
        <w:tabs>
          <w:tab w:val="clear" w:pos="709"/>
          <w:tab w:val="left" w:pos="1418" w:leader="none"/>
        </w:tabs>
        <w:ind w:left="0" w:firstLine="709"/>
        <w:jc w:val="both"/>
        <w:rPr>
          <w:highlight w:val="none"/>
          <w:shd w:fill="C0C0C0" w:val="clear"/>
        </w:rPr>
      </w:pPr>
      <w:r>
        <w:rPr>
          <w:shd w:fill="C0C0C0" w:val="clear"/>
        </w:rPr>
        <w:t>Своевременно</w:t>
      </w:r>
      <w:r>
        <w:rPr>
          <w:rStyle w:val="FootnoteReference"/>
          <w:shd w:fill="C0C0C0" w:val="clear"/>
        </w:rPr>
        <w:footnoteReference w:id="4"/>
      </w:r>
      <w:r>
        <w:rPr>
          <w:shd w:fill="C0C0C0" w:val="clear"/>
        </w:rPr>
        <w:t xml:space="preserve"> транспортировать Отходы из мест накопления на объекты </w:t>
      </w:r>
      <w:r>
        <w:rPr>
          <w:rFonts w:eastAsia="Times New Roman" w:cs="Times New Roman"/>
          <w:color w:val="000000"/>
          <w:kern w:val="0"/>
          <w:sz w:val="24"/>
          <w:szCs w:val="24"/>
          <w:shd w:fill="C0C0C0" w:val="clear"/>
          <w:lang w:val="ru-RU" w:eastAsia="ru-RU" w:bidi="ar-SA"/>
        </w:rPr>
        <w:t>сбора</w:t>
      </w:r>
      <w:r>
        <w:rPr>
          <w:shd w:fill="C0C0C0" w:val="clear"/>
        </w:rPr>
        <w:t xml:space="preserve">, обработки, </w:t>
      </w:r>
      <w:r>
        <w:rPr>
          <w:rFonts w:eastAsia="Times New Roman" w:cs="Times New Roman"/>
          <w:color w:val="000000"/>
          <w:kern w:val="0"/>
          <w:sz w:val="24"/>
          <w:szCs w:val="24"/>
          <w:shd w:fill="C0C0C0" w:val="clear"/>
          <w:lang w:val="ru-RU" w:eastAsia="ru-RU" w:bidi="ar-SA"/>
        </w:rPr>
        <w:t>утилизации</w:t>
      </w:r>
      <w:r>
        <w:rPr>
          <w:shd w:fill="C0C0C0" w:val="clear"/>
        </w:rPr>
        <w:t>, обезвреживания, размещения Отходов в соответствии с соблюдением экологических требований, санитарно-</w:t>
      </w:r>
      <w:r>
        <w:rPr>
          <w:rFonts w:eastAsia="Times New Roman" w:cs="Times New Roman"/>
          <w:color w:val="000000"/>
          <w:kern w:val="0"/>
          <w:sz w:val="24"/>
          <w:szCs w:val="24"/>
          <w:shd w:fill="C0C0C0" w:val="clear"/>
          <w:lang w:val="ru-RU" w:eastAsia="ru-RU" w:bidi="ar-SA"/>
        </w:rPr>
        <w:t>эпидемиологических</w:t>
      </w:r>
      <w:r>
        <w:rPr>
          <w:shd w:fill="C0C0C0" w:val="clear"/>
        </w:rPr>
        <w:t xml:space="preserve"> требований и иных требований, установленных законодательством </w:t>
      </w:r>
      <w:r>
        <w:rPr>
          <w:rFonts w:eastAsia="Times New Roman" w:cs="Times New Roman"/>
          <w:color w:val="000000"/>
          <w:kern w:val="0"/>
          <w:sz w:val="24"/>
          <w:szCs w:val="24"/>
          <w:shd w:fill="C0C0C0" w:val="clear"/>
          <w:lang w:val="ru-RU" w:eastAsia="ru-RU" w:bidi="ar-SA"/>
        </w:rPr>
        <w:t>Российской</w:t>
      </w:r>
      <w:r>
        <w:rPr>
          <w:shd w:fill="C0C0C0" w:val="clear"/>
        </w:rPr>
        <w:t xml:space="preserve"> </w:t>
      </w:r>
      <w:r>
        <w:rPr>
          <w:rFonts w:eastAsia="Times New Roman" w:cs="Times New Roman"/>
          <w:color w:val="000000"/>
          <w:kern w:val="0"/>
          <w:sz w:val="24"/>
          <w:szCs w:val="24"/>
          <w:shd w:fill="C0C0C0" w:val="clear"/>
          <w:lang w:val="ru-RU" w:eastAsia="ru-RU" w:bidi="ar-SA"/>
        </w:rPr>
        <w:t>Федерации об автомобильном, железнодорожном, воздушном, внутреннем водном и морском транспорте, а также требованиями, установленными локальными нормативными документами (актами) Заказчика в области обращения с Отходами на территории Заказчика.</w:t>
      </w:r>
    </w:p>
    <w:p>
      <w:pPr>
        <w:pStyle w:val="ListParagraph"/>
        <w:numPr>
          <w:ilvl w:val="3"/>
          <w:numId w:val="14"/>
        </w:numPr>
        <w:shd w:val="clear" w:color="auto" w:fill="FFFFFF"/>
        <w:tabs>
          <w:tab w:val="clear" w:pos="709"/>
          <w:tab w:val="left" w:pos="1418" w:leader="none"/>
        </w:tabs>
        <w:ind w:left="0" w:firstLine="709"/>
        <w:jc w:val="both"/>
        <w:rPr>
          <w:highlight w:val="none"/>
          <w:shd w:fill="C0C0C0" w:val="clear"/>
        </w:rPr>
      </w:pPr>
      <w:r>
        <w:rPr>
          <w:rFonts w:eastAsia="Times New Roman" w:cs="Times New Roman"/>
          <w:color w:val="000000"/>
          <w:kern w:val="0"/>
          <w:sz w:val="24"/>
          <w:szCs w:val="24"/>
          <w:shd w:fill="C0C0C0" w:val="clear"/>
          <w:lang w:val="ru-RU" w:eastAsia="ru-RU" w:bidi="ar-SA"/>
        </w:rPr>
        <w:t>Предоставить Заказчику копию распорядительного документа о назначении лица, допущенного к сбору, транспортированию, обработке, утилизации, обезвреживанию, размещению Отходов и несущего ответственность за деятельность в области обращения с Отходами.</w:t>
      </w:r>
    </w:p>
    <w:p>
      <w:pPr>
        <w:pStyle w:val="ListParagraph"/>
        <w:numPr>
          <w:ilvl w:val="3"/>
          <w:numId w:val="14"/>
        </w:numPr>
        <w:shd w:val="clear" w:color="auto" w:fill="FFFFFF"/>
        <w:tabs>
          <w:tab w:val="clear" w:pos="709"/>
          <w:tab w:val="left" w:pos="1418" w:leader="none"/>
        </w:tabs>
        <w:ind w:left="0" w:firstLine="709"/>
        <w:jc w:val="both"/>
        <w:rPr>
          <w:highlight w:val="none"/>
          <w:shd w:fill="C0C0C0" w:val="clear"/>
        </w:rPr>
      </w:pPr>
      <w:r>
        <w:rPr>
          <w:rFonts w:eastAsia="Times New Roman" w:cs="Times New Roman"/>
          <w:color w:val="000000"/>
          <w:kern w:val="0"/>
          <w:sz w:val="24"/>
          <w:szCs w:val="24"/>
          <w:shd w:fill="C0C0C0" w:val="clear"/>
          <w:lang w:val="ru-RU" w:eastAsia="ru-RU" w:bidi="ar-SA"/>
        </w:rPr>
        <w:t>В случае необходимости осуществления деятельности в области обращения с Отходами I-IV классов опасности иметь соответствующие допуски, разрешения и / или лицензии или привлечь третьих лиц, имеющих право выполнения работ / оказания услуг по обращению с Отходами I-IV классов опасности с включением расходов по договору выполнения работ / оказания услуг по обращению с Отходами I-IV классов опасности в Расчет стоимости Услуг, в том числе допускать к обращению с Отходами I-IV классов опасности только лиц, имеющих профессиональную подготовку, подтвержденную свидетельствами (сертификатами) на право работ с Отходами I-IV классов опасности. Исполнитель обязан предоставить Заказчику копию соответствующих допусков, разрешений, лицензии и / или свидетельств (сертификатов).</w:t>
      </w:r>
      <w:r>
        <w:rPr>
          <w:rStyle w:val="FootnoteReference"/>
          <w:rFonts w:eastAsia="Times New Roman" w:cs="Times New Roman"/>
          <w:color w:val="000000"/>
          <w:kern w:val="0"/>
          <w:sz w:val="24"/>
          <w:szCs w:val="24"/>
          <w:shd w:fill="C0C0C0" w:val="clear"/>
          <w:lang w:val="ru-RU" w:eastAsia="ru-RU" w:bidi="ar-SA"/>
        </w:rPr>
        <w:footnoteReference w:id="5"/>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r>
    </w:p>
    <w:p>
      <w:pPr>
        <w:pStyle w:val="ListParagraph"/>
        <w:numPr>
          <w:ilvl w:val="2"/>
          <w:numId w:val="20"/>
        </w:numPr>
        <w:shd w:val="clear" w:color="auto" w:fill="FFFFFF"/>
        <w:tabs>
          <w:tab w:val="clear" w:pos="709"/>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0"/>
        </w:numPr>
        <w:shd w:val="clear" w:color="auto" w:fill="FFFFFF"/>
        <w:tabs>
          <w:tab w:val="clear" w:pos="709"/>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6"/>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0"/>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0"/>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8" w:name="_GoBack"/>
      <w:bookmarkEnd w:id="8"/>
    </w:p>
    <w:p>
      <w:pPr>
        <w:pStyle w:val="ListParagraph"/>
        <w:numPr>
          <w:ilvl w:val="2"/>
          <w:numId w:val="20"/>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9"/>
          <w:tab w:val="left" w:pos="1418" w:leader="none"/>
        </w:tabs>
        <w:ind w:left="709" w:hanging="0"/>
        <w:jc w:val="both"/>
        <w:rPr/>
      </w:pPr>
      <w:r>
        <w:rPr/>
      </w:r>
    </w:p>
    <w:p>
      <w:pPr>
        <w:pStyle w:val="ListParagraph"/>
        <w:numPr>
          <w:ilvl w:val="1"/>
          <w:numId w:val="20"/>
        </w:numPr>
        <w:shd w:val="clear" w:color="auto" w:fill="FFFFFF"/>
        <w:tabs>
          <w:tab w:val="clear" w:pos="709"/>
          <w:tab w:val="left" w:pos="1134" w:leader="none"/>
        </w:tabs>
        <w:ind w:left="0" w:firstLine="709"/>
        <w:jc w:val="both"/>
        <w:rPr/>
      </w:pPr>
      <w:r>
        <w:rPr>
          <w:u w:val="single"/>
        </w:rPr>
        <w:t>Исполнитель имеет право</w:t>
      </w:r>
      <w:r>
        <w:rPr/>
        <w:t>:</w:t>
      </w:r>
    </w:p>
    <w:p>
      <w:pPr>
        <w:pStyle w:val="ListParagraph"/>
        <w:numPr>
          <w:ilvl w:val="2"/>
          <w:numId w:val="21"/>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21"/>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1"/>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1"/>
        </w:numPr>
        <w:shd w:val="clear" w:color="auto" w:fill="FFFFFF"/>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6"/>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Субисполнителей Исполнитель представляет Заказчику: </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30"/>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9"/>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3"/>
          <w:numId w:val="21"/>
        </w:numPr>
        <w:ind w:left="0" w:firstLine="709"/>
        <w:jc w:val="both"/>
        <w:rPr/>
      </w:pPr>
      <w:r>
        <w:rPr>
          <w:bCs/>
          <w:highlight w:val="lightGray"/>
        </w:rPr>
        <w:t xml:space="preserve">Исполнитель вправе заключить договор на оказание услуг по обращению с Отходами с третьими лицами с учетом ограничения и на условиях, предусмотренного пунктом 2.4.4. Договора. </w:t>
      </w:r>
    </w:p>
    <w:p>
      <w:pPr>
        <w:pStyle w:val="ListParagraph"/>
        <w:ind w:left="0" w:firstLine="709"/>
        <w:jc w:val="both"/>
        <w:rPr/>
      </w:pPr>
      <w:r>
        <w:rPr>
          <w:bCs/>
          <w:highlight w:val="lightGray"/>
        </w:rPr>
        <w:t xml:space="preserve">При этом оплата по договору, указанному в настоящем пункте Договора, осуществляется Исполнителем с включением </w:t>
      </w:r>
      <w:r>
        <w:rPr>
          <w:rFonts w:eastAsia="Times New Roman" w:cs="Times New Roman"/>
          <w:bCs/>
          <w:color w:val="auto"/>
          <w:kern w:val="0"/>
          <w:sz w:val="24"/>
          <w:szCs w:val="24"/>
          <w:highlight w:val="lightGray"/>
          <w:lang w:val="ru-RU" w:eastAsia="ru-RU" w:bidi="ar-SA"/>
        </w:rPr>
        <w:t>расходов</w:t>
      </w:r>
      <w:r>
        <w:rPr>
          <w:bCs/>
          <w:highlight w:val="lightGray"/>
        </w:rPr>
        <w:t xml:space="preserve"> по соответствующему договору и расходов по внесению платы за НВОС при размещении Отходов в Сводный сметный расчет / Объектный сметный расчет с приложениями.</w:t>
      </w:r>
      <w:r>
        <w:rPr>
          <w:rStyle w:val="FootnoteReference"/>
          <w:bCs/>
          <w:highlight w:val="lightGray"/>
        </w:rPr>
        <w:footnoteReference w:id="7"/>
      </w:r>
    </w:p>
    <w:p>
      <w:pPr>
        <w:pStyle w:val="ListParagraph"/>
        <w:numPr>
          <w:ilvl w:val="2"/>
          <w:numId w:val="21"/>
        </w:numPr>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7 к Договору</w:t>
      </w:r>
      <w:r>
        <w:rPr>
          <w:rStyle w:val="FootnoteReference"/>
          <w:bCs/>
          <w:highlight w:val="lightGray"/>
        </w:rPr>
        <w:footnoteReference w:id="8"/>
      </w:r>
      <w:r>
        <w:rPr>
          <w:bCs/>
        </w:rPr>
        <w:t>.</w:t>
      </w:r>
    </w:p>
    <w:p>
      <w:pPr>
        <w:pStyle w:val="ListParagraph"/>
        <w:numPr>
          <w:ilvl w:val="1"/>
          <w:numId w:val="21"/>
        </w:numPr>
        <w:shd w:val="clear" w:color="auto" w:fill="FFFFFF"/>
        <w:tabs>
          <w:tab w:val="clear" w:pos="709"/>
          <w:tab w:val="left" w:pos="1134" w:leader="none"/>
        </w:tabs>
        <w:ind w:left="0" w:firstLine="709"/>
        <w:jc w:val="both"/>
        <w:rPr>
          <w:bCs/>
        </w:rPr>
      </w:pPr>
      <w:r>
        <w:rPr>
          <w:bCs/>
          <w:u w:val="single"/>
        </w:rPr>
        <w:t>Иные права и обязанности Сторон</w:t>
      </w:r>
      <w:r>
        <w:rPr>
          <w:bCs/>
        </w:rPr>
        <w:t>:</w:t>
      </w:r>
    </w:p>
    <w:p>
      <w:pPr>
        <w:pStyle w:val="ListParagraph"/>
        <w:numPr>
          <w:ilvl w:val="2"/>
          <w:numId w:val="21"/>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21"/>
        </w:numPr>
        <w:tabs>
          <w:tab w:val="left" w:pos="709" w:leader="none"/>
          <w:tab w:val="left" w:pos="851"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1"/>
        </w:numPr>
        <w:tabs>
          <w:tab w:val="left" w:pos="709" w:leader="none"/>
          <w:tab w:val="left" w:pos="851"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7 к Договору</w:t>
      </w:r>
      <w:r>
        <w:rPr>
          <w:rStyle w:val="FootnoteReference"/>
          <w:highlight w:val="lightGray"/>
        </w:rPr>
        <w:footnoteReference w:id="9"/>
      </w:r>
      <w:r>
        <w:rPr>
          <w:highlight w:val="lightGray"/>
        </w:rPr>
        <w:t>.</w:t>
      </w:r>
    </w:p>
    <w:p>
      <w:pPr>
        <w:pStyle w:val="ListParagraph"/>
        <w:numPr>
          <w:ilvl w:val="1"/>
          <w:numId w:val="21"/>
        </w:numPr>
        <w:tabs>
          <w:tab w:val="left" w:pos="709" w:leader="none"/>
          <w:tab w:val="left" w:pos="851"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2.4.5,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1"/>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7"/>
        </w:numPr>
        <w:shd w:val="clear" w:color="auto" w:fill="FFFFFF"/>
        <w:tabs>
          <w:tab w:val="clear" w:pos="709"/>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7"/>
        </w:numPr>
        <w:shd w:val="clear" w:color="auto" w:fill="FFFFFF"/>
        <w:tabs>
          <w:tab w:val="clear" w:pos="709"/>
          <w:tab w:val="left" w:pos="284" w:leader="none"/>
          <w:tab w:val="left" w:pos="1134" w:leader="none"/>
        </w:tabs>
        <w:ind w:left="0" w:firstLine="709"/>
        <w:jc w:val="both"/>
        <w:rPr>
          <w:b/>
        </w:rPr>
      </w:pPr>
      <w:bookmarkStart w:id="9"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9"/>
    </w:p>
    <w:p>
      <w:pPr>
        <w:pStyle w:val="ListParagraph"/>
        <w:shd w:val="clear" w:color="auto" w:fill="FFFFFF"/>
        <w:tabs>
          <w:tab w:val="clear" w:pos="709"/>
          <w:tab w:val="left" w:pos="1134" w:leader="none"/>
        </w:tabs>
        <w:ind w:left="0" w:firstLine="709"/>
        <w:jc w:val="both"/>
        <w:rPr>
          <w:bCs/>
        </w:rPr>
      </w:pPr>
      <w:r>
        <w:rPr>
          <w:bCs/>
          <w:i/>
          <w:highlight w:val="lightGray"/>
        </w:rPr>
        <w:t>либо</w:t>
      </w:r>
    </w:p>
    <w:p>
      <w:pPr>
        <w:pStyle w:val="ListParagraph"/>
        <w:shd w:val="clear" w:color="auto" w:fill="FFFFFF"/>
        <w:tabs>
          <w:tab w:val="clear" w:pos="709"/>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10"/>
      </w:r>
      <w:r>
        <w:rPr>
          <w:bCs/>
        </w:rPr>
        <w:t>.</w:t>
      </w:r>
    </w:p>
    <w:p>
      <w:pPr>
        <w:pStyle w:val="ListParagraph"/>
        <w:numPr>
          <w:ilvl w:val="1"/>
          <w:numId w:val="27"/>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7"/>
        </w:numPr>
        <w:shd w:val="clear" w:color="auto" w:fill="FFFFFF"/>
        <w:tabs>
          <w:tab w:val="clear" w:pos="709"/>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7"/>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7"/>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9"/>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9"/>
        </w:numPr>
        <w:shd w:val="clear" w:color="auto" w:fill="FFFFFF"/>
        <w:tabs>
          <w:tab w:val="left" w:pos="709" w:leader="none"/>
          <w:tab w:val="left" w:pos="851" w:leader="none"/>
          <w:tab w:val="left" w:pos="1134" w:leader="none"/>
        </w:tabs>
        <w:ind w:left="0" w:firstLine="709"/>
        <w:jc w:val="both"/>
        <w:rPr/>
      </w:pPr>
      <w:bookmarkStart w:id="10" w:name="_Ref361858588"/>
      <w:r>
        <w:rPr/>
        <w:t>Оплата по Договору осуществляется Заказчиком в следующем порядке:</w:t>
      </w:r>
      <w:bookmarkEnd w:id="10"/>
      <w:r>
        <w:rPr/>
        <w:t xml:space="preserve"> </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bookmarkStart w:id="11" w:name="_Ref373240288"/>
      <w:bookmarkStart w:id="12" w:name="_Ref361834178"/>
      <w:bookmarkEnd w:id="12"/>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11"/>
      </w:r>
      <w:r>
        <w:rPr/>
        <w:t xml:space="preserve">, но не ранее чем за 30 (тридцать) календарных дней до даты начала оказания Услуг и с учетом пунктов 3.5.1 и 3.5.4 Договора. </w:t>
      </w:r>
      <w:bookmarkEnd w:id="11"/>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r>
        <w:rPr/>
        <w:t xml:space="preserve">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r>
        <w:rPr>
          <w:highlight w:val="lightGray"/>
        </w:rPr>
        <w:t>20 (двадцати) календарных дней</w:t>
      </w:r>
      <w:r>
        <w:rPr>
          <w:rStyle w:val="FootnoteReference"/>
          <w:highlight w:val="lightGray"/>
        </w:rPr>
        <w:footnoteReference w:id="12"/>
      </w:r>
      <w:r>
        <w:rPr/>
        <w:t xml:space="preserve"> / </w:t>
      </w:r>
      <w:r>
        <w:rPr>
          <w:highlight w:val="lightGray"/>
        </w:rPr>
        <w:t>45 (сорока пяти) календарных дней</w:t>
      </w:r>
      <w:r>
        <w:rPr>
          <w:rStyle w:val="FootnoteReference"/>
          <w:highlight w:val="lightGray"/>
        </w:rPr>
        <w:footnoteReference w:id="13"/>
      </w:r>
      <w:r>
        <w:rPr/>
        <w:t xml:space="preserve"> / </w:t>
      </w:r>
      <w:r>
        <w:rPr>
          <w:highlight w:val="lightGray"/>
        </w:rPr>
        <w:t>7 (семи) рабочих дней</w:t>
      </w:r>
      <w:r>
        <w:rPr>
          <w:rStyle w:val="FootnoteReference"/>
          <w:highlight w:val="lightGray"/>
        </w:rPr>
        <w:footnoteReference w:id="14"/>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19"/>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9"/>
        </w:numPr>
        <w:shd w:val="clear" w:color="auto" w:fill="FFFFFF"/>
        <w:tabs>
          <w:tab w:val="clear" w:pos="709"/>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9"/>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счета-фактуры/УПД,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9"/>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19"/>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9"/>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Договору/УПД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2"/>
        </w:numPr>
        <w:shd w:val="clear" w:color="auto" w:fill="FFFFFF"/>
        <w:tabs>
          <w:tab w:val="clear" w:pos="709"/>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Услуг/УПД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2"/>
        </w:numPr>
        <w:shd w:val="clear" w:color="auto" w:fill="FFFFFF"/>
        <w:tabs>
          <w:tab w:val="clear" w:pos="709"/>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Услуг/УПД.</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9"/>
          <w:tab w:val="left" w:pos="1134" w:leader="none"/>
        </w:tabs>
        <w:ind w:left="0" w:firstLine="709"/>
        <w:jc w:val="both"/>
        <w:rPr/>
      </w:pPr>
      <w:r>
        <w:rPr/>
      </w:r>
    </w:p>
    <w:p>
      <w:pPr>
        <w:pStyle w:val="ListParagraph"/>
        <w:numPr>
          <w:ilvl w:val="0"/>
          <w:numId w:val="18"/>
        </w:numPr>
        <w:shd w:val="clear" w:color="auto" w:fill="FFFFFF"/>
        <w:tabs>
          <w:tab w:val="clear" w:pos="709"/>
          <w:tab w:val="left" w:pos="284" w:leader="none"/>
        </w:tabs>
        <w:ind w:left="0" w:hanging="0"/>
        <w:jc w:val="center"/>
        <w:rPr>
          <w:b/>
        </w:rPr>
      </w:pPr>
      <w:r>
        <w:rPr>
          <w:b/>
        </w:rPr>
        <w:t>Банковская гарантия</w:t>
      </w:r>
    </w:p>
    <w:p>
      <w:pPr>
        <w:pStyle w:val="ListParagraph"/>
        <w:numPr>
          <w:ilvl w:val="1"/>
          <w:numId w:val="23"/>
        </w:numPr>
        <w:shd w:val="clear" w:color="auto" w:fill="FFFFFF"/>
        <w:tabs>
          <w:tab w:val="clear" w:pos="709"/>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3"/>
        </w:numPr>
        <w:shd w:val="clear" w:color="auto" w:fill="FFFFFF"/>
        <w:tabs>
          <w:tab w:val="clear" w:pos="709"/>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3"/>
        </w:numPr>
        <w:shd w:val="clear" w:color="auto" w:fill="FFFFFF"/>
        <w:tabs>
          <w:tab w:val="clear" w:pos="709"/>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4"/>
        </w:numPr>
        <w:shd w:val="clear" w:color="auto" w:fill="FFFFFF"/>
        <w:tabs>
          <w:tab w:val="clear" w:pos="709"/>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5"/>
        </w:numPr>
        <w:shd w:val="clear" w:color="auto" w:fill="FFFFFF"/>
        <w:tabs>
          <w:tab w:val="clear" w:pos="709"/>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2"/>
        </w:numPr>
        <w:tabs>
          <w:tab w:val="clear" w:pos="709"/>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2"/>
        </w:numPr>
        <w:tabs>
          <w:tab w:val="clear" w:pos="709"/>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2"/>
        </w:numPr>
        <w:tabs>
          <w:tab w:val="clear" w:pos="709"/>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2"/>
        </w:numPr>
        <w:tabs>
          <w:tab w:val="clear" w:pos="709"/>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2"/>
        </w:numPr>
        <w:tabs>
          <w:tab w:val="clear" w:pos="709"/>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2"/>
        </w:numPr>
        <w:tabs>
          <w:tab w:val="clear" w:pos="709"/>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shd w:val="clear" w:color="auto" w:fill="FFFFFF"/>
        <w:tabs>
          <w:tab w:val="clear" w:pos="709"/>
          <w:tab w:val="left" w:pos="1418" w:leader="none"/>
        </w:tabs>
        <w:ind w:left="0" w:firstLine="709"/>
        <w:jc w:val="both"/>
        <w:rPr/>
      </w:pPr>
      <w:r>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clear" w:pos="709"/>
          <w:tab w:val="left" w:pos="1418" w:leader="none"/>
        </w:tabs>
        <w:ind w:left="0" w:firstLine="709"/>
        <w:jc w:val="both"/>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5"/>
        </w:numPr>
        <w:shd w:val="clear" w:color="auto" w:fill="FFFFFF"/>
        <w:tabs>
          <w:tab w:val="clear" w:pos="709"/>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5"/>
        </w:numPr>
        <w:shd w:val="clear" w:color="auto" w:fill="FFFFFF"/>
        <w:tabs>
          <w:tab w:val="clear" w:pos="709"/>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5"/>
        </w:numPr>
        <w:shd w:val="clear" w:color="auto" w:fill="FFFFFF"/>
        <w:tabs>
          <w:tab w:val="clear" w:pos="709"/>
          <w:tab w:val="left" w:pos="1418" w:leader="none"/>
          <w:tab w:val="left" w:pos="1701" w:leader="none"/>
        </w:tabs>
        <w:ind w:left="0" w:firstLine="709"/>
        <w:jc w:val="both"/>
        <w:rPr>
          <w:sz w:val="24"/>
          <w:szCs w:val="24"/>
        </w:rPr>
      </w:pPr>
      <w:r>
        <w:rPr>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1418" w:leader="none"/>
          <w:tab w:val="left" w:pos="1701" w:leader="none"/>
        </w:tabs>
        <w:ind w:left="0" w:firstLine="709"/>
        <w:jc w:val="both"/>
        <w:rPr>
          <w:sz w:val="24"/>
          <w:szCs w:val="24"/>
        </w:rPr>
      </w:pPr>
      <w:r>
        <w:rPr>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1418" w:leader="none"/>
          <w:tab w:val="left" w:pos="1701" w:leader="none"/>
        </w:tabs>
        <w:ind w:left="0" w:firstLine="709"/>
        <w:jc w:val="both"/>
        <w:rPr>
          <w:sz w:val="24"/>
          <w:szCs w:val="24"/>
        </w:rPr>
      </w:pPr>
      <w:r>
        <w:rPr>
          <w:sz w:val="24"/>
          <w:szCs w:val="24"/>
        </w:rPr>
        <w:t>- в оригинале на бумажном носителе.</w:t>
      </w:r>
    </w:p>
    <w:p>
      <w:pPr>
        <w:pStyle w:val="Normal"/>
        <w:numPr>
          <w:ilvl w:val="1"/>
          <w:numId w:val="25"/>
        </w:numPr>
        <w:tabs>
          <w:tab w:val="clear" w:pos="709"/>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5"/>
        </w:numPr>
        <w:shd w:val="clear" w:color="auto" w:fill="FFFFFF"/>
        <w:tabs>
          <w:tab w:val="clear" w:pos="709"/>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5"/>
        </w:numPr>
        <w:shd w:val="clear" w:color="auto" w:fill="FFFFFF"/>
        <w:tabs>
          <w:tab w:val="clear" w:pos="709"/>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5"/>
        </w:numPr>
        <w:shd w:val="clear" w:color="auto" w:fill="FFFFFF"/>
        <w:tabs>
          <w:tab w:val="clear" w:pos="709"/>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5"/>
        </w:numPr>
        <w:shd w:val="clear" w:color="auto" w:fill="FFFFFF"/>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3"/>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15"/>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5"/>
        </w:numPr>
        <w:shd w:val="clear" w:color="auto" w:fill="FFFFFF"/>
        <w:tabs>
          <w:tab w:val="clear" w:pos="709"/>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5"/>
        </w:numPr>
        <w:shd w:val="clear" w:color="auto" w:fill="FFFFFF"/>
        <w:tabs>
          <w:tab w:val="clear" w:pos="709"/>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5"/>
        </w:numPr>
        <w:shd w:val="clear" w:color="auto" w:fill="FFFFFF"/>
        <w:tabs>
          <w:tab w:val="clear" w:pos="709"/>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16"/>
      </w:r>
      <w:r>
        <w:rPr>
          <w:highlight w:val="lightGray"/>
        </w:rPr>
        <w:t>.</w:t>
      </w:r>
    </w:p>
    <w:p>
      <w:pPr>
        <w:pStyle w:val="ListParagraph"/>
        <w:numPr>
          <w:ilvl w:val="1"/>
          <w:numId w:val="25"/>
        </w:numPr>
        <w:shd w:val="clear" w:color="auto" w:fill="FFFFFF"/>
        <w:tabs>
          <w:tab w:val="clear" w:pos="709"/>
          <w:tab w:val="left" w:pos="1134" w:leader="none"/>
        </w:tabs>
        <w:ind w:left="0" w:firstLine="709"/>
        <w:jc w:val="both"/>
        <w:rPr>
          <w:bCs/>
        </w:rPr>
      </w:pPr>
      <w:r>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25"/>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25"/>
        </w:numPr>
        <w:shd w:val="clear" w:color="auto" w:fill="FFFFFF"/>
        <w:tabs>
          <w:tab w:val="clear" w:pos="709"/>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6"/>
        </w:numPr>
        <w:tabs>
          <w:tab w:val="clear" w:pos="709"/>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6"/>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p>
    <w:p>
      <w:pPr>
        <w:pStyle w:val="ListParagraph"/>
        <w:numPr>
          <w:ilvl w:val="1"/>
          <w:numId w:val="26"/>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r>
        <w:rPr>
          <w:rFonts w:eastAsia="Calibri"/>
        </w:rPr>
        <w:t>.</w:t>
      </w:r>
    </w:p>
    <w:p>
      <w:pPr>
        <w:pStyle w:val="ListParagraph"/>
        <w:numPr>
          <w:ilvl w:val="1"/>
          <w:numId w:val="26"/>
        </w:numPr>
        <w:shd w:val="clear" w:color="auto" w:fill="FFFFFF"/>
        <w:tabs>
          <w:tab w:val="left" w:pos="0" w:leader="none"/>
          <w:tab w:val="left" w:pos="496" w:leader="none"/>
          <w:tab w:val="left" w:pos="709" w:leader="none"/>
          <w:tab w:val="left" w:pos="1134" w:leader="none"/>
          <w:tab w:val="left" w:pos="1418" w:leader="none"/>
        </w:tabs>
        <w:ind w:left="0" w:firstLine="709"/>
        <w:jc w:val="both"/>
        <w:rPr>
          <w:bCs/>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6"/>
        </w:numPr>
        <w:shd w:val="clear" w:color="auto" w:fill="FFFFFF"/>
        <w:tabs>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w:t>
      </w:r>
      <w:r>
        <w:rPr>
          <w:bCs/>
          <w:shd w:fill="C0C0C0" w:val="clear"/>
        </w:rPr>
        <w:t>экологических, санитарно-</w:t>
      </w:r>
      <w:r>
        <w:rPr>
          <w:rFonts w:eastAsia="Times New Roman" w:cs="Times New Roman"/>
          <w:bCs/>
          <w:color w:val="000000"/>
          <w:kern w:val="0"/>
          <w:sz w:val="24"/>
          <w:szCs w:val="24"/>
          <w:shd w:fill="C0C0C0" w:val="clear"/>
          <w:lang w:val="ru-RU" w:eastAsia="ru-RU" w:bidi="ar-SA"/>
        </w:rPr>
        <w:t>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внутренним водном и морском транспорте, а также требований, установленных локальными нормативными правовыми актами (документами) Заказчика в области обращения с Отходами на территории Заказчика</w:t>
      </w:r>
      <w:r>
        <w:rPr>
          <w:rStyle w:val="FootnoteReference"/>
          <w:rFonts w:eastAsia="Times New Roman" w:cs="Times New Roman"/>
          <w:bCs/>
          <w:color w:val="000000"/>
          <w:kern w:val="0"/>
          <w:sz w:val="24"/>
          <w:szCs w:val="24"/>
          <w:shd w:fill="C0C0C0" w:val="clear"/>
          <w:lang w:val="ru-RU" w:eastAsia="ru-RU" w:bidi="ar-SA"/>
        </w:rPr>
        <w:footnoteReference w:id="17"/>
      </w:r>
      <w:r>
        <w:rPr>
          <w:rFonts w:eastAsia="Times New Roman" w:cs="Times New Roman"/>
          <w:bCs/>
          <w:color w:val="000000"/>
          <w:kern w:val="0"/>
          <w:sz w:val="24"/>
          <w:szCs w:val="24"/>
          <w:shd w:fill="C0C0C0" w:val="clear"/>
          <w:lang w:val="ru-RU" w:eastAsia="ru-RU" w:bidi="ar-SA"/>
        </w:rPr>
        <w:t>,</w:t>
      </w:r>
      <w:r>
        <w:rPr>
          <w:rFonts w:eastAsia="Times New Roman" w:cs="Times New Roman"/>
          <w:bCs/>
          <w:color w:val="000000"/>
          <w:kern w:val="0"/>
          <w:sz w:val="24"/>
          <w:szCs w:val="24"/>
          <w:shd w:fill="auto" w:val="clear"/>
          <w:lang w:val="ru-RU" w:eastAsia="ru-RU" w:bidi="ar-SA"/>
        </w:rPr>
        <w:t xml:space="preserve"> </w:t>
      </w:r>
      <w:r>
        <w:rPr>
          <w:bCs/>
        </w:rPr>
        <w:t xml:space="preserve">если они зафиксированы Заказчиком или уполномоченным государственным органом, Заказчик, помимо возмещения убытков, </w:t>
      </w:r>
      <w:r>
        <w:rPr>
          <w:bCs/>
          <w:shd w:fill="C0C0C0" w:val="clear"/>
        </w:rPr>
        <w:t xml:space="preserve">включая реальный ущерб в виде возмещения расходов по уплате </w:t>
      </w:r>
      <w:r>
        <w:rPr>
          <w:rFonts w:eastAsia="Times New Roman" w:cs="Times New Roman"/>
          <w:bCs/>
          <w:color w:val="000000"/>
          <w:kern w:val="0"/>
          <w:sz w:val="24"/>
          <w:szCs w:val="24"/>
          <w:shd w:fill="C0C0C0" w:val="clear"/>
          <w:lang w:val="ru-RU" w:eastAsia="ru-RU" w:bidi="ar-SA"/>
        </w:rPr>
        <w:t>соответствующих</w:t>
      </w:r>
      <w:r>
        <w:rPr>
          <w:bCs/>
          <w:shd w:fill="C0C0C0" w:val="clear"/>
        </w:rPr>
        <w:t xml:space="preserve"> административных штрафов</w:t>
      </w:r>
      <w:r>
        <w:rPr>
          <w:rStyle w:val="FootnoteReference"/>
          <w:bCs/>
          <w:shd w:fill="C0C0C0" w:val="clear"/>
        </w:rPr>
        <w:footnoteReference w:id="18"/>
      </w:r>
      <w:r>
        <w:rPr>
          <w:bCs/>
          <w:shd w:fill="C0C0C0" w:val="clear"/>
        </w:rPr>
        <w:t xml:space="preserve">, </w:t>
      </w:r>
      <w:r>
        <w:rPr>
          <w:bCs/>
        </w:rPr>
        <w:t xml:space="preserve">вправе требовать уплаты Исполнителем штрафа в размерах, установленных Приложением № 5 к Договору. </w:t>
      </w:r>
    </w:p>
    <w:p>
      <w:pPr>
        <w:pStyle w:val="ListParagraph"/>
        <w:numPr>
          <w:ilvl w:val="1"/>
          <w:numId w:val="26"/>
        </w:numPr>
        <w:shd w:val="clear" w:color="auto" w:fill="FFFFFF"/>
        <w:tabs>
          <w:tab w:val="clear" w:pos="709"/>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6"/>
        </w:numPr>
        <w:shd w:val="clear" w:color="auto" w:fill="FFFFFF"/>
        <w:tabs>
          <w:tab w:val="clear" w:pos="709"/>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6"/>
        </w:numPr>
        <w:shd w:val="clear" w:color="auto" w:fill="FFFFFF"/>
        <w:tabs>
          <w:tab w:val="clear" w:pos="709"/>
          <w:tab w:val="left" w:pos="1134" w:leader="none"/>
        </w:tabs>
        <w:ind w:left="0" w:firstLine="709"/>
        <w:jc w:val="both"/>
        <w:rPr>
          <w:bCs/>
          <w:highlight w:val="lightGray"/>
        </w:rPr>
      </w:pPr>
      <w:r>
        <w:rPr>
          <w:szCs w:val="28"/>
          <w:highlight w:val="lightGray"/>
        </w:rPr>
        <w:t>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Исполнителем своих обязательств.</w:t>
      </w:r>
    </w:p>
    <w:p>
      <w:pPr>
        <w:pStyle w:val="Normal"/>
        <w:shd w:val="clear" w:color="auto" w:fill="FFFFFF"/>
        <w:tabs>
          <w:tab w:val="clear" w:pos="709"/>
          <w:tab w:val="left" w:pos="1134" w:leader="none"/>
        </w:tabs>
        <w:ind w:firstLine="709"/>
        <w:jc w:val="both"/>
        <w:rPr>
          <w:bCs/>
          <w:highlight w:val="lightGray"/>
          <w:lang w:val="ru-RU"/>
        </w:rPr>
      </w:pPr>
      <w:r>
        <w:rPr>
          <w:szCs w:val="28"/>
          <w:highlight w:val="lightGray"/>
          <w:lang w:val="ru-RU"/>
        </w:rPr>
        <w:t>Кроме суммы реального ущерба, Исполнитель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Normal"/>
        <w:shd w:val="clear" w:color="auto" w:fill="FFFFFF"/>
        <w:tabs>
          <w:tab w:val="clear" w:pos="709"/>
          <w:tab w:val="left" w:pos="1134" w:leader="none"/>
        </w:tabs>
        <w:ind w:firstLine="709"/>
        <w:jc w:val="both"/>
        <w:rPr>
          <w:bCs/>
          <w:highlight w:val="lightGray"/>
          <w:lang w:val="ru-RU"/>
        </w:rPr>
      </w:pPr>
      <w:r>
        <w:rPr>
          <w:szCs w:val="28"/>
          <w:highlight w:val="lightGray"/>
          <w:lang w:val="ru-RU"/>
        </w:rPr>
        <w:t>Размер упущенной выгоды (выручки) подтверждается (по выбору Заказчика):</w:t>
      </w:r>
    </w:p>
    <w:p>
      <w:pPr>
        <w:pStyle w:val="Normal"/>
        <w:numPr>
          <w:ilvl w:val="0"/>
          <w:numId w:val="31"/>
        </w:numPr>
        <w:shd w:val="clear" w:color="auto" w:fill="D9D9D9" w:themeFill="background1" w:themeFillShade="d9"/>
        <w:tabs>
          <w:tab w:val="clear" w:pos="709"/>
          <w:tab w:val="left" w:pos="1134" w:leader="none"/>
        </w:tabs>
        <w:spacing w:lineRule="auto" w:line="259"/>
        <w:ind w:left="0" w:firstLine="709"/>
        <w:jc w:val="both"/>
        <w:rPr>
          <w:szCs w:val="28"/>
          <w:highlight w:val="lightGray"/>
        </w:rPr>
      </w:pPr>
      <w:r>
        <w:rPr>
          <w:sz w:val="24"/>
          <w:szCs w:val="28"/>
          <w:highlight w:val="lightGray"/>
        </w:rPr>
        <w:t>в ценовой зоне оптового рынка:</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 xml:space="preserve">расчетом, подготовленным Коммерческим оператором оптового рынка; </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и / или</w:t>
      </w:r>
    </w:p>
    <w:p>
      <w:pPr>
        <w:pStyle w:val="Normal"/>
        <w:shd w:val="clear" w:color="auto" w:fill="D9D9D9" w:themeFill="background1" w:themeFillShade="d9"/>
        <w:tabs>
          <w:tab w:val="clear" w:pos="709"/>
          <w:tab w:val="left" w:pos="1134" w:leader="none"/>
        </w:tabs>
        <w:ind w:firstLine="709"/>
        <w:jc w:val="both"/>
        <w:rPr>
          <w:szCs w:val="28"/>
          <w:highlight w:val="lightGray"/>
        </w:rPr>
      </w:pPr>
      <w:r>
        <w:rPr>
          <w:szCs w:val="28"/>
          <w:highlight w:val="lightGray"/>
          <w:lang w:val="ru-RU"/>
        </w:rPr>
        <w:t xml:space="preserve">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Pr>
          <w:szCs w:val="28"/>
          <w:highlight w:val="lightGray"/>
        </w:rPr>
        <w:t>(далее – Ассоциация «НП Совета рынка»).</w:t>
      </w:r>
    </w:p>
    <w:p>
      <w:pPr>
        <w:pStyle w:val="Normal"/>
        <w:numPr>
          <w:ilvl w:val="0"/>
          <w:numId w:val="31"/>
        </w:numPr>
        <w:shd w:val="clear" w:color="auto" w:fill="D9D9D9" w:themeFill="background1" w:themeFillShade="d9"/>
        <w:tabs>
          <w:tab w:val="clear" w:pos="709"/>
          <w:tab w:val="left" w:pos="1134" w:leader="none"/>
        </w:tabs>
        <w:spacing w:lineRule="auto" w:line="259"/>
        <w:ind w:left="0" w:firstLine="709"/>
        <w:jc w:val="both"/>
        <w:rPr>
          <w:szCs w:val="28"/>
          <w:highlight w:val="lightGray"/>
          <w:lang w:val="ru-RU"/>
        </w:rPr>
      </w:pPr>
      <w:r>
        <w:rPr>
          <w:rFonts w:eastAsia="Times New Roman" w:cs="Times New Roman"/>
          <w:color w:val="auto"/>
          <w:kern w:val="0"/>
          <w:sz w:val="24"/>
          <w:szCs w:val="24"/>
          <w:highlight w:val="lightGray"/>
          <w:lang w:val="ru-RU" w:eastAsia="ru-RU" w:bidi="ar-SA"/>
        </w:rPr>
        <w:t>в о</w:t>
      </w:r>
      <w:r>
        <w:rPr>
          <w:sz w:val="24"/>
          <w:szCs w:val="28"/>
          <w:highlight w:val="lightGray"/>
          <w:lang w:val="ru-RU"/>
        </w:rPr>
        <w:t xml:space="preserve">тдельной территории ценовой зоны оптового рынка, ранее относившейся к  неценовой зоне оптового рынка Дальнего Востока: </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до даты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(Приложение № 8 к Договору);</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после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 xml:space="preserve">расчетом, подготовленным Коммерческим оператором оптового рынка; </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и / или</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расчетом, подготовленным Заказчиком на основании методики, утвержденной Наблюдательным советом Ассоциации «НП Совет рынка».</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В отношении вновь вводимого оборудования ГЭС / ГАЭС – объектов ДПМ, ДПМ ВИЭ в ценовых зонах ОРЭМ Исполнитель дополнительно компенсирует Заказчику упущенную выгоду (выручку) в связи с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В отношении</w:t>
      </w:r>
      <w:r>
        <w:rPr>
          <w:sz w:val="24"/>
          <w:szCs w:val="28"/>
          <w:highlight w:val="lightGray"/>
          <w:lang w:val="ru-RU"/>
        </w:rPr>
        <w:t xml:space="preserve"> </w:t>
      </w:r>
      <w:r>
        <w:rPr>
          <w:sz w:val="24"/>
          <w:szCs w:val="24"/>
          <w:highlight w:val="lightGray"/>
          <w:lang w:val="ru-RU"/>
        </w:rPr>
        <w:t xml:space="preserve">вновь вводимого (модернизируемого) оборудования ТЭС в отдельной территории ценовой зоны оптового рынка, ранее относившейся к неценовой зоне </w:t>
      </w:r>
      <w:r>
        <w:rPr>
          <w:bCs/>
          <w:color w:val="000000"/>
          <w:sz w:val="24"/>
          <w:szCs w:val="24"/>
          <w:highlight w:val="lightGray"/>
          <w:shd w:fill="CCCCCC" w:val="clear"/>
          <w:lang w:val="ru-RU"/>
        </w:rPr>
        <w:t xml:space="preserve">оптового рынка </w:t>
      </w:r>
      <w:r>
        <w:rPr>
          <w:sz w:val="24"/>
          <w:szCs w:val="24"/>
          <w:highlight w:val="lightGray"/>
          <w:lang w:val="ru-RU"/>
        </w:rPr>
        <w:t xml:space="preserve">Дальнего Востока Подрядчик дополнительно компенсирует Заказчику упущенную выгоду (выручку) в </w:t>
      </w:r>
      <w:r>
        <w:rPr>
          <w:szCs w:val="28"/>
          <w:highlight w:val="lightGray"/>
          <w:lang w:val="ru-RU"/>
        </w:rPr>
        <w:t xml:space="preserve">связи: </w:t>
      </w:r>
    </w:p>
    <w:p>
      <w:pPr>
        <w:pStyle w:val="ListParagraph"/>
        <w:numPr>
          <w:ilvl w:val="2"/>
          <w:numId w:val="26"/>
        </w:numPr>
        <w:shd w:val="clear" w:color="auto" w:fill="D9D9D9" w:themeFill="background1" w:themeFillShade="d9"/>
        <w:tabs>
          <w:tab w:val="clear" w:pos="709"/>
          <w:tab w:val="left" w:pos="1134" w:leader="none"/>
        </w:tabs>
        <w:ind w:left="0" w:firstLine="709"/>
        <w:jc w:val="both"/>
        <w:rPr>
          <w:szCs w:val="28"/>
          <w:highlight w:val="lightGray"/>
        </w:rPr>
      </w:pPr>
      <w:r>
        <w:rPr>
          <w:szCs w:val="28"/>
          <w:highlight w:val="lightGray"/>
        </w:rPr>
        <w:t>С неоплатой мощности из-за просрочки исполнения обязательства по поставке мощности от модернизированного объекта.</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Размер упущенной выгоды для каждого месяца просрочки определяется</w:t>
      </w:r>
      <w:r>
        <w:rPr>
          <w:sz w:val="24"/>
          <w:szCs w:val="28"/>
          <w:highlight w:val="lightGray"/>
          <w:lang w:val="ru-RU"/>
        </w:rPr>
        <w:t xml:space="preserve"> </w:t>
      </w:r>
      <w:r>
        <w:rPr>
          <w:sz w:val="24"/>
          <w:szCs w:val="24"/>
          <w:highlight w:val="lightGray"/>
          <w:lang w:val="ru-RU"/>
        </w:rPr>
        <w:t>в соответствии с Правилами ОРЭМ.</w:t>
      </w:r>
    </w:p>
    <w:p>
      <w:pPr>
        <w:pStyle w:val="ListParagraph"/>
        <w:numPr>
          <w:ilvl w:val="2"/>
          <w:numId w:val="26"/>
        </w:numPr>
        <w:shd w:val="clear" w:color="auto" w:fill="D9D9D9" w:themeFill="background1" w:themeFillShade="d9"/>
        <w:tabs>
          <w:tab w:val="clear" w:pos="709"/>
          <w:tab w:val="left" w:pos="1134" w:leader="none"/>
        </w:tabs>
        <w:ind w:left="0" w:firstLine="709"/>
        <w:jc w:val="both"/>
        <w:rPr>
          <w:szCs w:val="28"/>
          <w:highlight w:val="lightGray"/>
        </w:rPr>
      </w:pPr>
      <w:r>
        <w:rPr>
          <w:szCs w:val="28"/>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определенную в соответствии с решением Правительства Российской Федерации.</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pPr>
        <w:pStyle w:val="ListParagraph"/>
        <w:numPr>
          <w:ilvl w:val="2"/>
          <w:numId w:val="26"/>
        </w:numPr>
        <w:shd w:val="clear" w:color="auto" w:fill="D9D9D9" w:themeFill="background1" w:themeFillShade="d9"/>
        <w:tabs>
          <w:tab w:val="clear" w:pos="709"/>
          <w:tab w:val="left" w:pos="1134" w:leader="none"/>
        </w:tabs>
        <w:ind w:left="0" w:firstLine="709"/>
        <w:jc w:val="both"/>
        <w:rPr>
          <w:szCs w:val="28"/>
          <w:highlight w:val="lightGray"/>
        </w:rPr>
      </w:pPr>
      <w:r>
        <w:rPr>
          <w:szCs w:val="28"/>
          <w:highlight w:val="lightGray"/>
        </w:rPr>
        <w:t>С применением</w:t>
      </w:r>
      <w:r>
        <w:rPr>
          <w:sz w:val="24"/>
          <w:szCs w:val="28"/>
          <w:highlight w:val="lightGray"/>
        </w:rPr>
        <w:t xml:space="preserve">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отдельной территории ценовой зоны оптового рынка, ранее относившейся к неценовой зоне оптового рынка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для каждого месяца просрочки определяется в соответствии с Правилами </w:t>
      </w:r>
      <w:r>
        <w:rPr>
          <w:szCs w:val="28"/>
          <w:highlight w:val="lightGray"/>
        </w:rPr>
        <w:t>ОРЭМ</w:t>
      </w:r>
      <w:r>
        <w:rPr>
          <w:rStyle w:val="FootnoteReference"/>
          <w:szCs w:val="28"/>
          <w:highlight w:val="lightGray"/>
        </w:rPr>
        <w:footnoteReference w:id="19"/>
      </w:r>
      <w:r>
        <w:rPr>
          <w:szCs w:val="28"/>
          <w:highlight w:val="lightGray"/>
        </w:rPr>
        <w:t>.</w:t>
      </w:r>
    </w:p>
    <w:p>
      <w:pPr>
        <w:pStyle w:val="Normal"/>
        <w:shd w:val="clear" w:color="auto" w:fill="D9D9D9" w:themeFill="background1" w:themeFillShade="d9"/>
        <w:tabs>
          <w:tab w:val="clear" w:pos="709"/>
          <w:tab w:val="left" w:pos="1134" w:leader="none"/>
        </w:tabs>
        <w:ind w:firstLine="709"/>
        <w:jc w:val="both"/>
        <w:rPr>
          <w:szCs w:val="28"/>
          <w:lang w:val="ru-RU"/>
        </w:rPr>
      </w:pPr>
      <w:r>
        <w:rPr>
          <w:szCs w:val="28"/>
          <w:highlight w:val="lightGray"/>
          <w:lang w:val="ru-RU"/>
        </w:rPr>
        <w:t>Методика</w:t>
      </w:r>
      <w:r>
        <w:rPr>
          <w:sz w:val="24"/>
          <w:szCs w:val="28"/>
          <w:highlight w:val="lightGray"/>
          <w:lang w:val="ru-RU"/>
        </w:rPr>
        <w:t xml:space="preserve"> 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w:t>
      </w:r>
      <w:r>
        <w:rPr>
          <w:bCs/>
          <w:color w:val="000000"/>
          <w:sz w:val="24"/>
          <w:szCs w:val="24"/>
          <w:highlight w:val="lightGray"/>
          <w:shd w:fill="auto" w:val="clear"/>
          <w:lang w:val="ru-RU"/>
        </w:rPr>
        <w:t xml:space="preserve">оптового рынка </w:t>
      </w:r>
      <w:r>
        <w:rPr>
          <w:sz w:val="24"/>
          <w:szCs w:val="28"/>
          <w:highlight w:val="lightGray"/>
          <w:lang w:val="ru-RU"/>
        </w:rPr>
        <w:t xml:space="preserve">Дальнего Востока изложена в </w:t>
      </w:r>
      <w:r>
        <w:rPr>
          <w:szCs w:val="28"/>
          <w:highlight w:val="lightGray"/>
          <w:lang w:val="ru-RU"/>
        </w:rPr>
        <w:t>Приложении № 8 к Договору.</w:t>
      </w:r>
    </w:p>
    <w:p>
      <w:pPr>
        <w:pStyle w:val="ListParagraph"/>
        <w:numPr>
          <w:ilvl w:val="1"/>
          <w:numId w:val="26"/>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6"/>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6"/>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6"/>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6"/>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284" w:leader="none"/>
        </w:tabs>
        <w:ind w:left="0" w:hanging="0"/>
        <w:rPr>
          <w:b/>
        </w:rPr>
      </w:pPr>
      <w:r>
        <w:rPr>
          <w:b/>
        </w:rPr>
      </w:r>
    </w:p>
    <w:p>
      <w:pPr>
        <w:pStyle w:val="ListParagraph"/>
        <w:numPr>
          <w:ilvl w:val="0"/>
          <w:numId w:val="26"/>
        </w:numPr>
        <w:shd w:val="clear" w:color="auto" w:fill="FFFFFF"/>
        <w:tabs>
          <w:tab w:val="clear" w:pos="709"/>
          <w:tab w:val="left" w:pos="284" w:leader="none"/>
        </w:tabs>
        <w:ind w:left="0" w:hanging="0"/>
        <w:jc w:val="center"/>
        <w:rPr>
          <w:b/>
        </w:rPr>
      </w:pPr>
      <w:r>
        <w:rPr>
          <w:b/>
        </w:rPr>
        <w:t>Исключительные права и патенты</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8"/>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8"/>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слуг/УПД.</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28"/>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8"/>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8"/>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8"/>
        </w:numPr>
        <w:shd w:val="clear" w:color="auto" w:fill="FFFFFF"/>
        <w:tabs>
          <w:tab w:val="clear" w:pos="709"/>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8"/>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28"/>
        </w:numPr>
        <w:shd w:val="clear" w:color="auto" w:fill="FFFFFF"/>
        <w:tabs>
          <w:tab w:val="clear" w:pos="709"/>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28"/>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8"/>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8"/>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8"/>
        </w:numPr>
        <w:shd w:val="clear" w:color="auto" w:fill="FFFFFF"/>
        <w:tabs>
          <w:tab w:val="clear" w:pos="709"/>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28"/>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8"/>
        </w:numPr>
        <w:shd w:val="clear" w:color="auto" w:fill="FFFFFF"/>
        <w:tabs>
          <w:tab w:val="clear" w:pos="709"/>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28"/>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rStyle w:val="FootnoteReference"/>
          <w:bCs/>
          <w:sz w:val="24"/>
          <w:szCs w:val="24"/>
          <w:highlight w:val="lightGray"/>
          <w:shd w:fill="auto" w:val="clear"/>
        </w:rPr>
        <w:footnoteReference w:id="20"/>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28"/>
        </w:numPr>
        <w:shd w:val="clear" w:color="auto" w:fill="FFFFFF"/>
        <w:tabs>
          <w:tab w:val="clear" w:pos="709"/>
          <w:tab w:val="left" w:pos="426" w:leader="none"/>
        </w:tabs>
        <w:ind w:left="0" w:hanging="0"/>
        <w:jc w:val="center"/>
        <w:rPr>
          <w:b/>
        </w:rPr>
      </w:pPr>
      <w:r>
        <w:rPr>
          <w:b/>
          <w:bCs/>
        </w:rPr>
        <w:t>Антикоррупционная оговорка</w:t>
      </w:r>
    </w:p>
    <w:p>
      <w:pPr>
        <w:pStyle w:val="ListParagraph"/>
        <w:widowControl w:val="false"/>
        <w:numPr>
          <w:ilvl w:val="1"/>
          <w:numId w:val="28"/>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w:t>
      </w:r>
      <w:r>
        <w:rPr>
          <w:lang w:val="ru-RU"/>
        </w:rPr>
        <w:t xml:space="preserve">ПАО </w:t>
      </w:r>
      <w:r>
        <w:rPr>
          <w:rFonts w:eastAsia="Times New Roman" w:cs="Times New Roman"/>
          <w:color w:val="auto"/>
          <w:kern w:val="0"/>
          <w:sz w:val="24"/>
          <w:szCs w:val="24"/>
          <w:lang w:val="ru-RU" w:eastAsia="ru-RU" w:bidi="ar-SA"/>
        </w:rPr>
        <w:t>«РусГидро»</w:t>
      </w:r>
      <w:r>
        <w:rPr>
          <w:lang w:val="ru-RU"/>
        </w:rPr>
        <w:t xml:space="preserve">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28"/>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28"/>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28"/>
        </w:numPr>
        <w:shd w:val="clear" w:color="auto" w:fill="FFFFFF"/>
        <w:tabs>
          <w:tab w:val="clear" w:pos="709"/>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8"/>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8"/>
        </w:numPr>
        <w:shd w:val="clear" w:color="auto" w:fill="FFFFFF"/>
        <w:tabs>
          <w:tab w:val="clear" w:pos="709"/>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28"/>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8"/>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1134" w:leader="none"/>
        </w:tabs>
        <w:ind w:left="0" w:firstLine="709"/>
        <w:jc w:val="both"/>
        <w:rPr>
          <w:bCs/>
        </w:rPr>
      </w:pPr>
      <w:r>
        <w:rPr>
          <w:bCs/>
        </w:rPr>
      </w:r>
    </w:p>
    <w:p>
      <w:pPr>
        <w:pStyle w:val="ListParagraph"/>
        <w:numPr>
          <w:ilvl w:val="0"/>
          <w:numId w:val="28"/>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28"/>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28"/>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28"/>
        </w:numPr>
        <w:shd w:val="clear" w:color="auto" w:fill="FFFFFF"/>
        <w:tabs>
          <w:tab w:val="clear" w:pos="709"/>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8"/>
        </w:numPr>
        <w:shd w:val="clear" w:color="auto" w:fill="FFFFFF"/>
        <w:tabs>
          <w:tab w:val="clear" w:pos="709"/>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8"/>
        </w:numPr>
        <w:shd w:val="clear" w:color="auto" w:fill="FFFFFF"/>
        <w:tabs>
          <w:tab w:val="clear" w:pos="709"/>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8"/>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28"/>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8"/>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28"/>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8"/>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8"/>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21"/>
      </w:r>
      <w:r>
        <w:rPr>
          <w:highlight w:val="lightGray"/>
          <w:lang w:val="ru-RU" w:eastAsia="en-US"/>
        </w:rPr>
        <w:t>.</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28"/>
        </w:numPr>
        <w:shd w:val="clear" w:color="auto" w:fill="FFFFFF"/>
        <w:tabs>
          <w:tab w:val="clear" w:pos="709"/>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8"/>
        </w:numPr>
        <w:shd w:val="clear" w:color="auto" w:fill="FFFFFF"/>
        <w:tabs>
          <w:tab w:val="clear" w:pos="709"/>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w:t>
      </w:r>
    </w:p>
    <w:p>
      <w:pPr>
        <w:pStyle w:val="ListParagraph"/>
        <w:numPr>
          <w:ilvl w:val="1"/>
          <w:numId w:val="28"/>
        </w:numPr>
        <w:shd w:val="clear" w:color="auto" w:fill="FFFFFF"/>
        <w:tabs>
          <w:tab w:val="clear" w:pos="709"/>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28"/>
        </w:numPr>
        <w:shd w:val="clear" w:color="auto" w:fill="FFFFFF"/>
        <w:tabs>
          <w:tab w:val="clear" w:pos="709"/>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8"/>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8"/>
        </w:numPr>
        <w:shd w:val="clear" w:color="auto" w:fill="FFFFFF"/>
        <w:tabs>
          <w:tab w:val="clear" w:pos="709"/>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22"/>
      </w:r>
      <w:r>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28"/>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9"/>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9"/>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Normal"/>
        <w:jc w:val="both"/>
        <w:rPr>
          <w:lang w:val="ru-RU"/>
        </w:rPr>
      </w:pPr>
      <w:r>
        <w:rPr>
          <w:highlight w:val="lightGray"/>
          <w:lang w:val="ru-RU"/>
        </w:rPr>
        <w:t xml:space="preserve">Приложение № 8 – Методика </w:t>
      </w:r>
      <w:r>
        <w:rPr>
          <w:bCs/>
          <w:sz w:val="24"/>
          <w:szCs w:val="24"/>
          <w:highlight w:val="lightGray"/>
          <w:lang w:val="ru-RU"/>
        </w:rPr>
        <w:t>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оптового рынка Дальнего Востока.</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д.2, пом.1, </w:t>
            </w:r>
          </w:p>
          <w:p>
            <w:pPr>
              <w:pStyle w:val="Normal"/>
              <w:widowControl w:val="false"/>
              <w:rPr>
                <w:lang w:val="ru-RU"/>
              </w:rPr>
            </w:pPr>
            <w:r>
              <w:rPr>
                <w:sz w:val="24"/>
                <w:szCs w:val="24"/>
                <w:lang w:val="ru-RU"/>
              </w:rPr>
              <w:t>д. 43, стр. 1</w:t>
            </w:r>
          </w:p>
          <w:p>
            <w:pPr>
              <w:pStyle w:val="Normal"/>
              <w:widowControl w:val="false"/>
              <w:rPr>
                <w:lang w:val="ru-RU"/>
              </w:rPr>
            </w:pPr>
            <w:r>
              <w:rPr>
                <w:lang w:val="ru-RU"/>
              </w:rPr>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997650001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rFonts w:eastAsia="Times New Roman" w:cs="Times New Roman"/>
                <w:color w:val="auto"/>
                <w:kern w:val="0"/>
                <w:sz w:val="24"/>
                <w:szCs w:val="24"/>
                <w:lang w:val="ru-RU" w:eastAsia="ru-RU" w:bidi="ar-SA"/>
              </w:rPr>
              <w:t>Юридический</w:t>
            </w:r>
            <w:r>
              <w:rPr>
                <w:sz w:val="24"/>
                <w:szCs w:val="24"/>
                <w:lang w:val="ru-RU"/>
              </w:rPr>
              <w:t xml:space="preserve"> адрес</w:t>
            </w:r>
            <w:r>
              <w:rPr>
                <w:lang w:val="ru-RU"/>
              </w:rPr>
              <w:t>:</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r>
        <w:rPr>
          <w:rStyle w:val="FootnoteReference"/>
          <w:b/>
          <w:bCs/>
          <w:iCs/>
          <w:sz w:val="24"/>
          <w:szCs w:val="24"/>
        </w:rPr>
        <w:footnoteReference w:id="23"/>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tabs>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left" w:pos="709" w:leader="none"/>
                <w:tab w:val="left" w:pos="4111" w:leader="none"/>
              </w:tabs>
              <w:jc w:val="both"/>
              <w:rPr>
                <w:b/>
                <w:bCs/>
                <w:lang w:val="ru-RU"/>
              </w:rPr>
            </w:pPr>
            <w:r>
              <w:rPr>
                <w:b/>
                <w:bCs/>
                <w:lang w:val="ru-RU"/>
              </w:rPr>
            </w:r>
          </w:p>
          <w:p>
            <w:pPr>
              <w:pStyle w:val="Normal"/>
              <w:widowControl w:val="false"/>
              <w:spacing w:lineRule="auto" w:line="240"/>
              <w:ind w:left="0" w:right="0" w:hanging="0"/>
              <w:jc w:val="both"/>
              <w:rPr>
                <w:b w:val="false"/>
                <w:bCs w:val="false"/>
                <w:i w:val="false"/>
                <w:i w:val="false"/>
                <w:iCs w:val="false"/>
              </w:rPr>
            </w:pPr>
            <w:r>
              <w:rPr>
                <w:b w:val="false"/>
                <w:bCs w:val="false"/>
                <w:i w:val="false"/>
                <w:iCs w:val="false"/>
                <w:sz w:val="16"/>
                <w:szCs w:val="20"/>
                <w:lang w:val="ru-RU"/>
              </w:rPr>
              <w:t>* Применимая ставка НДС в отчётных документах определяется на момент определения налоговой базы в соответствии с действующим законодательством Российской Федерации о налогах и сборах.</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r>
              <w:rPr>
                <w:color w:val="000000"/>
                <w:sz w:val="24"/>
                <w:shd w:fill="C0C0C0" w:val="clear"/>
                <w:lang w:val="ru-RU"/>
              </w:rPr>
              <w:t xml:space="preserve">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 а также </w:t>
            </w:r>
            <w:r>
              <w:rPr>
                <w:rFonts w:eastAsia="Times New Roman" w:cs="Times New Roman"/>
                <w:color w:val="000000"/>
                <w:kern w:val="0"/>
                <w:sz w:val="24"/>
                <w:szCs w:val="28"/>
                <w:shd w:fill="C0C0C0" w:val="clear"/>
                <w:lang w:val="ru-RU" w:eastAsia="ru-RU" w:bidi="ar-SA"/>
              </w:rPr>
              <w:t>требований</w:t>
            </w:r>
            <w:r>
              <w:rPr>
                <w:color w:val="000000"/>
                <w:sz w:val="24"/>
                <w:shd w:fill="C0C0C0" w:val="clear"/>
                <w:lang w:val="ru-RU"/>
              </w:rPr>
              <w:t>, установленных локальными нормативными актами (документами) Заказчика в области обращения с Отходами на территории Заказчика.</w:t>
            </w:r>
            <w:r>
              <w:rPr>
                <w:rStyle w:val="FootnoteReference"/>
                <w:color w:val="000000"/>
                <w:sz w:val="24"/>
                <w:shd w:fill="C0C0C0" w:val="clear"/>
                <w:lang w:val="ru-RU"/>
              </w:rPr>
              <w:footnoteReference w:id="24"/>
            </w:r>
            <w:r>
              <w:rPr>
                <w:color w:val="000000"/>
                <w:lang w:val="ru-RU"/>
              </w:rPr>
              <w:t xml:space="preserve">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r>
      <w:r>
        <w:br w:type="page"/>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9"/>
          <w:tab w:val="left" w:pos="1134" w:leader="none"/>
        </w:tabs>
        <w:ind w:firstLine="709"/>
        <w:jc w:val="both"/>
        <w:rPr>
          <w:lang w:val="ru-RU"/>
        </w:rPr>
      </w:pPr>
      <w:r>
        <w:rPr>
          <w:lang w:val="ru-RU"/>
        </w:rPr>
      </w:r>
    </w:p>
    <w:p>
      <w:pPr>
        <w:pStyle w:val="Normal"/>
        <w:tabs>
          <w:tab w:val="clear" w:pos="709"/>
          <w:tab w:val="left" w:pos="1134" w:leader="none"/>
        </w:tabs>
        <w:ind w:firstLine="709"/>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rPr>
        <w:footnoteReference w:id="25"/>
      </w:r>
      <w:r>
        <w:rPr>
          <w:lang w:val="ru-RU"/>
        </w:rPr>
        <w:t>, а также соответствовать следующим критериям:</w:t>
      </w:r>
    </w:p>
    <w:p>
      <w:pPr>
        <w:pStyle w:val="Normal"/>
        <w:numPr>
          <w:ilvl w:val="1"/>
          <w:numId w:val="32"/>
        </w:numPr>
        <w:tabs>
          <w:tab w:val="clear" w:pos="709"/>
          <w:tab w:val="left" w:pos="1134" w:leader="none"/>
        </w:tabs>
        <w:ind w:left="0" w:firstLine="710"/>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32"/>
        </w:numPr>
        <w:tabs>
          <w:tab w:val="clear" w:pos="709"/>
          <w:tab w:val="left" w:pos="1134" w:leader="none"/>
        </w:tabs>
        <w:ind w:left="0" w:firstLine="710"/>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w:t>
      </w:r>
      <w:r>
        <w:rPr/>
        <w:t> </w:t>
      </w:r>
      <w:r>
        <w:rPr>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32"/>
        </w:numPr>
        <w:tabs>
          <w:tab w:val="clear" w:pos="709"/>
          <w:tab w:val="left" w:pos="1134" w:leader="none"/>
        </w:tabs>
        <w:ind w:left="0" w:firstLine="710"/>
        <w:jc w:val="both"/>
        <w:rPr>
          <w:lang w:val="ru-RU"/>
        </w:rPr>
      </w:pPr>
      <w:r>
        <w:rPr>
          <w:sz w:val="24"/>
          <w:szCs w:val="24"/>
          <w:lang w:val="ru-RU"/>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lang w:val="ru-RU"/>
        </w:rPr>
        <w:t>, опубликованной в информационно-телекоммуникационной сети «Интернет» (</w:t>
      </w:r>
      <w:hyperlink r:id="rId5">
        <w:r>
          <w:rPr>
            <w:rStyle w:val="Hyperlink"/>
            <w:rFonts w:eastAsia="Times New Roman" w:cs="Times New Roman"/>
            <w:color w:val="auto"/>
            <w:sz w:val="24"/>
            <w:szCs w:val="24"/>
            <w:lang w:val="ru-RU" w:eastAsia="ru-RU" w:bidi="ar-SA"/>
          </w:rPr>
          <w:t>www.cbr.ru</w:t>
        </w:r>
      </w:hyperlink>
      <w:r>
        <w:rPr>
          <w:sz w:val="24"/>
          <w:szCs w:val="24"/>
          <w:lang w:val="ru-RU"/>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lang w:val="ru-RU"/>
        </w:rPr>
        <w:t xml:space="preserve"> Заказчику. </w:t>
      </w:r>
    </w:p>
    <w:p>
      <w:pPr>
        <w:pStyle w:val="Normal"/>
        <w:numPr>
          <w:ilvl w:val="1"/>
          <w:numId w:val="32"/>
        </w:numPr>
        <w:tabs>
          <w:tab w:val="clear" w:pos="709"/>
          <w:tab w:val="left" w:pos="1134" w:leader="none"/>
        </w:tabs>
        <w:ind w:left="0" w:firstLine="710"/>
        <w:jc w:val="both"/>
        <w:rPr>
          <w:lang w:val="ru-RU"/>
        </w:rPr>
      </w:pPr>
      <w:r>
        <w:rPr>
          <w:lang w:val="ru-RU"/>
        </w:rPr>
        <w:t>Иметь кредитный рейтинг по национальной шкале не ниже уровня «</w:t>
      </w:r>
      <w:r>
        <w:rPr/>
        <w:t>BBB</w:t>
      </w:r>
      <w:r>
        <w:rPr>
          <w:lang w:val="ru-RU"/>
        </w:rPr>
        <w:t>» рейтингового агентства АКРА или не ниже уровня «</w:t>
      </w:r>
      <w:r>
        <w:rPr/>
        <w:t>ruBBB</w:t>
      </w:r>
      <w:r>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t>Fitch</w:t>
      </w:r>
      <w:r>
        <w:rPr>
          <w:lang w:val="ru-RU"/>
        </w:rPr>
        <w:t>-</w:t>
      </w:r>
      <w:r>
        <w:rPr/>
        <w:t>Ratings</w:t>
      </w:r>
      <w:r>
        <w:rPr>
          <w:lang w:val="ru-RU"/>
        </w:rPr>
        <w:t>» или «</w:t>
      </w:r>
      <w:r>
        <w:rPr/>
        <w:t>Standard</w:t>
      </w:r>
      <w:r>
        <w:rPr>
          <w:lang w:val="ru-RU"/>
        </w:rPr>
        <w:t xml:space="preserve"> &amp; </w:t>
      </w:r>
      <w:r>
        <w:rPr/>
        <w:t>Poor</w:t>
      </w:r>
      <w:r>
        <w:rPr>
          <w:lang w:val="ru-RU"/>
        </w:rPr>
        <w:t>'</w:t>
      </w:r>
      <w:r>
        <w:rPr/>
        <w:t>s</w:t>
      </w:r>
      <w:r>
        <w:rPr>
          <w:lang w:val="ru-RU"/>
        </w:rPr>
        <w:t>» либо уровня «</w:t>
      </w:r>
      <w:r>
        <w:rPr/>
        <w:t>B</w:t>
      </w:r>
      <w:r>
        <w:rPr>
          <w:lang w:val="ru-RU"/>
        </w:rPr>
        <w:t>а2» по классификации рейтингового агентства «</w:t>
      </w:r>
      <w:r>
        <w:rPr/>
        <w:t>Moody</w:t>
      </w:r>
      <w:r>
        <w:rPr>
          <w:lang w:val="ru-RU"/>
        </w:rPr>
        <w:t>'</w:t>
      </w:r>
      <w:r>
        <w:rPr/>
        <w:t>s</w:t>
      </w:r>
      <w:r>
        <w:rPr>
          <w:lang w:val="ru-RU"/>
        </w:rPr>
        <w:t xml:space="preserve"> </w:t>
      </w:r>
      <w:r>
        <w:rPr/>
        <w:t>Investors</w:t>
      </w:r>
      <w:r>
        <w:rPr>
          <w:lang w:val="ru-RU"/>
        </w:rPr>
        <w:t xml:space="preserve"> </w:t>
      </w:r>
      <w:r>
        <w:rPr/>
        <w:t>Service</w:t>
      </w:r>
      <w:r>
        <w:rPr>
          <w:lang w:val="ru-RU"/>
        </w:rPr>
        <w:t>»</w:t>
      </w:r>
      <w:r>
        <w:rPr>
          <w:rStyle w:val="FootnoteReference"/>
        </w:rPr>
        <w:footnoteReference w:id="26"/>
      </w:r>
      <w:r>
        <w:rPr>
          <w:lang w:val="ru-RU"/>
        </w:rPr>
        <w:t xml:space="preserve">. </w:t>
      </w:r>
    </w:p>
    <w:p>
      <w:pPr>
        <w:pStyle w:val="Normal"/>
        <w:numPr>
          <w:ilvl w:val="1"/>
          <w:numId w:val="32"/>
        </w:numPr>
        <w:tabs>
          <w:tab w:val="clear" w:pos="709"/>
          <w:tab w:val="left" w:pos="1134" w:leader="none"/>
        </w:tabs>
        <w:ind w:left="0" w:firstLine="710"/>
        <w:jc w:val="both"/>
        <w:rPr>
          <w:lang w:val="ru-RU"/>
        </w:rPr>
      </w:pPr>
      <w:r>
        <w:rPr>
          <w:lang w:val="ru-RU"/>
        </w:rPr>
        <w:t>Участвовать в системе обязательного страхования вкладов в банках Российской Федерации в соответствии с Федеральным законом от 23.12.2003 №</w:t>
      </w:r>
      <w:r>
        <w:rPr/>
        <w:t> </w:t>
      </w:r>
      <w:r>
        <w:rPr>
          <w:lang w:val="ru-RU"/>
        </w:rPr>
        <w:t>177-ФЗ «О страховании вкладов в банках Российской Федерации»</w:t>
      </w:r>
      <w:r>
        <w:rPr>
          <w:rStyle w:val="FootnoteReference"/>
        </w:rPr>
        <w:footnoteReference w:id="27"/>
      </w:r>
      <w:r>
        <w:rPr>
          <w:lang w:val="ru-RU"/>
        </w:rPr>
        <w:t>.</w:t>
      </w:r>
    </w:p>
    <w:p>
      <w:pPr>
        <w:pStyle w:val="Normal"/>
        <w:numPr>
          <w:ilvl w:val="1"/>
          <w:numId w:val="32"/>
        </w:numPr>
        <w:tabs>
          <w:tab w:val="clear" w:pos="709"/>
          <w:tab w:val="left" w:pos="1134" w:leader="none"/>
        </w:tabs>
        <w:ind w:left="0" w:firstLine="710"/>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t>http</w:t>
      </w:r>
      <w:r>
        <w:rPr>
          <w:lang w:val="ru-RU"/>
        </w:rPr>
        <w:t>://</w:t>
      </w:r>
      <w:r>
        <w:rPr/>
        <w:t>www</w:t>
      </w:r>
      <w:r>
        <w:rPr>
          <w:lang w:val="ru-RU"/>
        </w:rPr>
        <w:t>.</w:t>
      </w:r>
      <w:r>
        <w:rPr/>
        <w:t>asv</w:t>
      </w:r>
      <w:r>
        <w:rPr>
          <w:lang w:val="ru-RU"/>
        </w:rPr>
        <w:t>.</w:t>
      </w:r>
      <w:r>
        <w:rPr/>
        <w:t>org</w:t>
      </w:r>
      <w:r>
        <w:rPr>
          <w:lang w:val="ru-RU"/>
        </w:rPr>
        <w:t>.</w:t>
      </w:r>
      <w:r>
        <w:rPr/>
        <w:t>ru</w:t>
      </w:r>
      <w:r>
        <w:rPr>
          <w:lang w:val="ru-RU"/>
        </w:rPr>
        <w:t>))».</w:t>
      </w:r>
    </w:p>
    <w:p>
      <w:pPr>
        <w:pStyle w:val="Normal"/>
        <w:numPr>
          <w:ilvl w:val="1"/>
          <w:numId w:val="32"/>
        </w:numPr>
        <w:tabs>
          <w:tab w:val="clear" w:pos="709"/>
          <w:tab w:val="left" w:pos="1134" w:leader="none"/>
        </w:tabs>
        <w:ind w:left="0" w:firstLine="710"/>
        <w:jc w:val="both"/>
        <w:rPr>
          <w:lang w:val="ru-RU"/>
        </w:rPr>
      </w:pPr>
      <w:r>
        <w:rPr>
          <w:lang w:val="ru-RU"/>
        </w:rPr>
        <w:t>Не иметь просроченную задолженность перед Обществом и компаниями Группы РусГидро.</w:t>
      </w:r>
    </w:p>
    <w:p>
      <w:pPr>
        <w:pStyle w:val="Normal"/>
        <w:numPr>
          <w:ilvl w:val="1"/>
          <w:numId w:val="32"/>
        </w:numPr>
        <w:tabs>
          <w:tab w:val="clear" w:pos="709"/>
          <w:tab w:val="left" w:pos="1134" w:leader="none"/>
        </w:tabs>
        <w:ind w:left="0" w:firstLine="710"/>
        <w:jc w:val="both"/>
        <w:rPr>
          <w:lang w:val="ru-RU"/>
        </w:rPr>
      </w:pPr>
      <w:r>
        <w:rPr>
          <w:lang w:val="ru-RU"/>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rPr>
        <w:footnoteReference w:id="28"/>
      </w:r>
      <w:r>
        <w:rPr>
          <w:lang w:val="ru-RU"/>
        </w:rPr>
        <w:t>.</w:t>
      </w:r>
    </w:p>
    <w:p>
      <w:pPr>
        <w:pStyle w:val="Normal"/>
        <w:numPr>
          <w:ilvl w:val="1"/>
          <w:numId w:val="32"/>
        </w:numPr>
        <w:tabs>
          <w:tab w:val="clear" w:pos="709"/>
          <w:tab w:val="left" w:pos="1134" w:leader="none"/>
        </w:tabs>
        <w:ind w:left="0" w:firstLine="710"/>
        <w:jc w:val="both"/>
        <w:rPr>
          <w:lang w:val="ru-RU"/>
        </w:rPr>
      </w:pPr>
      <w:r>
        <w:rPr>
          <w:lang w:val="ru-RU"/>
        </w:rPr>
        <w:t>Требования, установленные пунктами 2 – 4 настоящих Критериев, не распространяются на кредитные организации:</w:t>
      </w:r>
    </w:p>
    <w:p>
      <w:pPr>
        <w:pStyle w:val="Normal"/>
        <w:numPr>
          <w:ilvl w:val="1"/>
          <w:numId w:val="33"/>
        </w:numPr>
        <w:tabs>
          <w:tab w:val="clear" w:pos="709"/>
          <w:tab w:val="left" w:pos="1134" w:leader="none"/>
        </w:tabs>
        <w:ind w:left="0" w:firstLine="709"/>
        <w:jc w:val="both"/>
        <w:rPr>
          <w:lang w:val="ru-RU"/>
        </w:rPr>
      </w:pPr>
      <w:r>
        <w:rPr>
          <w:lang w:val="ru-RU"/>
        </w:rPr>
        <w:t xml:space="preserve"> </w:t>
      </w: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33"/>
        </w:numPr>
        <w:tabs>
          <w:tab w:val="clear" w:pos="709"/>
          <w:tab w:val="left" w:pos="1134" w:leader="none"/>
        </w:tabs>
        <w:ind w:left="0" w:firstLine="709"/>
        <w:jc w:val="both"/>
        <w:rPr>
          <w:lang w:val="ru-RU"/>
        </w:rPr>
      </w:pPr>
      <w:r>
        <w:rPr>
          <w:lang w:val="ru-RU"/>
        </w:rPr>
        <w:t xml:space="preserve"> </w:t>
      </w: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33"/>
        </w:numPr>
        <w:tabs>
          <w:tab w:val="clear" w:pos="709"/>
          <w:tab w:val="left" w:pos="1134" w:leader="none"/>
        </w:tabs>
        <w:ind w:left="0" w:firstLine="709"/>
        <w:jc w:val="both"/>
        <w:rPr>
          <w:lang w:val="ru-RU"/>
        </w:rPr>
      </w:pPr>
      <w:r>
        <w:rPr>
          <w:lang w:val="ru-RU"/>
        </w:rPr>
        <w:t xml:space="preserve"> </w:t>
      </w:r>
      <w:r>
        <w:rPr>
          <w:lang w:val="ru-RU"/>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33"/>
        </w:numPr>
        <w:tabs>
          <w:tab w:val="clear" w:pos="709"/>
          <w:tab w:val="left" w:pos="1134" w:leader="none"/>
        </w:tabs>
        <w:ind w:left="0" w:firstLine="709"/>
        <w:jc w:val="both"/>
        <w:rPr/>
      </w:pPr>
      <w:r>
        <w:rPr>
          <w:lang w:val="ru-RU"/>
        </w:rPr>
        <w:t xml:space="preserve"> </w:t>
      </w:r>
      <w:r>
        <w:rPr/>
        <w:t>ВЭБ.РФ.</w:t>
      </w:r>
    </w:p>
    <w:p>
      <w:pPr>
        <w:pStyle w:val="Normal"/>
        <w:numPr>
          <w:ilvl w:val="1"/>
          <w:numId w:val="33"/>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numPr>
          <w:ilvl w:val="1"/>
          <w:numId w:val="32"/>
        </w:numPr>
        <w:tabs>
          <w:tab w:val="clear" w:pos="709"/>
          <w:tab w:val="left" w:pos="1134" w:leader="none"/>
        </w:tabs>
        <w:ind w:left="0" w:firstLine="710"/>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9"/>
          <w:tab w:val="left" w:pos="1134" w:leader="none"/>
        </w:tabs>
        <w:ind w:left="0" w:firstLine="710"/>
        <w:jc w:val="both"/>
        <w:rPr>
          <w:lang w:val="ru-RU"/>
        </w:rPr>
      </w:pPr>
      <w:r>
        <w:rPr>
          <w:lang w:val="ru-RU"/>
        </w:rPr>
      </w:r>
    </w:p>
    <w:p>
      <w:pPr>
        <w:pStyle w:val="Normal"/>
        <w:tabs>
          <w:tab w:val="clear" w:pos="709"/>
          <w:tab w:val="left" w:pos="1134" w:leader="none"/>
        </w:tabs>
        <w:ind w:firstLine="709"/>
        <w:jc w:val="center"/>
        <w:rPr/>
      </w:pPr>
      <w:r>
        <w:rPr>
          <w:b/>
          <w:i/>
        </w:rPr>
        <w:t>Lim</w:t>
      </w:r>
      <w:r>
        <w:rPr>
          <w:b/>
          <w:i/>
          <w:vertAlign w:val="subscript"/>
        </w:rPr>
        <w:t>Ai</w:t>
      </w:r>
      <w:r>
        <w:rPr>
          <w:b/>
          <w:i/>
        </w:rPr>
        <w:t xml:space="preserve">  = r</w:t>
      </w:r>
      <w:r>
        <w:rPr>
          <w:b/>
          <w:i/>
          <w:vertAlign w:val="subscript"/>
        </w:rPr>
        <w:t>i</w:t>
      </w:r>
      <w:r>
        <w:rPr>
          <w:b/>
          <w:i/>
        </w:rPr>
        <w:t xml:space="preserve"> × СK</w:t>
      </w:r>
      <w:r>
        <w:rPr>
          <w:b/>
          <w:i/>
          <w:vertAlign w:val="subscript"/>
        </w:rPr>
        <w:t>i</w:t>
      </w:r>
      <w:r>
        <w:rPr/>
        <w:t>, где</w:t>
      </w:r>
    </w:p>
    <w:p>
      <w:pPr>
        <w:pStyle w:val="Normal"/>
        <w:tabs>
          <w:tab w:val="clear" w:pos="709"/>
          <w:tab w:val="left" w:pos="1134" w:leader="none"/>
        </w:tabs>
        <w:ind w:firstLine="709"/>
        <w:jc w:val="center"/>
        <w:rPr/>
      </w:pPr>
      <w:r>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29"/>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993"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tru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30"/>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9"/>
          <w:tab w:val="left" w:pos="1134" w:leader="none"/>
        </w:tabs>
        <w:ind w:firstLine="709"/>
        <w:jc w:val="center"/>
        <w:rPr/>
      </w:pPr>
      <w:r>
        <w:rPr/>
      </w:r>
    </w:p>
    <w:p>
      <w:pPr>
        <w:pStyle w:val="Normal"/>
        <w:tabs>
          <w:tab w:val="clear" w:pos="709"/>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7"/>
          <w:headerReference w:type="first" r:id="rId8"/>
          <w:footerReference w:type="default" r:id="rId9"/>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62"/>
        <w:gridCol w:w="781"/>
        <w:gridCol w:w="1149"/>
        <w:gridCol w:w="1377"/>
        <w:gridCol w:w="2338"/>
        <w:gridCol w:w="2886"/>
        <w:gridCol w:w="2752"/>
        <w:gridCol w:w="976"/>
        <w:gridCol w:w="2046"/>
      </w:tblGrid>
      <w:tr>
        <w:trPr>
          <w:trHeight w:val="1327"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w:t>
            </w:r>
            <w:r>
              <w:rPr>
                <w:bCs/>
                <w:sz w:val="16"/>
                <w:szCs w:val="16"/>
                <w:lang w:val="ru-RU"/>
              </w:rPr>
              <w:t xml:space="preserve">Если договором предусмотрена поставка товара, предусмотренного 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 </w:t>
            </w:r>
            <w:r>
              <w:rPr>
                <w:sz w:val="16"/>
                <w:szCs w:val="16"/>
                <w:lang w:val="ru-RU"/>
              </w:rPr>
              <w:t>)</w:t>
            </w:r>
          </w:p>
        </w:tc>
        <w:tc>
          <w:tcPr>
            <w:tcW w:w="28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0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0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391"/>
        <w:gridCol w:w="1663"/>
        <w:gridCol w:w="1111"/>
        <w:gridCol w:w="1110"/>
        <w:gridCol w:w="1250"/>
        <w:gridCol w:w="2080"/>
        <w:gridCol w:w="1805"/>
        <w:gridCol w:w="1250"/>
        <w:gridCol w:w="2907"/>
      </w:tblGrid>
      <w:tr>
        <w:trPr>
          <w:trHeight w:val="1289" w:hRule="atLeast"/>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31"/>
              <w:t></w:t>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451"/>
        <w:gridCol w:w="1746"/>
        <w:gridCol w:w="1164"/>
        <w:gridCol w:w="1163"/>
        <w:gridCol w:w="1310"/>
        <w:gridCol w:w="1162"/>
        <w:gridCol w:w="1891"/>
        <w:gridCol w:w="1019"/>
        <w:gridCol w:w="1164"/>
        <w:gridCol w:w="871"/>
        <w:gridCol w:w="727"/>
        <w:gridCol w:w="900"/>
      </w:tblGrid>
      <w:tr>
        <w:trPr>
          <w:trHeight w:val="566"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1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sectPr>
          <w:headerReference w:type="default" r:id="rId10"/>
          <w:headerReference w:type="first" r:id="rId11"/>
          <w:footerReference w:type="default" r:id="rId12"/>
          <w:footerReference w:type="first" r:id="rId13"/>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pPr>
    </w:p>
    <w:p>
      <w:pPr>
        <w:pStyle w:val="Normal"/>
        <w:ind w:firstLine="709"/>
        <w:jc w:val="right"/>
        <w:rPr>
          <w:sz w:val="22"/>
          <w:szCs w:val="22"/>
          <w:lang w:val="ru-RU"/>
        </w:rPr>
      </w:pPr>
      <w:r>
        <w:rPr>
          <w:sz w:val="22"/>
          <w:szCs w:val="22"/>
          <w:lang w:val="ru-RU"/>
        </w:rPr>
        <w:t>Приложение № 8</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center"/>
        <w:rPr>
          <w:lang w:val="ru-RU"/>
        </w:rPr>
      </w:pPr>
      <w:r>
        <w:rPr>
          <w:lang w:val="ru-RU"/>
        </w:rPr>
      </w:r>
    </w:p>
    <w:p>
      <w:pPr>
        <w:pStyle w:val="Normal"/>
        <w:spacing w:before="20" w:after="20"/>
        <w:ind w:firstLine="709"/>
        <w:jc w:val="center"/>
        <w:rPr>
          <w:lang w:val="ru-RU"/>
        </w:rPr>
      </w:pPr>
      <w:bookmarkStart w:id="22" w:name="_Toc122678954_Копия_5"/>
      <w:r>
        <w:rPr>
          <w:b/>
          <w:sz w:val="24"/>
          <w:szCs w:val="24"/>
          <w:lang w:val="ru-RU"/>
        </w:rPr>
        <w:t>Методика расчета упущенной выгоды (выручки)</w:t>
      </w:r>
      <w:bookmarkEnd w:id="22"/>
      <w:r>
        <w:rPr>
          <w:b/>
          <w:sz w:val="24"/>
          <w:szCs w:val="24"/>
          <w:lang w:val="ru-RU"/>
        </w:rPr>
        <w:t xml:space="preserve"> </w:t>
      </w:r>
    </w:p>
    <w:p>
      <w:pPr>
        <w:pStyle w:val="Normal"/>
        <w:spacing w:before="20" w:after="20"/>
        <w:ind w:firstLine="709"/>
        <w:jc w:val="center"/>
        <w:rPr>
          <w:lang w:val="ru-RU"/>
        </w:rPr>
      </w:pPr>
      <w:r>
        <w:rPr>
          <w:b/>
          <w:sz w:val="24"/>
          <w:szCs w:val="24"/>
        </w:rPr>
        <w:t>и дополнительных обязательств участника ОРЭМ от недопоставки электрической энергии и мощности на ОРЭМ в</w:t>
      </w:r>
      <w:r>
        <w:rPr>
          <w:rFonts w:eastAsia="Times New Roman" w:cs="Times New Roman"/>
          <w:b/>
          <w:color w:val="auto"/>
          <w:kern w:val="0"/>
          <w:sz w:val="24"/>
          <w:szCs w:val="24"/>
          <w:lang w:val="ru-RU" w:eastAsia="ru-RU" w:bidi="ar-SA"/>
        </w:rPr>
        <w:t xml:space="preserve"> отдельной территории ценовой зоны оптового рынка, ранее относившейся к</w:t>
      </w:r>
      <w:r>
        <w:rPr>
          <w:b/>
          <w:sz w:val="24"/>
          <w:szCs w:val="24"/>
        </w:rPr>
        <w:t> неценовой зоне отпового рынка Дальнего Востока</w:t>
      </w:r>
    </w:p>
    <w:p>
      <w:pPr>
        <w:pStyle w:val="Normal"/>
        <w:spacing w:before="20" w:after="20"/>
        <w:ind w:firstLine="709"/>
        <w:jc w:val="center"/>
        <w:rPr>
          <w:lang w:val="ru-RU"/>
        </w:rPr>
      </w:pPr>
      <w:r>
        <w:rPr>
          <w:lang w:val="ru-RU"/>
        </w:rPr>
      </w:r>
    </w:p>
    <w:p>
      <w:pPr>
        <w:pStyle w:val="Normal"/>
        <w:ind w:firstLine="709"/>
        <w:jc w:val="both"/>
        <w:rPr>
          <w:lang w:val="ru-RU"/>
        </w:rPr>
      </w:pPr>
      <w:r>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pPr>
        <w:pStyle w:val="Normal"/>
        <w:ind w:firstLine="709"/>
        <w:jc w:val="both"/>
        <w:rPr>
          <w:lang w:val="ru-RU"/>
        </w:rPr>
      </w:pPr>
      <w:r>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pPr>
        <w:pStyle w:val="Normal"/>
        <w:spacing w:before="20" w:after="20"/>
        <w:ind w:firstLine="709"/>
        <w:jc w:val="both"/>
        <w:rPr>
          <w:lang w:val="ru-RU"/>
        </w:rPr>
      </w:pPr>
      <w:r>
        <w:rPr>
          <w:lang w:val="ru-RU"/>
        </w:rPr>
        <w:t xml:space="preserve"> </w:t>
      </w:r>
      <w:r>
        <w:rPr>
          <w:lang w:val="ru-RU"/>
        </w:rPr>
        <w:t xml:space="preserve">В заявках должны быть указаны: </w:t>
      </w:r>
    </w:p>
    <w:p>
      <w:pPr>
        <w:pStyle w:val="Normal"/>
        <w:numPr>
          <w:ilvl w:val="0"/>
          <w:numId w:val="34"/>
        </w:numPr>
        <w:ind w:left="0" w:firstLine="709"/>
        <w:jc w:val="both"/>
        <w:rPr>
          <w:bCs/>
        </w:rPr>
      </w:pPr>
      <w:r>
        <w:rPr>
          <w:bCs/>
        </w:rPr>
        <w:t>номер заявки;</w:t>
      </w:r>
    </w:p>
    <w:p>
      <w:pPr>
        <w:pStyle w:val="Normal"/>
        <w:numPr>
          <w:ilvl w:val="0"/>
          <w:numId w:val="34"/>
        </w:numPr>
        <w:ind w:left="0" w:firstLine="709"/>
        <w:jc w:val="both"/>
        <w:rPr>
          <w:bCs/>
        </w:rPr>
      </w:pPr>
      <w:r>
        <w:rPr>
          <w:bCs/>
        </w:rPr>
        <w:t>подающее предприятие;</w:t>
      </w:r>
    </w:p>
    <w:p>
      <w:pPr>
        <w:pStyle w:val="Normal"/>
        <w:numPr>
          <w:ilvl w:val="0"/>
          <w:numId w:val="34"/>
        </w:numPr>
        <w:ind w:left="0" w:firstLine="709"/>
        <w:jc w:val="both"/>
        <w:rPr>
          <w:bCs/>
          <w:lang w:val="ru-RU"/>
        </w:rPr>
      </w:pPr>
      <w:r>
        <w:rPr>
          <w:bCs/>
          <w:lang w:val="ru-RU"/>
        </w:rPr>
        <w:t>оборудование, по которому фиксируется изменение эксплуатационного состояния или технологического режима работы;</w:t>
      </w:r>
    </w:p>
    <w:p>
      <w:pPr>
        <w:pStyle w:val="Normal"/>
        <w:numPr>
          <w:ilvl w:val="0"/>
          <w:numId w:val="34"/>
        </w:numPr>
        <w:ind w:left="0" w:firstLine="709"/>
        <w:jc w:val="both"/>
        <w:rPr>
          <w:bCs/>
        </w:rPr>
      </w:pPr>
      <w:r>
        <w:rPr>
          <w:bCs/>
        </w:rPr>
        <w:t>величина снижения максимальной мощности;</w:t>
      </w:r>
    </w:p>
    <w:p>
      <w:pPr>
        <w:pStyle w:val="Normal"/>
        <w:numPr>
          <w:ilvl w:val="0"/>
          <w:numId w:val="34"/>
        </w:numPr>
        <w:ind w:left="0" w:firstLine="709"/>
        <w:jc w:val="both"/>
        <w:rPr>
          <w:bCs/>
        </w:rPr>
      </w:pPr>
      <w:r>
        <w:rPr>
          <w:bCs/>
        </w:rPr>
        <w:t>содержание работ;</w:t>
      </w:r>
    </w:p>
    <w:p>
      <w:pPr>
        <w:pStyle w:val="Normal"/>
        <w:numPr>
          <w:ilvl w:val="0"/>
          <w:numId w:val="34"/>
        </w:numPr>
        <w:ind w:left="0" w:firstLine="709"/>
        <w:jc w:val="both"/>
        <w:rPr>
          <w:bCs/>
        </w:rPr>
      </w:pPr>
      <w:r>
        <w:rPr>
          <w:bCs/>
        </w:rPr>
        <w:t>время подачи заявки;</w:t>
      </w:r>
    </w:p>
    <w:p>
      <w:pPr>
        <w:pStyle w:val="Normal"/>
        <w:numPr>
          <w:ilvl w:val="0"/>
          <w:numId w:val="34"/>
        </w:numPr>
        <w:ind w:left="0" w:firstLine="709"/>
        <w:jc w:val="both"/>
        <w:rPr>
          <w:bCs/>
          <w:lang w:val="ru-RU"/>
        </w:rPr>
      </w:pPr>
      <w:r>
        <w:rPr>
          <w:bCs/>
          <w:lang w:val="ru-RU"/>
        </w:rPr>
        <w:t>время начала и конца действия заявки и др.</w:t>
      </w:r>
    </w:p>
    <w:p>
      <w:pPr>
        <w:pStyle w:val="Normal"/>
        <w:spacing w:before="120" w:after="20"/>
        <w:ind w:firstLine="709"/>
        <w:jc w:val="both"/>
        <w:rPr>
          <w:lang w:val="ru-RU"/>
        </w:rPr>
      </w:pPr>
      <w:r>
        <w:rPr>
          <w:lang w:val="ru-RU"/>
        </w:rPr>
        <w:t>2.</w:t>
        <w:tab/>
      </w:r>
      <w:r>
        <w:rPr>
          <w:sz w:val="24"/>
          <w:szCs w:val="24"/>
          <w:lang w:val="ru-RU"/>
        </w:rPr>
        <w:t xml:space="preserve">Данные о параметрах готовности генерирующего оборудования (ГРМ), а также информация о фактической нагрузке по данным СОТИАССО на конец каждого часа отчетного месяца по ГТП, сформированные Системным Оператором  соответствии с п. 6.  «Технических требований к генерирующему оборудованию участников оптового рынка», п. 5. </w:t>
      </w:r>
      <w:r>
        <w:rPr>
          <w:rFonts w:eastAsia="Times New Roman" w:cs="Times New Roman"/>
          <w:color w:val="auto"/>
          <w:kern w:val="0"/>
          <w:sz w:val="24"/>
          <w:szCs w:val="24"/>
          <w:lang w:val="ru-RU" w:eastAsia="ru-RU" w:bidi="ar-SA"/>
        </w:rPr>
        <w:t>«</w:t>
      </w:r>
      <w:r>
        <w:rPr>
          <w:sz w:val="24"/>
          <w:szCs w:val="24"/>
          <w:lang w:val="ru-RU"/>
        </w:rPr>
        <w:t>Порядка установления соответствия генерирующего оборудования участников оптового рынка техническим требованиям</w:t>
      </w:r>
      <w:r>
        <w:rPr>
          <w:rFonts w:eastAsia="Times New Roman" w:cs="Times New Roman"/>
          <w:color w:val="auto"/>
          <w:kern w:val="0"/>
          <w:sz w:val="24"/>
          <w:szCs w:val="24"/>
          <w:lang w:val="ru-RU" w:eastAsia="ru-RU" w:bidi="ar-SA"/>
        </w:rPr>
        <w:t>»</w:t>
      </w:r>
      <w:r>
        <w:rPr>
          <w:sz w:val="24"/>
          <w:szCs w:val="24"/>
          <w:lang w:val="ru-RU"/>
        </w:rPr>
        <w:t xml:space="preserve"> и пп. 3.4.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r>
        <w:rPr/>
      </w:r>
      <m:oMath xmlns:m="http://schemas.openxmlformats.org/officeDocument/2006/math"/>
      <w:r>
        <w:rPr>
          <w:rFonts w:eastAsia="Times New Roman" w:cs="Times New Roman"/>
          <w:sz w:val="24"/>
          <w:szCs w:val="24"/>
          <w:lang w:val="ru-RU"/>
        </w:rPr>
        <w:t xml:space="preserve"> </w:t>
      </w:r>
    </w:p>
    <w:p>
      <w:pPr>
        <w:pStyle w:val="Normal"/>
        <w:spacing w:lineRule="auto" w:line="240" w:before="20" w:after="20"/>
        <w:ind w:firstLine="709"/>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m:t>
                </m:r>
              </m:sub>
              <m:sup>
                <m:r>
                  <w:rPr>
                    <w:rFonts w:ascii="Cambria Math" w:hAnsi="Cambria Math"/>
                  </w:rPr>
                  <m:t xml:space="preserve">1</m:t>
                </m:r>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 xml:space="preserve">величина согласованных ограничений установленной мощности в пределах, заявленных по процедуре конкурентного отбора мощности (КОМ); </w:t>
      </w:r>
    </w:p>
    <w:p>
      <w:pPr>
        <w:pStyle w:val="Normal"/>
        <w:spacing w:lineRule="auto" w:line="276" w:before="120" w:after="20"/>
        <w:ind w:firstLine="709"/>
        <w:jc w:val="both"/>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m:t>
                </m:r>
              </m:sub>
              <m:sup>
                <m:r>
                  <w:rPr>
                    <w:rFonts w:ascii="Cambria Math" w:hAnsi="Cambria Math"/>
                  </w:rPr>
                  <m:t xml:space="preserve">2</m:t>
                </m:r>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согласованных ограничений установленной мощности сверх, заявленных в КОМ;</w:t>
      </w:r>
    </w:p>
    <w:p>
      <w:pPr>
        <w:pStyle w:val="Normal"/>
        <w:spacing w:lineRule="auto" w:line="276" w:before="20" w:after="20"/>
        <w:ind w:firstLine="709"/>
        <w:jc w:val="both"/>
        <w:rPr>
          <w:sz w:val="24"/>
          <w:szCs w:val="24"/>
        </w:rPr>
      </w:pPr>
      <w:r>
        <w:rPr/>
        <w:drawing>
          <wp:inline distT="0" distB="0" distL="0" distR="0">
            <wp:extent cx="323850" cy="21907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14"/>
                    <a:srcRect l="-222" t="-329" r="-222" b="-329"/>
                    <a:stretch>
                      <a:fillRect/>
                    </a:stretch>
                  </pic:blipFill>
                  <pic:spPr bwMode="auto">
                    <a:xfrm>
                      <a:off x="0" y="0"/>
                      <a:ext cx="323850" cy="21907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согласованного планового ремонтного снижения мощности;</w:t>
      </w:r>
    </w:p>
    <w:p>
      <w:pPr>
        <w:pStyle w:val="Normal"/>
        <w:spacing w:lineRule="auto" w:line="276" w:before="20" w:after="20"/>
        <w:ind w:firstLine="709"/>
        <w:jc w:val="both"/>
        <w:rPr>
          <w:sz w:val="24"/>
          <w:szCs w:val="24"/>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,h</m:t>
            </m:r>
          </m:sub>
          <m:sup>
            <m:r>
              <w:rPr>
                <w:rFonts w:ascii="Cambria Math" w:hAnsi="Cambria Math"/>
              </w:rPr>
              <m:t xml:space="preserve">j</m:t>
            </m:r>
          </m:sup>
        </m:sSub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плановое ремонтное снижение мощности, обусловленное проведением ремонта длительностью более 180 (сто восьмидесяти) суток для ТЭС в год;</w:t>
      </w:r>
    </w:p>
    <w:p>
      <w:pPr>
        <w:pStyle w:val="Normal"/>
        <w:spacing w:lineRule="auto" w:line="276" w:before="20" w:after="20"/>
        <w:ind w:firstLine="709"/>
        <w:jc w:val="both"/>
        <w:rPr>
          <w:sz w:val="24"/>
          <w:szCs w:val="24"/>
        </w:rPr>
      </w:pPr>
      <w:r>
        <w:rPr/>
      </w:r>
      <m:oMath xmlns:m="http://schemas.openxmlformats.org/officeDocument/2006/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итоговое значение согласованного планового ремонтного снижения располагаемой мощности;</w:t>
      </w:r>
    </w:p>
    <w:p>
      <w:pPr>
        <w:pStyle w:val="Normal"/>
        <w:spacing w:lineRule="auto" w:line="276" w:before="20" w:after="20"/>
        <w:ind w:firstLine="709"/>
        <w:jc w:val="both"/>
        <w:rPr>
          <w:sz w:val="24"/>
          <w:szCs w:val="24"/>
        </w:rPr>
      </w:pPr>
      <w:r>
        <w:rPr>
          <w:rFonts w:eastAsia="Times New Roman" w:cs="Times New Roman"/>
          <w:sz w:val="24"/>
          <w:szCs w:val="24"/>
        </w:rPr>
        <w:t xml:space="preserve"> </w:t>
      </w:r>
      <w:r>
        <w:rPr/>
      </w:r>
      <m:oMath xmlns:m="http://schemas.openxmlformats.org/officeDocument/2006/math">
        <m:sSubSup>
          <m:e>
            <m:r>
              <w:rPr>
                <w:rFonts w:ascii="Cambria Math" w:hAnsi="Cambria Math"/>
              </w:rPr>
              <m:t xml:space="preserve">∆</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r>
              <m:rPr>
                <m:lit/>
                <m:nor/>
              </m:rPr>
              <w:rPr>
                <w:rFonts w:ascii="Cambria Math" w:hAnsi="Cambria Math"/>
              </w:rPr>
              <m:t xml:space="preserve">,h</m:t>
            </m:r>
          </m:sub>
          <m:sup>
            <m:r>
              <w:rPr>
                <w:rFonts w:ascii="Cambria Math" w:hAnsi="Cambria Math"/>
              </w:rPr>
              <m:t xml:space="preserve">j</m:t>
            </m:r>
          </m:sup>
        </m:sSub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плановое ремонтное снижение мощности по модернизируемым генерирующим объектом вне установленных сроков;</w:t>
      </w:r>
    </w:p>
    <w:p>
      <w:pPr>
        <w:pStyle w:val="Normal"/>
        <w:spacing w:lineRule="auto" w:line="276" w:before="20" w:after="20"/>
        <w:ind w:firstLine="709"/>
        <w:jc w:val="both"/>
        <w:rPr>
          <w:sz w:val="24"/>
          <w:szCs w:val="24"/>
        </w:rPr>
      </w:pPr>
      <w:r>
        <w:rPr/>
        <w:drawing>
          <wp:inline distT="0" distB="0" distL="0" distR="0">
            <wp:extent cx="545465" cy="273050"/>
            <wp:effectExtent l="0" t="0" r="0" b="0"/>
            <wp:docPr id="2"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descr=""/>
                    <pic:cNvPicPr>
                      <a:picLocks noChangeAspect="1" noChangeArrowheads="1"/>
                    </pic:cNvPicPr>
                  </pic:nvPicPr>
                  <pic:blipFill>
                    <a:blip r:embed="rId15"/>
                    <a:stretch>
                      <a:fillRect/>
                    </a:stretch>
                  </pic:blipFill>
                  <pic:spPr bwMode="auto">
                    <a:xfrm>
                      <a:off x="0" y="0"/>
                      <a:ext cx="545465" cy="27305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для часов с порядковыми номерами от 120;</w:t>
      </w:r>
    </w:p>
    <w:p>
      <w:pPr>
        <w:pStyle w:val="Normal"/>
        <w:spacing w:lineRule="auto" w:line="276" w:before="20" w:after="20"/>
        <w:ind w:firstLine="709"/>
        <w:jc w:val="both"/>
        <w:rPr>
          <w:sz w:val="24"/>
          <w:szCs w:val="24"/>
        </w:rPr>
      </w:pPr>
      <w:r>
        <w:rPr/>
        <w:drawing>
          <wp:inline distT="0" distB="0" distL="0" distR="0">
            <wp:extent cx="524510" cy="266065"/>
            <wp:effectExtent l="0" t="0" r="0" b="0"/>
            <wp:docPr id="3"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4" descr=""/>
                    <pic:cNvPicPr>
                      <a:picLocks noChangeAspect="1" noChangeArrowheads="1"/>
                    </pic:cNvPicPr>
                  </pic:nvPicPr>
                  <pic:blipFill>
                    <a:blip r:embed="rId16"/>
                    <a:stretch>
                      <a:fillRect/>
                    </a:stretch>
                  </pic:blipFill>
                  <pic:spPr bwMode="auto">
                    <a:xfrm>
                      <a:off x="0" y="0"/>
                      <a:ext cx="524510" cy="26606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заявленное в уведомлении о составе и параметрах оборудования, поданного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pPr>
        <w:pStyle w:val="Normal"/>
        <w:spacing w:lineRule="auto" w:line="276" w:before="20" w:after="20"/>
        <w:ind w:firstLine="709"/>
        <w:jc w:val="both"/>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m:rPr>
                    <m:lit/>
                    <m:nor/>
                  </m:rPr>
                  <w:rPr>
                    <w:rFonts w:ascii="Cambria Math" w:hAnsi="Cambria Math"/>
                  </w:rPr>
                  <m:t xml:space="preserve">2_max,</m:t>
                </m:r>
                <m:r>
                  <w:rPr>
                    <w:rFonts w:ascii="Cambria Math" w:hAnsi="Cambria Math"/>
                  </w:rPr>
                  <m:t xml:space="preserve">h</m:t>
                </m:r>
              </m:sub>
              <m:sup>
                <m:r>
                  <w:rPr>
                    <w:rFonts w:ascii="Cambria Math" w:hAnsi="Cambria Math"/>
                  </w:rPr>
                  <m:t xml:space="preserve">1</m:t>
                </m:r>
                <m:d>
                  <m:dPr>
                    <m:begChr m:val="("/>
                    <m:endChr m:val=")"/>
                  </m:dPr>
                  <m:e>
                    <m:r>
                      <m:rPr>
                        <m:lit/>
                        <m:nor/>
                      </m:rPr>
                      <w:rPr>
                        <w:rFonts w:ascii="Cambria Math" w:hAnsi="Cambria Math"/>
                      </w:rPr>
                      <m:t xml:space="preserve">120</m:t>
                    </m:r>
                  </m:e>
                </m:d>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в уведомлении о составе и параметрах оборудования, поданном в отношении суток Х+2 (уведомление ВСВГО), для часов с порядковыми номерами от 1 до 120;</w:t>
      </w:r>
    </w:p>
    <w:p>
      <w:pPr>
        <w:pStyle w:val="Normal"/>
        <w:spacing w:lineRule="auto" w:line="276" w:before="20" w:after="20"/>
        <w:ind w:firstLine="709"/>
        <w:jc w:val="both"/>
        <w:rPr>
          <w:sz w:val="24"/>
          <w:szCs w:val="24"/>
        </w:rPr>
      </w:pPr>
      <w:r>
        <w:rPr/>
        <w:drawing>
          <wp:inline distT="0" distB="0" distL="0" distR="0">
            <wp:extent cx="532130" cy="272415"/>
            <wp:effectExtent l="0" t="0" r="0" b="0"/>
            <wp:docPr id="4"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5" descr=""/>
                    <pic:cNvPicPr>
                      <a:picLocks noChangeAspect="1" noChangeArrowheads="1"/>
                    </pic:cNvPicPr>
                  </pic:nvPicPr>
                  <pic:blipFill>
                    <a:blip r:embed="rId17"/>
                    <a:stretch>
                      <a:fillRect/>
                    </a:stretch>
                  </pic:blipFill>
                  <pic:spPr bwMode="auto">
                    <a:xfrm>
                      <a:off x="0" y="0"/>
                      <a:ext cx="532130" cy="27241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 xml:space="preserve">снижение мощности ГТП генерации фиксируемое на основании данных, заявляемых участником ОРЭ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(уведомлениях РСВ) в уведомлении о составе и параметрах оборудования и разрешенных внеплановых заявках на снижение максимальной мощности; </w:t>
      </w:r>
    </w:p>
    <w:p>
      <w:pPr>
        <w:pStyle w:val="Normal"/>
        <w:spacing w:lineRule="auto" w:line="276" w:before="20" w:after="20"/>
        <w:ind w:firstLine="709"/>
        <w:jc w:val="both"/>
        <w:rPr>
          <w:sz w:val="24"/>
          <w:szCs w:val="24"/>
        </w:rPr>
      </w:pPr>
      <w:r>
        <w:rPr/>
        <w:drawing>
          <wp:inline distT="0" distB="0" distL="0" distR="0">
            <wp:extent cx="526415" cy="262890"/>
            <wp:effectExtent l="0" t="0" r="0" b="0"/>
            <wp:docPr id="5"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6" descr=""/>
                    <pic:cNvPicPr>
                      <a:picLocks noChangeAspect="1" noChangeArrowheads="1"/>
                    </pic:cNvPicPr>
                  </pic:nvPicPr>
                  <pic:blipFill>
                    <a:blip r:embed="rId18"/>
                    <a:stretch>
                      <a:fillRect/>
                    </a:stretch>
                  </pic:blipFill>
                  <pic:spPr bwMode="auto">
                    <a:xfrm>
                      <a:off x="0" y="0"/>
                      <a:ext cx="526415" cy="2628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pPr>
        <w:pStyle w:val="Normal"/>
        <w:spacing w:lineRule="auto" w:line="276" w:before="20" w:after="20"/>
        <w:ind w:firstLine="709"/>
        <w:jc w:val="both"/>
        <w:rPr>
          <w:sz w:val="24"/>
          <w:szCs w:val="24"/>
        </w:rPr>
      </w:pPr>
      <w:r>
        <w:rPr/>
        <w:drawing>
          <wp:inline distT="0" distB="0" distL="0" distR="0">
            <wp:extent cx="620395" cy="320040"/>
            <wp:effectExtent l="0" t="0" r="0" b="0"/>
            <wp:docPr id="6"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7" descr=""/>
                    <pic:cNvPicPr>
                      <a:picLocks noChangeAspect="1" noChangeArrowheads="1"/>
                    </pic:cNvPicPr>
                  </pic:nvPicPr>
                  <pic:blipFill>
                    <a:blip r:embed="rId19"/>
                    <a:stretch>
                      <a:fillRect/>
                    </a:stretch>
                  </pic:blipFill>
                  <pic:spPr bwMode="auto">
                    <a:xfrm>
                      <a:off x="0" y="0"/>
                      <a:ext cx="620395" cy="32004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pPr>
        <w:pStyle w:val="Normal"/>
        <w:spacing w:lineRule="auto" w:line="276" w:before="20" w:after="20"/>
        <w:ind w:firstLine="709"/>
        <w:jc w:val="both"/>
        <w:rPr>
          <w:sz w:val="24"/>
          <w:szCs w:val="24"/>
        </w:rPr>
      </w:pPr>
      <w:r>
        <w:rPr/>
        <w:drawing>
          <wp:inline distT="0" distB="0" distL="0" distR="0">
            <wp:extent cx="526415" cy="262890"/>
            <wp:effectExtent l="0" t="0" r="0" b="0"/>
            <wp:docPr id="7"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8" descr=""/>
                    <pic:cNvPicPr>
                      <a:picLocks noChangeAspect="1" noChangeArrowheads="1"/>
                    </pic:cNvPicPr>
                  </pic:nvPicPr>
                  <pic:blipFill>
                    <a:blip r:embed="rId20"/>
                    <a:stretch>
                      <a:fillRect/>
                    </a:stretch>
                  </pic:blipFill>
                  <pic:spPr bwMode="auto">
                    <a:xfrm>
                      <a:off x="0" y="0"/>
                      <a:ext cx="526415" cy="2628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pPr>
        <w:pStyle w:val="Normal"/>
        <w:spacing w:lineRule="auto" w:line="276" w:before="20" w:after="20"/>
        <w:ind w:firstLine="709"/>
        <w:jc w:val="both"/>
        <w:rPr>
          <w:sz w:val="24"/>
          <w:szCs w:val="24"/>
        </w:rPr>
      </w:pPr>
      <w:r>
        <w:rPr/>
        <w:drawing>
          <wp:inline distT="0" distB="0" distL="0" distR="0">
            <wp:extent cx="511810" cy="241300"/>
            <wp:effectExtent l="0" t="0" r="0" b="0"/>
            <wp:docPr id="8"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9" descr=""/>
                    <pic:cNvPicPr>
                      <a:picLocks noChangeAspect="1" noChangeArrowheads="1"/>
                    </pic:cNvPicPr>
                  </pic:nvPicPr>
                  <pic:blipFill>
                    <a:blip r:embed="rId21"/>
                    <a:stretch>
                      <a:fillRect/>
                    </a:stretch>
                  </pic:blipFill>
                  <pic:spPr bwMode="auto">
                    <a:xfrm>
                      <a:off x="0" y="0"/>
                      <a:ext cx="511810" cy="24130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pPr>
        <w:pStyle w:val="Normal"/>
        <w:spacing w:lineRule="auto" w:line="276" w:before="20" w:after="20"/>
        <w:ind w:firstLine="709"/>
        <w:jc w:val="both"/>
        <w:rPr>
          <w:sz w:val="24"/>
          <w:szCs w:val="24"/>
        </w:rPr>
      </w:pPr>
      <w:r>
        <w:rPr/>
        <w:drawing>
          <wp:inline distT="0" distB="0" distL="0" distR="0">
            <wp:extent cx="497205" cy="240665"/>
            <wp:effectExtent l="0" t="0" r="0" b="0"/>
            <wp:docPr id="9"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0" descr=""/>
                    <pic:cNvPicPr>
                      <a:picLocks noChangeAspect="1" noChangeArrowheads="1"/>
                    </pic:cNvPicPr>
                  </pic:nvPicPr>
                  <pic:blipFill>
                    <a:blip r:embed="rId22"/>
                    <a:stretch>
                      <a:fillRect/>
                    </a:stretch>
                  </pic:blipFill>
                  <pic:spPr bwMode="auto">
                    <a:xfrm>
                      <a:off x="0" y="0"/>
                      <a:ext cx="497205" cy="24066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pPr>
        <w:pStyle w:val="Normal"/>
        <w:spacing w:lineRule="auto" w:line="276" w:before="20" w:after="20"/>
        <w:ind w:firstLine="709"/>
        <w:jc w:val="both"/>
        <w:rPr>
          <w:sz w:val="24"/>
          <w:szCs w:val="24"/>
        </w:rPr>
      </w:pPr>
      <w:r>
        <w:rPr/>
        <w:drawing>
          <wp:inline distT="0" distB="0" distL="0" distR="0">
            <wp:extent cx="914400" cy="285115"/>
            <wp:effectExtent l="0" t="0" r="0" b="0"/>
            <wp:docPr id="10"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1" descr=""/>
                    <pic:cNvPicPr>
                      <a:picLocks noChangeAspect="1" noChangeArrowheads="1"/>
                    </pic:cNvPicPr>
                  </pic:nvPicPr>
                  <pic:blipFill>
                    <a:blip r:embed="rId23"/>
                    <a:stretch>
                      <a:fillRect/>
                    </a:stretch>
                  </pic:blipFill>
                  <pic:spPr bwMode="auto">
                    <a:xfrm>
                      <a:off x="0" y="0"/>
                      <a:ext cx="914400" cy="28511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pPr>
        <w:pStyle w:val="Normal"/>
        <w:spacing w:lineRule="auto" w:line="276" w:before="20" w:after="20"/>
        <w:ind w:firstLine="709"/>
        <w:jc w:val="both"/>
        <w:rPr>
          <w:sz w:val="24"/>
          <w:szCs w:val="24"/>
        </w:rPr>
      </w:pPr>
      <w:r>
        <w:rPr/>
        <w:drawing>
          <wp:inline distT="0" distB="0" distL="0" distR="0">
            <wp:extent cx="1052830" cy="357505"/>
            <wp:effectExtent l="0" t="0" r="0" b="0"/>
            <wp:docPr id="11"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2" descr=""/>
                    <pic:cNvPicPr>
                      <a:picLocks noChangeAspect="1" noChangeArrowheads="1"/>
                    </pic:cNvPicPr>
                  </pic:nvPicPr>
                  <pic:blipFill>
                    <a:blip r:embed="rId24"/>
                    <a:stretch>
                      <a:fillRect/>
                    </a:stretch>
                  </pic:blipFill>
                  <pic:spPr bwMode="auto">
                    <a:xfrm>
                      <a:off x="0" y="0"/>
                      <a:ext cx="1052830" cy="35750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согласованном увеличении времени включения в сеть;</w:t>
      </w:r>
    </w:p>
    <w:p>
      <w:pPr>
        <w:pStyle w:val="Normal"/>
        <w:spacing w:lineRule="auto" w:line="276" w:before="20" w:after="20"/>
        <w:ind w:firstLine="709"/>
        <w:jc w:val="both"/>
        <w:rPr>
          <w:sz w:val="24"/>
          <w:szCs w:val="24"/>
        </w:rPr>
      </w:pPr>
      <w:r>
        <w:rPr/>
        <w:drawing>
          <wp:inline distT="0" distB="0" distL="0" distR="0">
            <wp:extent cx="958215" cy="313690"/>
            <wp:effectExtent l="0" t="0" r="0" b="0"/>
            <wp:docPr id="12"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3" descr=""/>
                    <pic:cNvPicPr>
                      <a:picLocks noChangeAspect="1" noChangeArrowheads="1"/>
                    </pic:cNvPicPr>
                  </pic:nvPicPr>
                  <pic:blipFill>
                    <a:blip r:embed="rId25"/>
                    <a:stretch>
                      <a:fillRect/>
                    </a:stretch>
                  </pic:blipFill>
                  <pic:spPr bwMode="auto">
                    <a:xfrm>
                      <a:off x="0" y="0"/>
                      <a:ext cx="958215" cy="3136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фактическом включении в сеть генерирующего оборудования со временем, превышающим время нормативного включения в сеть;</w:t>
      </w:r>
    </w:p>
    <w:p>
      <w:pPr>
        <w:pStyle w:val="Normal"/>
        <w:spacing w:lineRule="auto" w:line="240" w:before="20" w:after="20"/>
        <w:ind w:firstLine="709"/>
        <w:rPr>
          <w:sz w:val="24"/>
          <w:szCs w:val="24"/>
        </w:rPr>
      </w:pPr>
      <w:r>
        <w:rPr/>
        <w:drawing>
          <wp:inline distT="0" distB="0" distL="0" distR="0">
            <wp:extent cx="368300" cy="285750"/>
            <wp:effectExtent l="0" t="0" r="0" b="0"/>
            <wp:docPr id="13"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4" descr=""/>
                    <pic:cNvPicPr>
                      <a:picLocks noChangeAspect="1" noChangeArrowheads="1"/>
                    </pic:cNvPicPr>
                  </pic:nvPicPr>
                  <pic:blipFill>
                    <a:blip r:embed="rId26"/>
                    <a:stretch>
                      <a:fillRect/>
                    </a:stretch>
                  </pic:blipFill>
                  <pic:spPr bwMode="auto">
                    <a:xfrm>
                      <a:off x="0" y="0"/>
                      <a:ext cx="368300" cy="28575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pPr>
        <w:pStyle w:val="Normal"/>
        <w:spacing w:lineRule="auto" w:line="240" w:before="120" w:after="20"/>
        <w:ind w:firstLine="709"/>
        <w:rPr>
          <w:sz w:val="24"/>
          <w:szCs w:val="24"/>
        </w:rPr>
      </w:pPr>
      <w:r>
        <w:rPr>
          <w:sz w:val="24"/>
          <w:szCs w:val="24"/>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drawing>
          <wp:inline distT="0" distB="0" distL="0" distR="0">
            <wp:extent cx="336550" cy="267335"/>
            <wp:effectExtent l="0" t="0" r="0" b="0"/>
            <wp:docPr id="14" name="Рисунок 13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Копия 1" descr=""/>
                    <pic:cNvPicPr>
                      <a:picLocks noChangeAspect="1" noChangeArrowheads="1"/>
                    </pic:cNvPicPr>
                  </pic:nvPicPr>
                  <pic:blipFill>
                    <a:blip r:embed="rId27"/>
                    <a:stretch>
                      <a:fillRect/>
                    </a:stretch>
                  </pic:blipFill>
                  <pic:spPr bwMode="auto">
                    <a:xfrm>
                      <a:off x="0" y="0"/>
                      <a:ext cx="336550" cy="267335"/>
                    </a:xfrm>
                    <a:prstGeom prst="rect">
                      <a:avLst/>
                    </a:prstGeom>
                  </pic:spPr>
                </pic:pic>
              </a:graphicData>
            </a:graphic>
          </wp:inline>
        </w:drawing>
      </w:r>
      <w:r>
        <w:rPr>
          <w:sz w:val="24"/>
          <w:szCs w:val="24"/>
        </w:rPr>
        <w:t>, соответствующие объемам невыполнения требований в месяце, определяется по формуле:</w:t>
      </w:r>
    </w:p>
    <w:p>
      <w:pPr>
        <w:pStyle w:val="Normal"/>
        <w:spacing w:lineRule="auto" w:line="240" w:before="20" w:after="20"/>
        <w:jc w:val="center"/>
        <w:rPr>
          <w:sz w:val="24"/>
          <w:szCs w:val="24"/>
        </w:rPr>
      </w:pPr>
      <w:r>
        <w:rPr/>
        <w:drawing>
          <wp:inline distT="0" distB="0" distL="0" distR="0">
            <wp:extent cx="1371600" cy="673100"/>
            <wp:effectExtent l="0" t="0" r="0" b="0"/>
            <wp:docPr id="15" name="Рисунок 12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2 Копия 1" descr=""/>
                    <pic:cNvPicPr>
                      <a:picLocks noChangeAspect="1" noChangeArrowheads="1"/>
                    </pic:cNvPicPr>
                  </pic:nvPicPr>
                  <pic:blipFill>
                    <a:blip r:embed="rId28"/>
                    <a:stretch>
                      <a:fillRect/>
                    </a:stretch>
                  </pic:blipFill>
                  <pic:spPr bwMode="auto">
                    <a:xfrm>
                      <a:off x="0" y="0"/>
                      <a:ext cx="1371600" cy="673100"/>
                    </a:xfrm>
                    <a:prstGeom prst="rect">
                      <a:avLst/>
                    </a:prstGeom>
                  </pic:spPr>
                </pic:pic>
              </a:graphicData>
            </a:graphic>
          </wp:inline>
        </w:drawing>
      </w:r>
    </w:p>
    <w:p>
      <w:pPr>
        <w:pStyle w:val="Normal"/>
        <w:spacing w:lineRule="auto" w:line="240" w:before="20" w:after="20"/>
        <w:ind w:firstLine="709"/>
        <w:rPr>
          <w:sz w:val="24"/>
          <w:szCs w:val="24"/>
        </w:rPr>
      </w:pPr>
      <w:r>
        <w:rPr>
          <w:sz w:val="24"/>
          <w:szCs w:val="24"/>
        </w:rPr>
        <w:t>где:</w:t>
      </w:r>
    </w:p>
    <w:p>
      <w:pPr>
        <w:pStyle w:val="Normal"/>
        <w:spacing w:lineRule="auto" w:line="240" w:before="20" w:after="20"/>
        <w:ind w:firstLine="709"/>
        <w:rPr>
          <w:sz w:val="24"/>
          <w:szCs w:val="24"/>
        </w:rPr>
      </w:pPr>
      <w:r>
        <w:rPr/>
        <w:drawing>
          <wp:inline distT="0" distB="0" distL="0" distR="0">
            <wp:extent cx="293370" cy="267335"/>
            <wp:effectExtent l="0" t="0" r="0" b="0"/>
            <wp:docPr id="16" name="Рисунок 1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Копия 1" descr=""/>
                    <pic:cNvPicPr>
                      <a:picLocks noChangeAspect="1" noChangeArrowheads="1"/>
                    </pic:cNvPicPr>
                  </pic:nvPicPr>
                  <pic:blipFill>
                    <a:blip r:embed="rId29"/>
                    <a:stretch>
                      <a:fillRect/>
                    </a:stretch>
                  </pic:blipFill>
                  <pic:spPr bwMode="auto">
                    <a:xfrm>
                      <a:off x="0" y="0"/>
                      <a:ext cx="293370" cy="267335"/>
                    </a:xfrm>
                    <a:prstGeom prst="rect">
                      <a:avLst/>
                    </a:prstGeom>
                  </pic:spPr>
                </pic:pic>
              </a:graphicData>
            </a:graphic>
          </wp:inline>
        </w:drawing>
      </w:r>
      <w:r>
        <w:rPr>
          <w:sz w:val="24"/>
          <w:szCs w:val="24"/>
        </w:rPr>
        <w:t xml:space="preserve"> – </w:t>
      </w:r>
      <w:r>
        <w:rPr>
          <w:sz w:val="24"/>
          <w:szCs w:val="24"/>
        </w:rPr>
        <w:t>значения снижения мощности ГТПГ, установленные СО в ГРМ;</w:t>
      </w:r>
    </w:p>
    <w:p>
      <w:pPr>
        <w:pStyle w:val="Normal"/>
        <w:spacing w:lineRule="auto" w:line="240" w:before="20" w:after="20"/>
        <w:ind w:firstLine="709"/>
        <w:rPr>
          <w:sz w:val="24"/>
          <w:szCs w:val="24"/>
        </w:rPr>
      </w:pPr>
      <w:r>
        <w:rPr>
          <w:sz w:val="24"/>
          <w:szCs w:val="24"/>
        </w:rPr>
        <w:t xml:space="preserve">Н – количество часов, соответствующее расчетному месяцу m. </w:t>
      </w:r>
    </w:p>
    <w:p>
      <w:pPr>
        <w:pStyle w:val="Normal"/>
        <w:spacing w:lineRule="auto" w:line="240" w:before="20" w:after="20"/>
        <w:ind w:firstLine="709"/>
        <w:rPr>
          <w:sz w:val="24"/>
          <w:szCs w:val="24"/>
        </w:rPr>
      </w:pPr>
      <w:r>
        <w:rPr>
          <w:sz w:val="24"/>
          <w:szCs w:val="24"/>
        </w:rPr>
      </w:r>
    </w:p>
    <w:p>
      <w:pPr>
        <w:pStyle w:val="Normal"/>
        <w:spacing w:lineRule="auto" w:line="240" w:before="20" w:after="20"/>
        <w:ind w:firstLine="709"/>
        <w:rPr>
          <w:sz w:val="24"/>
          <w:szCs w:val="24"/>
        </w:rPr>
      </w:pPr>
      <w:r>
        <w:rPr>
          <w:sz w:val="24"/>
          <w:szCs w:val="24"/>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pPr>
        <w:pStyle w:val="Normal"/>
        <w:spacing w:lineRule="auto" w:line="240" w:before="120" w:after="20"/>
        <w:ind w:firstLine="709"/>
        <w:rPr>
          <w:sz w:val="24"/>
          <w:szCs w:val="24"/>
        </w:rPr>
      </w:pPr>
      <w:r>
        <w:rPr>
          <w:sz w:val="24"/>
          <w:szCs w:val="24"/>
        </w:rPr>
        <w:t>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m, рассчитывается для каждой ГТП (единицы оборудования) по формуле:</w:t>
      </w:r>
    </w:p>
    <w:p>
      <w:pPr>
        <w:pStyle w:val="Normal"/>
        <w:spacing w:lineRule="auto" w:line="240" w:before="20" w:after="20"/>
        <w:ind w:firstLine="709"/>
        <w:rPr>
          <w:sz w:val="24"/>
          <w:szCs w:val="24"/>
        </w:rPr>
      </w:pPr>
      <w:r>
        <w:rPr>
          <w:sz w:val="24"/>
          <w:szCs w:val="24"/>
        </w:rPr>
      </w:r>
    </w:p>
    <w:p>
      <w:pPr>
        <w:pStyle w:val="Normal"/>
        <w:spacing w:lineRule="auto" w:line="240" w:before="20" w:after="20"/>
        <w:ind w:firstLine="709"/>
        <w:rPr>
          <w:sz w:val="24"/>
          <w:szCs w:val="24"/>
        </w:rPr>
      </w:pPr>
      <w:r>
        <w:rPr/>
      </w:r>
      <m:oMath xmlns:m="http://schemas.openxmlformats.org/officeDocument/2006/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2</m:t>
            </m:r>
          </m:sub>
        </m:sSub>
      </m:o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Б2</m:t>
            </m:r>
          </m:sub>
        </m:sSub>
      </m:oMath>
      <w:r>
        <w:rPr/>
      </w:r>
      <m:oMath xmlns:m="http://schemas.openxmlformats.org/officeDocument/2006/math"/>
      <w:r>
        <w:rPr/>
      </w:r>
      <m:oMath xmlns:m="http://schemas.openxmlformats.org/officeDocument/2006/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Г3</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Д</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Е</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Ж</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З</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И</m:t>
            </m:r>
          </m:sub>
        </m:sSub>
      </m:oMath>
      <w:r>
        <w:rPr/>
      </w:r>
      <m:oMath xmlns:m="http://schemas.openxmlformats.org/officeDocument/2006/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гот,j</m:t>
                </m:r>
              </m:sup>
            </m:sSubSup>
          </m:sub>
        </m:sSub>
        <m:r>
          <w:rPr>
            <w:rFonts w:ascii="Cambria Math" w:hAnsi="Cambria Math"/>
          </w:rPr>
          <m:t xml:space="preserve">=</m:t>
        </m:r>
        <m:nary>
          <m:naryPr>
            <m:chr m:val="∑"/>
            <m:supHide m:val="1"/>
          </m:naryPr>
          <m:sub>
            <m:r>
              <w:rPr>
                <w:rFonts w:ascii="Cambria Math" w:hAnsi="Cambria Math"/>
              </w:rPr>
              <m:t xml:space="preserve">n</m:t>
            </m:r>
          </m:sub>
          <m:sup/>
          <m:e>
            <m:d>
              <m:dPr>
                <m:begChr m:val="("/>
                <m:endChr m:val=")"/>
              </m:dPr>
              <m:e>
                <m:sSub>
                  <m:e>
                    <m:r>
                      <w:rPr>
                        <w:rFonts w:ascii="Cambria Math" w:hAnsi="Cambria Math"/>
                      </w:rPr>
                      <m:t xml:space="preserve">k</m:t>
                    </m:r>
                  </m:e>
                  <m:sub>
                    <m:r>
                      <w:rPr>
                        <w:rFonts w:ascii="Cambria Math" w:hAnsi="Cambria Math"/>
                      </w:rPr>
                      <m:t xml:space="preserve">n</m:t>
                    </m:r>
                  </m:sub>
                </m:sSub>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n</m:t>
                        </m:r>
                      </m:sub>
                    </m:sSub>
                  </m:sup>
                </m:sSup>
              </m:e>
            </m:d>
            <m:r>
              <w:rPr>
                <w:rFonts w:ascii="Cambria Math" w:hAnsi="Cambria Math"/>
              </w:rPr>
              <m:t xml:space="preserve">+</m:t>
            </m:r>
            <m:nary>
              <m:naryPr>
                <m:chr m:val="∑"/>
                <m:supHide m:val="1"/>
              </m:naryPr>
              <m:sub>
                <m:r>
                  <w:rPr>
                    <w:rFonts w:ascii="Cambria Math" w:hAnsi="Cambria Math"/>
                  </w:rPr>
                  <m:t xml:space="preserve">l</m:t>
                </m:r>
              </m:sub>
              <m:sup/>
              <m:e>
                <m:d>
                  <m:dPr>
                    <m:begChr m:val="("/>
                    <m:endChr m:val=")"/>
                  </m:dPr>
                  <m:e>
                    <m:sSub>
                      <m:e>
                        <m:r>
                          <w:rPr>
                            <w:rFonts w:ascii="Cambria Math" w:hAnsi="Cambria Math"/>
                          </w:rPr>
                          <m:t xml:space="preserve">k</m:t>
                        </m:r>
                      </m:e>
                      <m:sub>
                        <m:r>
                          <w:rPr>
                            <w:rFonts w:ascii="Cambria Math" w:hAnsi="Cambria Math"/>
                          </w:rPr>
                          <m:t xml:space="preserve">l</m:t>
                        </m:r>
                      </m:sub>
                    </m:sSub>
                    <m:r>
                      <w:rPr>
                        <w:rFonts w:ascii="Cambria Math" w:hAnsi="Cambria Math"/>
                      </w:rPr>
                      <m:t xml:space="preserve">⋅</m:t>
                    </m:r>
                    <m:sSubSup>
                      <m:e>
                        <m:r>
                          <w:rPr>
                            <w:rFonts w:ascii="Cambria Math" w:hAnsi="Cambria Math"/>
                          </w:rPr>
                          <m:t xml:space="preserve">k</m:t>
                        </m:r>
                      </m:e>
                      <m:sub>
                        <m:r>
                          <m:rPr>
                            <m:lit/>
                            <m:nor/>
                          </m:rPr>
                          <w:rPr>
                            <w:rFonts w:ascii="Cambria Math" w:hAnsi="Cambria Math"/>
                          </w:rPr>
                          <m:t xml:space="preserve">диф,m</m:t>
                        </m:r>
                      </m:sub>
                      <m:sup>
                        <m:r>
                          <w:rPr>
                            <w:rFonts w:ascii="Cambria Math" w:hAnsi="Cambria Math"/>
                          </w:rPr>
                          <m:t xml:space="preserve">j</m:t>
                        </m:r>
                      </m:sup>
                    </m:sSubSup>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l</m:t>
                            </m:r>
                          </m:sub>
                        </m:sSub>
                      </m:sup>
                    </m:sSup>
                  </m:e>
                </m:d>
              </m:e>
            </m:nary>
          </m:e>
        </m:nary>
      </m:oMath>
    </w:p>
    <w:p>
      <w:pPr>
        <w:pStyle w:val="Normal"/>
        <w:spacing w:lineRule="auto" w:line="276" w:before="0" w:after="200"/>
        <w:ind w:firstLine="709"/>
        <w:rPr>
          <w:rFonts w:ascii="Times New Roman" w:hAnsi="Times New Roman" w:eastAsia="Arial" w:cs="Times New Roman"/>
          <w:sz w:val="24"/>
          <w:szCs w:val="24"/>
        </w:rPr>
      </w:pPr>
      <w:r>
        <w:rPr>
          <w:rFonts w:eastAsia="Arial" w:cs="Times New Roman"/>
          <w:sz w:val="24"/>
          <w:szCs w:val="24"/>
        </w:rPr>
        <w:t>где:</w:t>
        <w:tab/>
      </w:r>
    </w:p>
    <w:p>
      <w:pPr>
        <w:pStyle w:val="Normal"/>
        <w:numPr>
          <w:ilvl w:val="0"/>
          <w:numId w:val="0"/>
        </w:numPr>
        <w:spacing w:lineRule="auto" w:line="276" w:before="120" w:after="120"/>
        <w:ind w:left="0" w:firstLine="567"/>
        <w:jc w:val="both"/>
        <w:outlineLvl w:val="3"/>
        <w:rPr>
          <w:sz w:val="24"/>
          <w:szCs w:val="24"/>
        </w:rPr>
      </w:pPr>
      <w:r>
        <w:rPr/>
        <w:drawing>
          <wp:inline distT="0" distB="0" distL="0" distR="0">
            <wp:extent cx="185420" cy="228600"/>
            <wp:effectExtent l="0" t="0" r="0" b="0"/>
            <wp:docPr id="17"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8" descr=""/>
                    <pic:cNvPicPr>
                      <a:picLocks noChangeAspect="1" noChangeArrowheads="1"/>
                    </pic:cNvPicPr>
                  </pic:nvPicPr>
                  <pic:blipFill>
                    <a:blip r:embed="rId30"/>
                    <a:stretch>
                      <a:fillRect/>
                    </a:stretch>
                  </pic:blipFill>
                  <pic:spPr bwMode="auto">
                    <a:xfrm>
                      <a:off x="0" y="0"/>
                      <a:ext cx="185420" cy="228600"/>
                    </a:xfrm>
                    <a:prstGeom prst="rect">
                      <a:avLst/>
                    </a:prstGeom>
                  </pic:spPr>
                </pic:pic>
              </a:graphicData>
            </a:graphic>
          </wp:inline>
        </w:drawing>
      </w:r>
      <w:r>
        <w:rPr>
          <w:rFonts w:eastAsia="Times New Roman" w:cs="Times New Roman"/>
          <w:sz w:val="24"/>
          <w:szCs w:val="24"/>
        </w:rPr>
        <w:t xml:space="preserve"> </w:t>
      </w:r>
      <w:r>
        <w:rPr>
          <w:rFonts w:eastAsia="Arial" w:cs="Times New Roman"/>
          <w:sz w:val="24"/>
          <w:szCs w:val="24"/>
        </w:rPr>
        <w:t>―</w:t>
      </w:r>
      <w:r>
        <w:rPr>
          <w:rFonts w:eastAsia="Times New Roman" w:cs="Times New Roman"/>
          <w:sz w:val="24"/>
          <w:szCs w:val="24"/>
        </w:rPr>
        <w:t xml:space="preserve"> </w:t>
      </w:r>
      <w:r>
        <w:rPr>
          <w:rFonts w:eastAsia="Arial" w:cs="Times New Roman"/>
          <w:sz w:val="24"/>
          <w:szCs w:val="24"/>
        </w:rPr>
        <w:t xml:space="preserve">коэффициенты </w:t>
      </w:r>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1</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2</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Fonts w:cs="Times New Roman"/>
          <w:sz w:val="24"/>
          <w:szCs w:val="24"/>
        </w:rPr>
        <w:t>)</w:t>
      </w:r>
    </w:p>
    <w:p>
      <w:pPr>
        <w:pStyle w:val="Normal"/>
        <w:numPr>
          <w:ilvl w:val="0"/>
          <w:numId w:val="0"/>
        </w:numPr>
        <w:spacing w:lineRule="auto" w:line="276" w:before="120" w:after="120"/>
        <w:ind w:left="0" w:firstLine="567"/>
        <w:jc w:val="both"/>
        <w:outlineLvl w:val="3"/>
        <w:rPr>
          <w:sz w:val="24"/>
          <w:szCs w:val="24"/>
        </w:rPr>
      </w:pPr>
      <w:r>
        <w:rPr/>
        <w:drawing>
          <wp:inline distT="0" distB="0" distL="0" distR="0">
            <wp:extent cx="184785" cy="277495"/>
            <wp:effectExtent l="0" t="0" r="0" b="0"/>
            <wp:docPr id="18"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9" descr=""/>
                    <pic:cNvPicPr>
                      <a:picLocks noChangeAspect="1" noChangeArrowheads="1"/>
                    </pic:cNvPicPr>
                  </pic:nvPicPr>
                  <pic:blipFill>
                    <a:blip r:embed="rId31"/>
                    <a:stretch>
                      <a:fillRect/>
                    </a:stretch>
                  </pic:blipFill>
                  <pic:spPr bwMode="auto">
                    <a:xfrm>
                      <a:off x="0" y="0"/>
                      <a:ext cx="184785" cy="277495"/>
                    </a:xfrm>
                    <a:prstGeom prst="rect">
                      <a:avLst/>
                    </a:prstGeom>
                  </pic:spPr>
                </pic:pic>
              </a:graphicData>
            </a:graphic>
          </wp:inline>
        </w:drawing>
      </w:r>
      <w:r>
        <w:rPr>
          <w:rFonts w:eastAsia="Times New Roman" w:cs="Times New Roman"/>
          <w:sz w:val="24"/>
          <w:szCs w:val="24"/>
        </w:rPr>
        <w:t xml:space="preserve"> </w:t>
      </w:r>
      <w:r>
        <w:rPr>
          <w:rFonts w:eastAsia="Arial" w:cs="Times New Roman"/>
          <w:sz w:val="24"/>
          <w:szCs w:val="24"/>
        </w:rPr>
        <w:t>―</w:t>
      </w:r>
      <w:r>
        <w:rPr>
          <w:rFonts w:eastAsia="Times New Roman" w:cs="Times New Roman"/>
          <w:sz w:val="24"/>
          <w:szCs w:val="24"/>
        </w:rPr>
        <w:t xml:space="preserve"> </w:t>
      </w:r>
      <w:r>
        <w:rPr>
          <w:rFonts w:eastAsia="Arial" w:cs="Times New Roman"/>
          <w:sz w:val="24"/>
          <w:szCs w:val="24"/>
        </w:rPr>
        <w:t>коэффициенты (</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4</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5</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6</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7</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1</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9</m:t>
            </m:r>
          </m:sub>
        </m:sSub>
      </m:oMath>
      <w:r>
        <w:rPr>
          <w:rFonts w:eastAsia="Arial" w:cs="Times New Roman"/>
          <w:sz w:val="24"/>
          <w:szCs w:val="24"/>
        </w:rPr>
        <w:t xml:space="preserve">), </w:t>
      </w:r>
    </w:p>
    <w:p>
      <w:pPr>
        <w:pStyle w:val="Normal"/>
        <w:numPr>
          <w:ilvl w:val="0"/>
          <w:numId w:val="0"/>
        </w:numPr>
        <w:spacing w:lineRule="auto" w:line="276" w:before="120" w:after="120"/>
        <w:ind w:left="0" w:firstLine="567"/>
        <w:jc w:val="both"/>
        <w:outlineLvl w:val="3"/>
        <w:rPr>
          <w:sz w:val="24"/>
          <w:szCs w:val="24"/>
        </w:rPr>
      </w:pPr>
      <w:r>
        <w:rPr>
          <w:rFonts w:eastAsia="Arial" w:cs="Times New Roman"/>
          <w:sz w:val="24"/>
          <w:szCs w:val="24"/>
        </w:rPr>
        <w:t xml:space="preserve">определяемые для каждого из соответствующих им объемов невыполнения требований по готовности </w:t>
      </w:r>
      <w:r>
        <w:rPr/>
        <w:drawing>
          <wp:inline distT="0" distB="0" distL="0" distR="0">
            <wp:extent cx="277495" cy="277495"/>
            <wp:effectExtent l="0" t="0" r="0" b="0"/>
            <wp:docPr id="19"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20" descr=""/>
                    <pic:cNvPicPr>
                      <a:picLocks noChangeAspect="1" noChangeArrowheads="1"/>
                    </pic:cNvPicPr>
                  </pic:nvPicPr>
                  <pic:blipFill>
                    <a:blip r:embed="rId32"/>
                    <a:stretch>
                      <a:fillRect/>
                    </a:stretch>
                  </pic:blipFill>
                  <pic:spPr bwMode="auto">
                    <a:xfrm>
                      <a:off x="0" y="0"/>
                      <a:ext cx="277495" cy="277495"/>
                    </a:xfrm>
                    <a:prstGeom prst="rect">
                      <a:avLst/>
                    </a:prstGeom>
                  </pic:spPr>
                </pic:pic>
              </a:graphicData>
            </a:graphic>
          </wp:inline>
        </w:drawing>
      </w:r>
      <w:r>
        <w:rPr>
          <w:rFonts w:eastAsia="Arial" w:cs="Times New Roman"/>
          <w:sz w:val="24"/>
          <w:szCs w:val="24"/>
        </w:rPr>
        <w:t xml:space="preserve"> Правилами ОРЭМ (согласно Приложению 2 к Регламенту определения объемов фактически поставленной на оптовый рынок мощности, Приказ ФСТ  России от 03.03.2009 № 32-э/1).</w:t>
      </w:r>
    </w:p>
    <w:p>
      <w:pPr>
        <w:pStyle w:val="Normal"/>
        <w:numPr>
          <w:ilvl w:val="0"/>
          <w:numId w:val="0"/>
        </w:numPr>
        <w:spacing w:lineRule="auto" w:line="276" w:before="120" w:after="120"/>
        <w:ind w:left="0" w:firstLine="567"/>
        <w:jc w:val="both"/>
        <w:outlineLvl w:val="2"/>
        <w:rPr>
          <w:sz w:val="24"/>
          <w:szCs w:val="24"/>
        </w:rPr>
      </w:pPr>
      <w:r>
        <w:rPr>
          <w:rFonts w:eastAsia="Arial" w:cs="Times New Roman"/>
          <w:sz w:val="24"/>
          <w:szCs w:val="24"/>
        </w:rPr>
        <w:t xml:space="preserve">Для входящей в состав Дальневосточного федерального округа отдельной территории, ранее относившейся к неценовым зонам, </w:t>
      </w:r>
      <w:r>
        <w:rPr/>
        <w:drawing>
          <wp:inline distT="0" distB="0" distL="0" distR="0">
            <wp:extent cx="636270" cy="278130"/>
            <wp:effectExtent l="0" t="0" r="0" b="0"/>
            <wp:docPr id="20"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1" descr=""/>
                    <pic:cNvPicPr>
                      <a:picLocks noChangeAspect="1" noChangeArrowheads="1"/>
                    </pic:cNvPicPr>
                  </pic:nvPicPr>
                  <pic:blipFill>
                    <a:blip r:embed="rId33"/>
                    <a:stretch>
                      <a:fillRect/>
                    </a:stretch>
                  </pic:blipFill>
                  <pic:spPr bwMode="auto">
                    <a:xfrm>
                      <a:off x="0" y="0"/>
                      <a:ext cx="636270" cy="278130"/>
                    </a:xfrm>
                    <a:prstGeom prst="rect">
                      <a:avLst/>
                    </a:prstGeom>
                  </pic:spPr>
                </pic:pic>
              </a:graphicData>
            </a:graphic>
          </wp:inline>
        </w:drawing>
      </w:r>
      <w:r>
        <w:rPr>
          <w:rFonts w:eastAsia="Arial" w:cs="Times New Roman"/>
          <w:sz w:val="24"/>
          <w:szCs w:val="24"/>
        </w:rPr>
        <w:t>.</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xml:space="preserve">В соответствии с Постановлением Правительства РФ от 27.12.2010 N 1172 (ред. от 04.02.2025)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стоимость мощности, продаваемой по итогам конкурентного отбора мощности, определяется исходя из цены, определенной в соответствии с договором о присоединении к торговой системе оптового рынка организацией коммерческой инфраструктуры по результатам конкурентного отбора мощности по соответствующей группе точек поставки с учетом индексации этой цены, на условиях и в порядке, которые установлены Правилами индексации цены на мощность, умноженной на сезонный коэффициент.</w:t>
      </w:r>
    </w:p>
    <w:p>
      <w:pPr>
        <w:pStyle w:val="Normal"/>
        <w:spacing w:lineRule="auto" w:line="276" w:before="0" w:after="200"/>
        <w:ind w:firstLine="567"/>
        <w:jc w:val="both"/>
        <w:rPr>
          <w:sz w:val="24"/>
          <w:szCs w:val="24"/>
        </w:rPr>
      </w:pPr>
      <w:r>
        <w:rPr>
          <w:rFonts w:eastAsia="Times New Roman" w:cs="Times New Roman"/>
          <w:sz w:val="24"/>
          <w:szCs w:val="24"/>
        </w:rPr>
        <w:t xml:space="preserve">  </w:t>
      </w:r>
      <w:r>
        <w:rPr>
          <w:rFonts w:eastAsia="Arial" w:cs="Times New Roman"/>
          <w:sz w:val="24"/>
          <w:szCs w:val="24"/>
        </w:rPr>
        <w:t xml:space="preserve">- </w:t>
      </w:r>
      <w:r>
        <w:rPr/>
        <w:drawing>
          <wp:inline distT="0" distB="0" distL="0" distR="0">
            <wp:extent cx="474980" cy="302260"/>
            <wp:effectExtent l="0" t="0" r="0" b="0"/>
            <wp:docPr id="21"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2" descr=""/>
                    <pic:cNvPicPr>
                      <a:picLocks noChangeAspect="1" noChangeArrowheads="1"/>
                    </pic:cNvPicPr>
                  </pic:nvPicPr>
                  <pic:blipFill>
                    <a:blip r:embed="rId34"/>
                    <a:stretch>
                      <a:fillRect/>
                    </a:stretch>
                  </pic:blipFill>
                  <pic:spPr bwMode="auto">
                    <a:xfrm>
                      <a:off x="0" y="0"/>
                      <a:ext cx="474980" cy="302260"/>
                    </a:xfrm>
                    <a:prstGeom prst="rect">
                      <a:avLst/>
                    </a:prstGeom>
                  </pic:spPr>
                </pic:pic>
              </a:graphicData>
            </a:graphic>
          </wp:inline>
        </w:drawing>
      </w:r>
      <w:r>
        <w:rPr>
          <w:rFonts w:eastAsia="Arial" w:cs="Times New Roman"/>
          <w:sz w:val="24"/>
          <w:szCs w:val="24"/>
        </w:rPr>
        <w:t xml:space="preserve"> - цена на мощность в месяце (m), определяемая согласно Правилам ОРЭМ для генерирующего объекта (g) тепловой электростанции на входящей в состав Дальневосточного федерального округа отдельной территории, ранее относившейся к неценовым зонам, включенного в перечень генерирующих объектов на отдельных территориях, ранее относившихся к неценовым зонам, частичная компенсация стоимости мощности которого осуществляется за счет надбавки к цене на мощность, поставляемой субъектом оптового рынка - производителем электрической энергии (мощности) (pr), в отношении которого Правительством Российской Федерации принято соответствующее решение (рублей/МВт в месяц);</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сезонный коэффициент определяется в соответствии с договором о присоединении к торговой системе оптового рынка как отношение среднего за 3 предшествующих года значения объема максимального потребления электрической энергии в определенные системным оператором плановые часы пиковой нагрузки в ценовой зоне в соответствующем месяце к среднему за 3 предшествующих года значению объема среднегодового максимального потребления электрической энергии в определенные системным оператором плановые часы пиковой нагрузки в этой же ценовой зоне. При этом для второй ценовой зоны до 31 декабря 2028 г. включительно сезонный коэффициент определяется без учета потребления электрической энергии на входящей в состав Дальневосточного федерального округа отдельной территории, ранее относившейся к неценовым зонам.</w:t>
      </w:r>
    </w:p>
    <w:p>
      <w:pPr>
        <w:pStyle w:val="Normal"/>
        <w:widowControl w:val="false"/>
        <w:spacing w:lineRule="auto" w:line="276" w:before="240" w:after="200"/>
        <w:jc w:val="both"/>
        <w:rPr>
          <w:sz w:val="24"/>
          <w:szCs w:val="24"/>
        </w:rPr>
      </w:pPr>
      <w:r>
        <w:rPr>
          <w:rFonts w:eastAsia="Arial" w:cs="Times New Roman"/>
          <w:sz w:val="24"/>
          <w:szCs w:val="24"/>
        </w:rPr>
        <w:t xml:space="preserve">- </w:t>
      </w:r>
      <w:r>
        <w:rPr/>
        <w:drawing>
          <wp:inline distT="0" distB="0" distL="0" distR="0">
            <wp:extent cx="457200" cy="302895"/>
            <wp:effectExtent l="0" t="0" r="0" b="0"/>
            <wp:docPr id="22"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3" descr=""/>
                    <pic:cNvPicPr>
                      <a:picLocks noChangeAspect="1" noChangeArrowheads="1"/>
                    </pic:cNvPicPr>
                  </pic:nvPicPr>
                  <pic:blipFill>
                    <a:blip r:embed="rId35"/>
                    <a:stretch>
                      <a:fillRect/>
                    </a:stretch>
                  </pic:blipFill>
                  <pic:spPr bwMode="auto">
                    <a:xfrm>
                      <a:off x="0" y="0"/>
                      <a:ext cx="457200" cy="302895"/>
                    </a:xfrm>
                    <a:prstGeom prst="rect">
                      <a:avLst/>
                    </a:prstGeom>
                  </pic:spPr>
                </pic:pic>
              </a:graphicData>
            </a:graphic>
          </wp:inline>
        </w:drawing>
      </w:r>
      <w:r>
        <w:rPr>
          <w:rFonts w:eastAsia="Arial" w:cs="Times New Roman"/>
          <w:sz w:val="24"/>
          <w:szCs w:val="24"/>
        </w:rPr>
        <w:t xml:space="preserve"> - сезонный коэффициент, рассчитанный для ценовой зоны оптового рынка (z) месяца (m); </w:t>
      </w:r>
    </w:p>
    <w:p>
      <w:pPr>
        <w:pStyle w:val="Normal"/>
        <w:widowControl/>
        <w:spacing w:before="120" w:after="20"/>
        <w:ind w:firstLine="709"/>
        <w:jc w:val="both"/>
        <w:rPr>
          <w:sz w:val="24"/>
          <w:szCs w:val="24"/>
        </w:rPr>
      </w:pPr>
      <w:r>
        <w:rPr>
          <w:rFonts w:eastAsia="Arial" w:cs="Times New Roman"/>
          <w:sz w:val="24"/>
          <w:szCs w:val="24"/>
        </w:rPr>
        <w:t xml:space="preserve">Стоимость недопоставки мощности (снижение оплаты мощности) рассчитывается как произведение объема недопоставки мощности </w:t>
      </w:r>
      <w:r>
        <w:rPr/>
      </w:r>
      <m:oMath xmlns:m="http://schemas.openxmlformats.org/officeDocument/2006/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гот,j</m:t>
                </m:r>
              </m:sup>
            </m:sSubSup>
          </m:sub>
        </m:sSub>
      </m:oMath>
      <w:r>
        <w:rPr>
          <w:rFonts w:eastAsia="Arial" w:cs="Times New Roman"/>
          <w:sz w:val="24"/>
          <w:szCs w:val="24"/>
        </w:rPr>
        <w:t xml:space="preserve"> на цену </w:t>
      </w:r>
      <w:r>
        <w:rPr/>
        <w:drawing>
          <wp:inline distT="0" distB="0" distL="0" distR="0">
            <wp:extent cx="474980" cy="302260"/>
            <wp:effectExtent l="0" t="0" r="0" b="0"/>
            <wp:docPr id="23"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4" descr=""/>
                    <pic:cNvPicPr>
                      <a:picLocks noChangeAspect="1" noChangeArrowheads="1"/>
                    </pic:cNvPicPr>
                  </pic:nvPicPr>
                  <pic:blipFill>
                    <a:blip r:embed="rId36"/>
                    <a:srcRect l="-42" t="-65" r="-42" b="-65"/>
                    <a:stretch>
                      <a:fillRect/>
                    </a:stretch>
                  </pic:blipFill>
                  <pic:spPr bwMode="auto">
                    <a:xfrm>
                      <a:off x="0" y="0"/>
                      <a:ext cx="474980" cy="302260"/>
                    </a:xfrm>
                    <a:prstGeom prst="rect">
                      <a:avLst/>
                    </a:prstGeom>
                  </pic:spPr>
                </pic:pic>
              </a:graphicData>
            </a:graphic>
          </wp:inline>
        </w:drawing>
      </w:r>
      <w:r>
        <w:rPr>
          <w:rFonts w:eastAsia="Arial" w:cs="Times New Roman"/>
          <w:sz w:val="24"/>
          <w:szCs w:val="24"/>
        </w:rPr>
        <w:t xml:space="preserve"> и на коэффициент сезонности</w:t>
      </w:r>
      <w:r>
        <w:rPr/>
        <w:drawing>
          <wp:inline distT="0" distB="0" distL="0" distR="0">
            <wp:extent cx="457200" cy="302895"/>
            <wp:effectExtent l="0" t="0" r="0" b="0"/>
            <wp:docPr id="24"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5" descr=""/>
                    <pic:cNvPicPr>
                      <a:picLocks noChangeAspect="1" noChangeArrowheads="1"/>
                    </pic:cNvPicPr>
                  </pic:nvPicPr>
                  <pic:blipFill>
                    <a:blip r:embed="rId37"/>
                    <a:srcRect l="-43" t="-65" r="-43" b="-65"/>
                    <a:stretch>
                      <a:fillRect/>
                    </a:stretch>
                  </pic:blipFill>
                  <pic:spPr bwMode="auto">
                    <a:xfrm>
                      <a:off x="0" y="0"/>
                      <a:ext cx="457200" cy="302895"/>
                    </a:xfrm>
                    <a:prstGeom prst="rect">
                      <a:avLst/>
                    </a:prstGeom>
                  </pic:spPr>
                </pic:pic>
              </a:graphicData>
            </a:graphic>
          </wp:inline>
        </w:drawing>
      </w:r>
      <w:r>
        <w:rPr>
          <w:rFonts w:eastAsia="Arial" w:cs="Times New Roman"/>
          <w:sz w:val="24"/>
          <w:szCs w:val="24"/>
        </w:rPr>
        <w:t xml:space="preserve">. </w:t>
      </w:r>
    </w:p>
    <w:p>
      <w:pPr>
        <w:pStyle w:val="Normal"/>
        <w:spacing w:before="120" w:after="20"/>
        <w:ind w:firstLine="709"/>
        <w:jc w:val="both"/>
        <w:rPr>
          <w:lang w:val="ru-RU"/>
        </w:rPr>
      </w:pPr>
      <w:r>
        <w:rPr>
          <w:lang w:val="ru-RU"/>
        </w:rPr>
      </w:r>
    </w:p>
    <w:tbl>
      <w:tblPr>
        <w:tblW w:w="1012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40"/>
        <w:gridCol w:w="4879"/>
      </w:tblGrid>
      <w:tr>
        <w:trPr>
          <w:trHeight w:val="282" w:hRule="atLeast"/>
        </w:trPr>
        <w:tc>
          <w:tcPr>
            <w:tcW w:w="5240" w:type="dxa"/>
            <w:tcBorders/>
          </w:tcPr>
          <w:p>
            <w:pPr>
              <w:pStyle w:val="Normal"/>
              <w:widowControl w:val="false"/>
              <w:jc w:val="center"/>
              <w:rPr>
                <w:b/>
              </w:rPr>
            </w:pPr>
            <w:r>
              <w:rPr>
                <w:b/>
              </w:rPr>
              <w:t>Заказчик:</w:t>
            </w:r>
          </w:p>
        </w:tc>
        <w:tc>
          <w:tcPr>
            <w:tcW w:w="4879" w:type="dxa"/>
            <w:tcBorders/>
          </w:tcPr>
          <w:p>
            <w:pPr>
              <w:pStyle w:val="Normal"/>
              <w:widowControl w:val="false"/>
              <w:jc w:val="center"/>
              <w:rPr>
                <w:b/>
              </w:rPr>
            </w:pPr>
            <w:r>
              <w:rPr>
                <w:b/>
                <w:lang w:val="ru-RU"/>
              </w:rPr>
              <w:t>Исполнитель</w:t>
            </w:r>
            <w:r>
              <w:rPr>
                <w:b/>
              </w:rPr>
              <w:t>:</w:t>
            </w:r>
          </w:p>
        </w:tc>
      </w:tr>
      <w:tr>
        <w:trPr>
          <w:trHeight w:val="611" w:hRule="atLeast"/>
        </w:trPr>
        <w:tc>
          <w:tcPr>
            <w:tcW w:w="5240"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487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pStyle w:val="Normal"/>
        <w:spacing w:before="120" w:after="20"/>
        <w:jc w:val="both"/>
        <w:rPr>
          <w:lang w:val="ru-RU"/>
        </w:rPr>
      </w:pPr>
      <w:r>
        <w:rPr/>
      </w:r>
    </w:p>
    <w:sectPr>
      <w:headerReference w:type="default" r:id="rId38"/>
      <w:headerReference w:type="first" r:id="rId39"/>
      <w:footerReference w:type="default" r:id="rId40"/>
      <w:footerReference w:type="first" r:id="rId41"/>
      <w:footnotePr>
        <w:numFmt w:val="decimal"/>
      </w:footnotePr>
      <w:type w:val="nextPage"/>
      <w:pgSz w:w="11906" w:h="16838"/>
      <w:pgMar w:left="1134" w:right="1134" w:gutter="0" w:header="567" w:top="851"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15</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37</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42</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t xml:space="preserve"> </w:t>
      </w:r>
      <w:r>
        <w:rPr>
          <w:shd w:fill="C0C0C0" w:val="clear"/>
        </w:rPr>
        <w:t xml:space="preserve">За исключением отходов черных и цветных металлов, отработанных масел, образующихся от оборудования, зданий, строений и </w:t>
      </w:r>
      <w:r>
        <w:rPr>
          <w:rFonts w:eastAsia="Times New Roman" w:cs="Times New Roman"/>
          <w:color w:val="000000"/>
          <w:kern w:val="0"/>
          <w:sz w:val="20"/>
          <w:szCs w:val="20"/>
          <w:shd w:fill="C0C0C0" w:val="clear"/>
          <w:lang w:val="ru-RU" w:eastAsia="ru-RU" w:bidi="ar-SA"/>
        </w:rPr>
        <w:t>сооружений</w:t>
      </w:r>
      <w:r>
        <w:rPr>
          <w:shd w:fill="C0C0C0" w:val="clear"/>
        </w:rPr>
        <w:t xml:space="preserve"> Заказчика.</w:t>
      </w:r>
    </w:p>
  </w:footnote>
  <w:footnote w:id="3">
    <w:p>
      <w:pPr>
        <w:pStyle w:val="FootnoteText"/>
        <w:rPr/>
      </w:pPr>
      <w:r>
        <w:rPr>
          <w:rStyle w:val="Style6"/>
        </w:rPr>
        <w:footnoteRef/>
      </w:r>
      <w:r>
        <w:rPr/>
        <w:t xml:space="preserve"> </w:t>
      </w:r>
      <w:r>
        <w:rPr/>
        <w:t>Пункт включается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jc w:val="both"/>
        <w:rPr/>
      </w:pPr>
      <w:r>
        <w:rPr>
          <w:rFonts w:eastAsia="Times New Roman" w:cs="Times New Roman"/>
          <w:color w:val="auto"/>
          <w:kern w:val="0"/>
          <w:sz w:val="20"/>
          <w:szCs w:val="20"/>
          <w:lang w:val="ru-RU" w:eastAsia="ru-RU" w:bidi="ar-SA"/>
        </w:rPr>
        <w:t>- утилизации плавмусора.</w:t>
      </w:r>
    </w:p>
  </w:footnote>
  <w:footnote w:id="4">
    <w:p>
      <w:pPr>
        <w:pStyle w:val="FootnoteText"/>
        <w:jc w:val="both"/>
        <w:rPr/>
      </w:pPr>
      <w:r>
        <w:rPr>
          <w:rStyle w:val="Style6"/>
        </w:rPr>
        <w:footnoteRef/>
      </w:r>
      <w:r>
        <w:rPr/>
        <w:t xml:space="preserve"> </w:t>
      </w:r>
      <w:r>
        <w:rPr/>
        <w:t>Согласно требованиям, установленным локальными нормативными документами (актами) в области обращения с отходами на территории Заказчика (инструкциями, положениями и др.).</w:t>
      </w:r>
    </w:p>
  </w:footnote>
  <w:footnote w:id="5">
    <w:p>
      <w:pPr>
        <w:pStyle w:val="FootnoteText"/>
        <w:jc w:val="both"/>
        <w:rPr/>
      </w:pPr>
      <w:r>
        <w:rPr>
          <w:rStyle w:val="Style6"/>
        </w:rPr>
        <w:footnoteRef/>
      </w:r>
      <w:r>
        <w:rPr/>
        <w:t xml:space="preserve"> </w:t>
      </w:r>
      <w:r>
        <w:rPr/>
        <w:t>Пункты включаются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rPr/>
      </w:pPr>
      <w:r>
        <w:rPr>
          <w:rFonts w:eastAsia="Times New Roman" w:cs="Times New Roman"/>
          <w:color w:val="auto"/>
          <w:kern w:val="0"/>
          <w:sz w:val="20"/>
          <w:szCs w:val="20"/>
          <w:lang w:val="ru-RU" w:eastAsia="ru-RU" w:bidi="ar-SA"/>
        </w:rPr>
        <w:t>- утилизации плавмусора.</w:t>
      </w:r>
      <w:r>
        <w:rPr/>
        <w:t xml:space="preserve"> </w:t>
      </w:r>
    </w:p>
  </w:footnote>
  <w:footnote w:id="6">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7">
    <w:p>
      <w:pPr>
        <w:pStyle w:val="FootnoteText"/>
        <w:rPr/>
      </w:pPr>
      <w:r>
        <w:rPr>
          <w:rStyle w:val="Style6"/>
        </w:rPr>
        <w:footnoteRef/>
      </w:r>
      <w:r>
        <w:rPr/>
        <w:t xml:space="preserve"> </w:t>
      </w:r>
      <w:r>
        <w:rPr>
          <w:shd w:fill="auto" w:val="clear"/>
        </w:rPr>
        <w:t>Пункт включается в Договор, включающий выполнение работ / оказание услуг по:</w:t>
      </w:r>
    </w:p>
    <w:p>
      <w:pPr>
        <w:pStyle w:val="FootnoteText"/>
        <w:jc w:val="both"/>
        <w:rPr>
          <w:highlight w:val="none"/>
          <w:shd w:fill="auto" w:val="clear"/>
        </w:rPr>
      </w:pPr>
      <w:r>
        <w:rPr>
          <w:shd w:fill="auto" w:val="clea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000000"/>
          <w:kern w:val="0"/>
          <w:sz w:val="20"/>
          <w:szCs w:val="20"/>
          <w:shd w:fill="auto" w:val="clear"/>
          <w:lang w:val="ru-RU" w:eastAsia="ru-RU" w:bidi="ar-SA"/>
        </w:rPr>
        <w:t>решеток</w:t>
      </w:r>
      <w:r>
        <w:rPr>
          <w:shd w:fill="auto" w:val="clear"/>
        </w:rPr>
        <w:t xml:space="preserve"> / сооружений, порогов пазов ремонтных затворов, </w:t>
      </w:r>
      <w:r>
        <w:rPr>
          <w:rFonts w:eastAsia="Times New Roman" w:cs="Times New Roman"/>
          <w:color w:val="000000"/>
          <w:kern w:val="0"/>
          <w:sz w:val="20"/>
          <w:szCs w:val="20"/>
          <w:shd w:fill="auto" w:val="clear"/>
          <w:lang w:val="ru-RU" w:eastAsia="ru-RU" w:bidi="ar-SA"/>
        </w:rPr>
        <w:t>проводящего</w:t>
      </w:r>
      <w:r>
        <w:rPr>
          <w:shd w:fill="auto" w:val="clear"/>
        </w:rPr>
        <w:t xml:space="preserve"> и отводящего </w:t>
      </w:r>
      <w:r>
        <w:rPr>
          <w:rFonts w:eastAsia="Times New Roman" w:cs="Times New Roman"/>
          <w:color w:val="000000"/>
          <w:kern w:val="0"/>
          <w:sz w:val="20"/>
          <w:szCs w:val="20"/>
          <w:shd w:fill="auto" w:val="clear"/>
          <w:lang w:val="ru-RU" w:eastAsia="ru-RU" w:bidi="ar-SA"/>
        </w:rPr>
        <w:t>каналов</w:t>
      </w:r>
      <w:r>
        <w:rPr>
          <w:shd w:fill="auto" w:val="clear"/>
        </w:rPr>
        <w:t xml:space="preserve"> и </w:t>
      </w:r>
      <w:r>
        <w:rPr>
          <w:rFonts w:eastAsia="Times New Roman" w:cs="Times New Roman"/>
          <w:color w:val="000000"/>
          <w:kern w:val="0"/>
          <w:sz w:val="20"/>
          <w:szCs w:val="20"/>
          <w:shd w:fill="auto" w:val="clear"/>
          <w:lang w:val="ru-RU" w:eastAsia="ru-RU" w:bidi="ar-SA"/>
        </w:rPr>
        <w:t>т.п.;</w:t>
      </w:r>
    </w:p>
    <w:p>
      <w:pPr>
        <w:pStyle w:val="FootnoteText"/>
        <w:jc w:val="both"/>
        <w:rPr>
          <w:highlight w:val="none"/>
          <w:shd w:fill="auto" w:val="clear"/>
        </w:rPr>
      </w:pPr>
      <w:r>
        <w:rPr>
          <w:rFonts w:eastAsia="Times New Roman" w:cs="Times New Roman"/>
          <w:color w:val="000000"/>
          <w:kern w:val="0"/>
          <w:sz w:val="20"/>
          <w:szCs w:val="20"/>
          <w:shd w:fill="auto" w:val="clear"/>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highlight w:val="none"/>
          <w:shd w:fill="auto" w:val="clear"/>
        </w:rPr>
      </w:pPr>
      <w:r>
        <w:rPr>
          <w:rFonts w:eastAsia="Times New Roman" w:cs="Times New Roman"/>
          <w:color w:val="000000"/>
          <w:kern w:val="0"/>
          <w:sz w:val="20"/>
          <w:szCs w:val="20"/>
          <w:shd w:fill="auto" w:val="clear"/>
          <w:lang w:val="ru-RU" w:eastAsia="ru-RU" w:bidi="ar-SA"/>
        </w:rPr>
        <w:t>- техническому обслуживанию оборудования, зданий, сооружений Заказчика;</w:t>
      </w:r>
    </w:p>
    <w:p>
      <w:pPr>
        <w:pStyle w:val="FootnoteText"/>
        <w:rPr>
          <w:highlight w:val="none"/>
          <w:shd w:fill="auto" w:val="clear"/>
        </w:rPr>
      </w:pPr>
      <w:r>
        <w:rPr>
          <w:rFonts w:eastAsia="Times New Roman" w:cs="Times New Roman"/>
          <w:bCs/>
          <w:color w:val="000000"/>
          <w:kern w:val="0"/>
          <w:sz w:val="20"/>
          <w:szCs w:val="20"/>
          <w:shd w:fill="auto" w:val="clear"/>
          <w:lang w:val="ru-RU" w:eastAsia="ru-RU" w:bidi="ar-SA"/>
        </w:rPr>
        <w:t>- утилизации плавмусора.</w:t>
      </w:r>
    </w:p>
  </w:footnote>
  <w:footnote w:id="8">
    <w:p>
      <w:pPr>
        <w:pStyle w:val="FootnoteText"/>
        <w:jc w:val="both"/>
        <w:rPr>
          <w:lang w:val="ru-RU"/>
        </w:rPr>
      </w:pPr>
      <w:r>
        <w:rPr>
          <w:rStyle w:val="Style6"/>
        </w:rPr>
        <w:footnoteRef/>
      </w:r>
      <w:r>
        <w:rPr>
          <w:highlight w:val="lightGray"/>
          <w:lang w:val="ru-RU"/>
        </w:rPr>
        <w:t xml:space="preserve"> </w:t>
      </w:r>
      <w:r>
        <w:rPr>
          <w:highlight w:val="lightGray"/>
          <w:lang w:val="ru-RU"/>
        </w:rPr>
        <w:t>Пункт 2.4.5 включается в Договор в случае, если цена Договора превышает 100 000 000 (сто миллионов) рублей без учета НДС (включительно)</w:t>
      </w:r>
      <w:r>
        <w:rPr>
          <w:lang w:val="ru-RU"/>
        </w:rPr>
        <w:t>.</w:t>
      </w:r>
    </w:p>
  </w:footnote>
  <w:footnote w:id="9">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10">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11">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1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13">
    <w:p>
      <w:pPr>
        <w:pStyle w:val="Normal"/>
        <w:jc w:val="both"/>
        <w:rPr>
          <w:sz w:val="20"/>
          <w:szCs w:val="20"/>
          <w:highlight w:val="yellow"/>
          <w:vertAlign w:val="subscript"/>
          <w:lang w:val="ru-RU"/>
        </w:rPr>
      </w:pPr>
      <w:r>
        <w:rPr>
          <w:rStyle w:val="Style6"/>
        </w:rPr>
        <w:footnoteRef/>
      </w:r>
      <w:r>
        <w:rPr>
          <w:sz w:val="20"/>
          <w:szCs w:val="20"/>
          <w:lang w:val="ru-RU"/>
        </w:rPr>
        <w:t xml:space="preserve"> </w:t>
      </w:r>
      <w:r>
        <w:rPr>
          <w:sz w:val="20"/>
          <w:szCs w:val="20"/>
          <w:lang w:val="ru-RU"/>
        </w:rPr>
        <w:t>Для договоров, заключенных в рамках реализации инвестиционной программы Общества.</w:t>
      </w:r>
    </w:p>
  </w:footnote>
  <w:footnote w:id="14">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5">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16">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17">
    <w:p>
      <w:pPr>
        <w:pStyle w:val="FootnoteText"/>
        <w:rPr/>
      </w:pPr>
      <w:r>
        <w:rPr>
          <w:rStyle w:val="Style6"/>
        </w:rPr>
        <w:footnoteRef/>
      </w:r>
      <w:r>
        <w:rPr/>
        <w:t xml:space="preserve"> </w:t>
      </w:r>
      <w:r>
        <w:rPr/>
        <w:t>Включается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rPr/>
      </w:pPr>
      <w:r>
        <w:rPr>
          <w:rFonts w:eastAsia="Times New Roman" w:cs="Times New Roman"/>
          <w:color w:val="auto"/>
          <w:kern w:val="0"/>
          <w:sz w:val="20"/>
          <w:szCs w:val="20"/>
          <w:lang w:val="ru-RU" w:eastAsia="ru-RU" w:bidi="ar-SA"/>
        </w:rPr>
        <w:t>- утилизации плавмусора.</w:t>
      </w:r>
      <w:r>
        <w:rPr/>
        <w:t xml:space="preserve"> </w:t>
      </w:r>
    </w:p>
  </w:footnote>
  <w:footnote w:id="18">
    <w:p>
      <w:pPr>
        <w:pStyle w:val="FootnoteText"/>
        <w:rPr/>
      </w:pPr>
      <w:r>
        <w:rPr>
          <w:rStyle w:val="Style6"/>
        </w:rPr>
        <w:footnoteRef/>
      </w:r>
      <w:r>
        <w:rPr/>
        <w:t xml:space="preserve"> </w:t>
      </w:r>
      <w:r>
        <w:rPr/>
        <w:t>Включается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rPr/>
      </w:pPr>
      <w:r>
        <w:rPr>
          <w:rFonts w:eastAsia="Times New Roman" w:cs="Times New Roman"/>
          <w:color w:val="auto"/>
          <w:kern w:val="0"/>
          <w:sz w:val="20"/>
          <w:szCs w:val="20"/>
          <w:lang w:val="ru-RU" w:eastAsia="ru-RU" w:bidi="ar-SA"/>
        </w:rPr>
        <w:t>- утилизации плавмусора.</w:t>
      </w:r>
      <w:r>
        <w:rPr/>
        <w:t xml:space="preserve"> </w:t>
      </w:r>
    </w:p>
  </w:footnote>
  <w:footnote w:id="19">
    <w:p>
      <w:pPr>
        <w:pStyle w:val="FootnoteText"/>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20">
    <w:p>
      <w:pPr>
        <w:pStyle w:val="FootnoteText"/>
        <w:rPr/>
      </w:pPr>
      <w:r>
        <w:rPr>
          <w:rStyle w:val="Style6"/>
        </w:rPr>
        <w:footnoteRef/>
      </w:r>
      <w:r>
        <w:rPr/>
        <w:t xml:space="preserve"> </w:t>
      </w:r>
      <w:r>
        <w:rPr/>
        <w:t xml:space="preserve">Подсудность определяется в соответствии с внутренними распорядительными документами Общества. </w:t>
      </w:r>
    </w:p>
  </w:footnote>
  <w:footnote w:id="21">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footnote>
  <w:footnote w:id="22">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23">
    <w:p>
      <w:pPr>
        <w:pStyle w:val="FootnoteText"/>
        <w:rPr/>
      </w:pPr>
      <w:r>
        <w:rPr>
          <w:rStyle w:val="Style6"/>
        </w:rPr>
        <w:footnoteRef/>
      </w:r>
      <w:r>
        <w:rPr/>
        <w:t xml:space="preserve"> </w:t>
      </w:r>
      <w:r>
        <w:rPr/>
        <w:t>Применяется, если не используется УПД.</w:t>
      </w:r>
    </w:p>
  </w:footnote>
  <w:footnote w:id="24">
    <w:p>
      <w:pPr>
        <w:pStyle w:val="FootnoteText"/>
        <w:rPr/>
      </w:pPr>
      <w:r>
        <w:rPr>
          <w:rStyle w:val="Style6"/>
        </w:rPr>
        <w:footnoteRef/>
      </w:r>
      <w:r>
        <w:rPr>
          <w:rFonts w:eastAsia="Times New Roman" w:cs="Times New Roman"/>
          <w:color w:val="auto"/>
          <w:kern w:val="0"/>
          <w:sz w:val="20"/>
          <w:szCs w:val="20"/>
          <w:lang w:val="ru-RU" w:eastAsia="ru-RU" w:bidi="ar-SA"/>
        </w:rPr>
        <w:t xml:space="preserve"> </w:t>
      </w:r>
      <w:r>
        <w:rPr>
          <w:rFonts w:eastAsia="Times New Roman" w:cs="Times New Roman"/>
          <w:color w:val="auto"/>
          <w:kern w:val="0"/>
          <w:sz w:val="20"/>
          <w:szCs w:val="20"/>
          <w:lang w:val="ru-RU" w:eastAsia="ru-RU" w:bidi="ar-SA"/>
        </w:rPr>
        <w:t>Включается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rPr/>
      </w:pPr>
      <w:r>
        <w:rPr>
          <w:rFonts w:eastAsia="Times New Roman" w:cs="Times New Roman"/>
          <w:color w:val="auto"/>
          <w:kern w:val="0"/>
          <w:sz w:val="20"/>
          <w:szCs w:val="20"/>
          <w:lang w:val="ru-RU" w:eastAsia="ru-RU" w:bidi="ar-SA"/>
        </w:rPr>
        <w:t xml:space="preserve">- утилизации плавмусора. </w:t>
      </w:r>
    </w:p>
  </w:footnote>
  <w:footnote w:id="25">
    <w:p>
      <w:pPr>
        <w:pStyle w:val="FootnoteText"/>
        <w:jc w:val="both"/>
        <w:rPr>
          <w:lang w:val="ru-RU"/>
        </w:rPr>
      </w:pPr>
      <w:r>
        <w:rPr>
          <w:rStyle w:val="Style6"/>
        </w:rPr>
        <w:footnoteRef/>
      </w:r>
      <w:r>
        <w:rPr>
          <w:lang w:val="ru-RU"/>
        </w:rPr>
        <w:t xml:space="preserve"> </w:t>
      </w:r>
      <w:r>
        <w:rPr>
          <w:lang w:val="ru-RU"/>
        </w:rPr>
        <w:t xml:space="preserve">Актуальный Перечень Банков-Гарантов Группы РусГидро размещен на официальном сайте Общества </w:t>
      </w:r>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p>
  </w:footnote>
  <w:footnote w:id="26">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27">
    <w:p>
      <w:pPr>
        <w:pStyle w:val="FootnoteText"/>
        <w:jc w:val="both"/>
        <w:rPr>
          <w:lang w:val="ru-RU"/>
        </w:rPr>
      </w:pPr>
      <w:r>
        <w:rPr>
          <w:rStyle w:val="Style6"/>
        </w:rPr>
        <w:footnoteRef/>
      </w:r>
      <w:r>
        <w:rPr>
          <w:lang w:val="ru-RU"/>
        </w:rPr>
        <w:t xml:space="preserve"> </w:t>
      </w:r>
      <w:r>
        <w:rPr>
          <w:lang w:val="ru-RU"/>
        </w:rPr>
        <w:t>Данное требование не применяется в отношении небанковских кредитных организаций.</w:t>
      </w:r>
    </w:p>
  </w:footnote>
  <w:footnote w:id="28">
    <w:p>
      <w:pPr>
        <w:pStyle w:val="FootnoteText"/>
        <w:jc w:val="both"/>
        <w:rPr>
          <w:lang w:val="ru-RU"/>
        </w:rPr>
      </w:pPr>
      <w:r>
        <w:rPr>
          <w:rStyle w:val="Style6"/>
        </w:rPr>
        <w:footnoteRef/>
      </w:r>
      <w:r>
        <w:rPr>
          <w:lang w:val="ru-RU"/>
        </w:rPr>
        <w:t xml:space="preserve"> </w:t>
      </w:r>
      <w:r>
        <w:rPr>
          <w:lang w:val="ru-RU"/>
        </w:rPr>
        <w:t>При издании ПО организационно-распорядительного документа о ТФУ данный критерий может быть исключен.</w:t>
      </w:r>
    </w:p>
  </w:footnote>
  <w:footnote w:id="29">
    <w:p>
      <w:pPr>
        <w:pStyle w:val="FootnoteText"/>
        <w:jc w:val="both"/>
        <w:rPr/>
      </w:pPr>
      <w:r>
        <w:rPr>
          <w:rStyle w:val="Style6"/>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30">
    <w:p>
      <w:pPr>
        <w:pStyle w:val="FootnoteText"/>
        <w:jc w:val="both"/>
        <w:rPr/>
      </w:pPr>
      <w:r>
        <w:rPr>
          <w:rStyle w:val="Style6"/>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 w:id="31">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0">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3">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4">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5">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7">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8">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2">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33">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abstractNum w:abstractNumId="3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00"/>
  <w:trackRevisions/>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LineNumber">
    <w:name w:val="Line Number"/>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image" Target="media/image1.png"/><Relationship Id="rId15" Type="http://schemas.openxmlformats.org/officeDocument/2006/relationships/image" Target="media/image2.wmf"/><Relationship Id="rId16" Type="http://schemas.openxmlformats.org/officeDocument/2006/relationships/image" Target="media/image3.wmf"/><Relationship Id="rId17" Type="http://schemas.openxmlformats.org/officeDocument/2006/relationships/image" Target="media/image4.wmf"/><Relationship Id="rId18" Type="http://schemas.openxmlformats.org/officeDocument/2006/relationships/image" Target="media/image5.wmf"/><Relationship Id="rId19" Type="http://schemas.openxmlformats.org/officeDocument/2006/relationships/image" Target="media/image6.wmf"/><Relationship Id="rId20" Type="http://schemas.openxmlformats.org/officeDocument/2006/relationships/image" Target="media/image7.wmf"/><Relationship Id="rId21" Type="http://schemas.openxmlformats.org/officeDocument/2006/relationships/image" Target="media/image8.wmf"/><Relationship Id="rId22" Type="http://schemas.openxmlformats.org/officeDocument/2006/relationships/image" Target="media/image9.wmf"/><Relationship Id="rId23" Type="http://schemas.openxmlformats.org/officeDocument/2006/relationships/image" Target="media/image10.wmf"/><Relationship Id="rId24" Type="http://schemas.openxmlformats.org/officeDocument/2006/relationships/image" Target="media/image11.wmf"/><Relationship Id="rId25" Type="http://schemas.openxmlformats.org/officeDocument/2006/relationships/image" Target="media/image12.wmf"/><Relationship Id="rId26" Type="http://schemas.openxmlformats.org/officeDocument/2006/relationships/image" Target="media/image13.wmf"/><Relationship Id="rId27" Type="http://schemas.openxmlformats.org/officeDocument/2006/relationships/image" Target="media/image14.wmf"/><Relationship Id="rId28" Type="http://schemas.openxmlformats.org/officeDocument/2006/relationships/image" Target="media/image15.wmf"/><Relationship Id="rId29" Type="http://schemas.openxmlformats.org/officeDocument/2006/relationships/image" Target="media/image16.wmf"/><Relationship Id="rId30" Type="http://schemas.openxmlformats.org/officeDocument/2006/relationships/image" Target="media/image17.wmf"/><Relationship Id="rId31" Type="http://schemas.openxmlformats.org/officeDocument/2006/relationships/image" Target="media/image18.wmf"/><Relationship Id="rId32" Type="http://schemas.openxmlformats.org/officeDocument/2006/relationships/image" Target="media/image19.wmf"/><Relationship Id="rId33" Type="http://schemas.openxmlformats.org/officeDocument/2006/relationships/image" Target="media/image20.wmf"/><Relationship Id="rId34" Type="http://schemas.openxmlformats.org/officeDocument/2006/relationships/image" Target="media/image21.wmf"/><Relationship Id="rId35" Type="http://schemas.openxmlformats.org/officeDocument/2006/relationships/image" Target="media/image22.wmf"/><Relationship Id="rId36" Type="http://schemas.openxmlformats.org/officeDocument/2006/relationships/image" Target="media/image21.wmf"/><Relationship Id="rId37" Type="http://schemas.openxmlformats.org/officeDocument/2006/relationships/image" Target="media/image22.wmf"/><Relationship Id="rId38" Type="http://schemas.openxmlformats.org/officeDocument/2006/relationships/header" Target="header5.xml"/><Relationship Id="rId39" Type="http://schemas.openxmlformats.org/officeDocument/2006/relationships/header" Target="header6.xml"/><Relationship Id="rId40" Type="http://schemas.openxmlformats.org/officeDocument/2006/relationships/footer" Target="footer4.xml"/><Relationship Id="rId41" Type="http://schemas.openxmlformats.org/officeDocument/2006/relationships/footer" Target="footer5.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Relationship Id="rId48" Type="http://schemas.openxmlformats.org/officeDocument/2006/relationships/customXml" Target="../customXml/item2.xml"/><Relationship Id="rId49" Type="http://schemas.openxmlformats.org/officeDocument/2006/relationships/customXml" Target="../customXml/item3.xml"/><Relationship Id="rId50" Type="http://schemas.openxmlformats.org/officeDocument/2006/relationships/customXml" Target="../customXml/item4.xml"/><Relationship Id="rId51" Type="http://schemas.openxmlformats.org/officeDocument/2006/relationships/customXml" Target="../customXml/item5.xml"/><Relationship Id="rId52" Type="http://schemas.openxmlformats.org/officeDocument/2006/relationships/customXml" Target="../customXml/item6.xml"/><Relationship Id="rId5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C9A2-10E7-4C04-A2DB-7359FD9AAC44}">
  <ds:schemaRefs>
    <ds:schemaRef ds:uri="http://schemas.openxmlformats.org/officeDocument/2006/bibliography"/>
  </ds:schemaRefs>
</ds:datastoreItem>
</file>

<file path=customXml/itemProps2.xml><?xml version="1.0" encoding="utf-8"?>
<ds:datastoreItem xmlns:ds="http://schemas.openxmlformats.org/officeDocument/2006/customXml" ds:itemID="{EBA68855-7C68-481C-80A6-819C04724242}">
  <ds:schemaRefs>
    <ds:schemaRef ds:uri="http://schemas.openxmlformats.org/officeDocument/2006/bibliography"/>
  </ds:schemaRefs>
</ds:datastoreItem>
</file>

<file path=customXml/itemProps3.xml><?xml version="1.0" encoding="utf-8"?>
<ds:datastoreItem xmlns:ds="http://schemas.openxmlformats.org/officeDocument/2006/customXml" ds:itemID="{5F11E145-07CE-4830-9F82-24C9C55F018F}">
  <ds:schemaRefs>
    <ds:schemaRef ds:uri="http://schemas.openxmlformats.org/officeDocument/2006/bibliography"/>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7.xml><?xml version="1.0" encoding="utf-8"?>
<ds:datastoreItem xmlns:ds="http://schemas.openxmlformats.org/officeDocument/2006/customXml" ds:itemID="{19A5F790-E5E4-433F-A617-9D40C1C2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Application>AlterOffice/3.4.0.9$Linux_X86_64 LibreOffice_project/b8daf9e823b1a5463a2f48435ddc2e8696e7d4fc</Application>
  <AppVersion>15.0000</AppVersion>
  <Pages>42</Pages>
  <Words>14296</Words>
  <Characters>102489</Characters>
  <CharactersWithSpaces>108855</CharactersWithSpaces>
  <Paragraphs>716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Наталья Николаевна Новокрещенова</cp:lastModifiedBy>
  <cp:lastPrinted>2016-12-15T13:00:00Z</cp:lastPrinted>
  <dcterms:modified xsi:type="dcterms:W3CDTF">2026-06-24T15:01:24Z</dcterms:modified>
  <cp:revision>141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