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540" w:firstLine="708"/>
        <w:rPr/>
      </w:pPr>
      <w:r>
        <w:rPr/>
      </w:r>
    </w:p>
    <w:p>
      <w:pPr>
        <w:pStyle w:val="Normal"/>
        <w:ind w:left="3540" w:firstLine="708"/>
        <w:rPr/>
      </w:pPr>
      <w:r>
        <w:rPr/>
      </w:r>
    </w:p>
    <w:p>
      <w:pPr>
        <w:pStyle w:val="Normal"/>
        <w:ind w:left="3540" w:firstLine="708"/>
        <w:rPr/>
      </w:pPr>
      <w:r>
        <w:rPr/>
        <w:t xml:space="preserve">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8865" w:leader="none"/>
        </w:tabs>
        <w:ind w:right="-766" w:hanging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8865" w:leader="none"/>
        </w:tabs>
        <w:ind w:right="-766" w:hanging="0"/>
        <w:jc w:val="right"/>
        <w:rPr/>
      </w:pPr>
      <w:r>
        <w:rPr/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rPr>
          <w:sz w:val="28"/>
          <w:szCs w:val="28"/>
        </w:rPr>
      </w:pPr>
      <w:bookmarkStart w:id="0" w:name="_Toc137554595"/>
      <w:r>
        <w:rPr>
          <w:sz w:val="28"/>
          <w:szCs w:val="28"/>
        </w:rPr>
        <w:t>Т</w:t>
      </w:r>
      <w:bookmarkEnd w:id="0"/>
      <w:r>
        <w:rPr>
          <w:sz w:val="28"/>
          <w:szCs w:val="28"/>
        </w:rPr>
        <w:t>ехнические требования на оказание услуг</w:t>
      </w:r>
    </w:p>
    <w:p>
      <w:pPr>
        <w:pStyle w:val="Normal"/>
        <w:rPr/>
      </w:pPr>
      <w:r>
        <w:rPr/>
      </w:r>
    </w:p>
    <w:p>
      <w:pPr>
        <w:pStyle w:val="Heading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ОКПД 2 71.20.19.190 </w:t>
      </w:r>
      <w:bookmarkStart w:id="1" w:name="_Toc137554596"/>
      <w:r>
        <w:rPr>
          <w:bCs/>
          <w:sz w:val="28"/>
          <w:szCs w:val="28"/>
        </w:rPr>
        <w:t>оценка соответствия отработавших назначенный срок службы лифтов блока № 1-4 Камской ГЭС в объёме обследования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TOC1"/>
        <w:tabs>
          <w:tab w:val="clear" w:pos="9668"/>
          <w:tab w:val="left" w:pos="560" w:leader="none"/>
          <w:tab w:val="right" w:pos="9911" w:leader="dot"/>
        </w:tabs>
        <w:rPr/>
      </w:pPr>
      <w:r>
        <w:rPr>
          <w:rStyle w:val="Style15"/>
          <w:b/>
          <w:bCs/>
          <w:sz w:val="24"/>
          <w:szCs w:val="24"/>
        </w:rPr>
        <w:t>1.</w:t>
      </w:r>
      <w:r>
        <w:rPr>
          <w:rStyle w:val="Style15"/>
          <w:rFonts w:eastAsia="" w:cs="" w:cstheme="minorBidi" w:eastAsiaTheme="minorEastAsia"/>
          <w:b/>
          <w:bCs/>
          <w:sz w:val="24"/>
          <w:szCs w:val="24"/>
        </w:rPr>
        <w:tab/>
      </w:r>
      <w:r>
        <w:rPr>
          <w:rStyle w:val="Style15"/>
          <w:b/>
          <w:bCs/>
          <w:sz w:val="24"/>
          <w:szCs w:val="24"/>
        </w:rPr>
        <w:t>Общие сведения</w:t>
      </w:r>
      <w:r>
        <w:rPr>
          <w:rStyle w:val="Style15"/>
          <w:sz w:val="24"/>
          <w:szCs w:val="24"/>
        </w:rPr>
        <w:t>……………………………………………………………………………...</w:t>
      </w:r>
      <w:r>
        <w:rPr>
          <w:sz w:val="24"/>
          <w:szCs w:val="24"/>
        </w:rPr>
        <w:t>3</w:t>
      </w:r>
    </w:p>
    <w:p>
      <w:pPr>
        <w:pStyle w:val="TOC4"/>
        <w:rPr/>
      </w:pPr>
      <w:r>
        <w:rPr>
          <w:rStyle w:val="Style15"/>
          <w:iCs/>
          <w:sz w:val="24"/>
          <w:szCs w:val="24"/>
        </w:rPr>
        <w:t>1.1.</w:t>
      </w:r>
      <w:r>
        <w:rPr>
          <w:rStyle w:val="Style15"/>
          <w:rFonts w:eastAsia="" w:cs="" w:cstheme="minorBidi" w:eastAsiaTheme="minorEastAsia"/>
          <w:sz w:val="24"/>
          <w:szCs w:val="24"/>
        </w:rPr>
        <w:tab/>
      </w:r>
      <w:r>
        <w:rPr>
          <w:rStyle w:val="Style15"/>
          <w:sz w:val="24"/>
          <w:szCs w:val="24"/>
        </w:rPr>
        <w:t>Обозначения и сокращения…………………………………………………………….</w:t>
      </w:r>
      <w:r>
        <w:rPr>
          <w:sz w:val="24"/>
          <w:szCs w:val="24"/>
        </w:rPr>
        <w:t>3</w:t>
      </w:r>
    </w:p>
    <w:p>
      <w:pPr>
        <w:pStyle w:val="TOC4"/>
        <w:rPr/>
      </w:pPr>
      <w:r>
        <w:rPr>
          <w:rStyle w:val="Style15"/>
          <w:iCs/>
          <w:sz w:val="24"/>
          <w:szCs w:val="24"/>
        </w:rPr>
        <w:t>1.2.</w:t>
      </w:r>
      <w:r>
        <w:rPr>
          <w:rStyle w:val="Style15"/>
          <w:rFonts w:eastAsia="" w:cs="" w:cstheme="minorBidi" w:eastAsiaTheme="minorEastAsia"/>
          <w:sz w:val="24"/>
          <w:szCs w:val="24"/>
        </w:rPr>
        <w:tab/>
      </w:r>
      <w:r>
        <w:rPr>
          <w:rStyle w:val="Style15"/>
          <w:sz w:val="24"/>
          <w:szCs w:val="24"/>
        </w:rPr>
        <w:t>Наименование закупаемой услуги……………………………………………………..</w:t>
      </w:r>
      <w:r>
        <w:rPr>
          <w:sz w:val="24"/>
          <w:szCs w:val="24"/>
        </w:rPr>
        <w:t>3</w:t>
      </w:r>
    </w:p>
    <w:p>
      <w:pPr>
        <w:pStyle w:val="TOC4"/>
        <w:rPr/>
      </w:pPr>
      <w:r>
        <w:rPr>
          <w:rStyle w:val="Style15"/>
          <w:iCs/>
          <w:sz w:val="24"/>
          <w:szCs w:val="24"/>
        </w:rPr>
        <w:t>1.3.</w:t>
      </w:r>
      <w:r>
        <w:rPr>
          <w:rStyle w:val="Style15"/>
          <w:rFonts w:eastAsia="" w:cs="" w:cstheme="minorBidi" w:eastAsiaTheme="minorEastAsia"/>
          <w:sz w:val="24"/>
          <w:szCs w:val="24"/>
        </w:rPr>
        <w:tab/>
      </w:r>
      <w:r>
        <w:rPr>
          <w:rStyle w:val="Style15"/>
          <w:sz w:val="24"/>
          <w:szCs w:val="24"/>
        </w:rPr>
        <w:t>Цель оказания услуг…………………………………………………………………….</w:t>
      </w:r>
      <w:r>
        <w:rPr>
          <w:sz w:val="24"/>
          <w:szCs w:val="24"/>
        </w:rPr>
        <w:t>3</w:t>
      </w:r>
    </w:p>
    <w:p>
      <w:pPr>
        <w:pStyle w:val="TOC4"/>
        <w:rPr/>
      </w:pPr>
      <w:r>
        <w:rPr>
          <w:rStyle w:val="Style15"/>
          <w:iCs/>
          <w:sz w:val="24"/>
          <w:szCs w:val="24"/>
        </w:rPr>
        <w:t>1.4.</w:t>
      </w:r>
      <w:r>
        <w:rPr>
          <w:rStyle w:val="Style15"/>
          <w:rFonts w:eastAsia="" w:cs="" w:cstheme="minorBidi" w:eastAsiaTheme="minorEastAsia"/>
          <w:sz w:val="24"/>
          <w:szCs w:val="24"/>
        </w:rPr>
        <w:tab/>
      </w:r>
      <w:r>
        <w:rPr>
          <w:rStyle w:val="Style15"/>
          <w:sz w:val="24"/>
          <w:szCs w:val="24"/>
        </w:rPr>
        <w:t>Существующее положение……………………………………………………………..</w:t>
      </w:r>
      <w:r>
        <w:rPr>
          <w:sz w:val="24"/>
          <w:szCs w:val="24"/>
        </w:rPr>
        <w:t>3</w:t>
      </w:r>
    </w:p>
    <w:p>
      <w:pPr>
        <w:pStyle w:val="TOC1"/>
        <w:tabs>
          <w:tab w:val="clear" w:pos="9668"/>
          <w:tab w:val="right" w:pos="9911" w:leader="dot"/>
        </w:tabs>
        <w:rPr/>
      </w:pPr>
      <w:r>
        <w:rPr>
          <w:rStyle w:val="Style15"/>
          <w:b/>
          <w:bCs/>
          <w:sz w:val="24"/>
          <w:szCs w:val="24"/>
        </w:rPr>
        <w:t>Таблица 1. Перечень объектов заказчика</w:t>
      </w:r>
      <w:r>
        <w:rPr>
          <w:rStyle w:val="Style15"/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4</w:t>
      </w:r>
    </w:p>
    <w:p>
      <w:pPr>
        <w:pStyle w:val="TOC4"/>
        <w:rPr/>
      </w:pPr>
      <w:r>
        <w:rPr>
          <w:rStyle w:val="Style15"/>
          <w:iCs/>
          <w:sz w:val="24"/>
          <w:szCs w:val="24"/>
        </w:rPr>
        <w:t>1.5.</w:t>
      </w:r>
      <w:r>
        <w:rPr>
          <w:rStyle w:val="Style15"/>
          <w:rFonts w:eastAsia="" w:cs="" w:cstheme="minorBidi" w:eastAsiaTheme="minorEastAsia"/>
          <w:sz w:val="24"/>
          <w:szCs w:val="24"/>
        </w:rPr>
        <w:tab/>
      </w:r>
      <w:r>
        <w:rPr>
          <w:rStyle w:val="Style15"/>
          <w:sz w:val="24"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договора)……………………………………………5</w:t>
      </w:r>
    </w:p>
    <w:p>
      <w:pPr>
        <w:pStyle w:val="Normal"/>
        <w:ind w:firstLine="567"/>
        <w:rPr/>
      </w:pPr>
      <w:r>
        <w:rPr>
          <w:sz w:val="24"/>
          <w:szCs w:val="24"/>
        </w:rPr>
        <w:t>1.6. Иные требования и сведения общего характера………………………………………..5</w:t>
      </w:r>
    </w:p>
    <w:p>
      <w:pPr>
        <w:pStyle w:val="Normal"/>
        <w:rPr/>
      </w:pPr>
      <w:r>
        <w:rPr>
          <w:rStyle w:val="Style15"/>
          <w:rFonts w:cs="Calibri" w:cstheme="minorHAnsi"/>
          <w:b/>
          <w:bCs/>
          <w:sz w:val="24"/>
          <w:szCs w:val="24"/>
        </w:rPr>
        <w:t>2. Требования к услугам</w:t>
      </w:r>
      <w:r>
        <w:rPr>
          <w:rStyle w:val="Style15"/>
          <w:rFonts w:cs="Calibri" w:cstheme="minorHAnsi"/>
          <w:sz w:val="24"/>
          <w:szCs w:val="24"/>
        </w:rPr>
        <w:t>…………………………………………………………………………..6</w:t>
      </w:r>
    </w:p>
    <w:p>
      <w:pPr>
        <w:pStyle w:val="TOC4"/>
        <w:rPr>
          <w:rStyle w:val="Style15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/>
      </w:pPr>
      <w:r>
        <w:rPr>
          <w:rStyle w:val="Style15"/>
          <w:rFonts w:cs="Calibri" w:cstheme="minorHAnsi"/>
          <w:sz w:val="24"/>
          <w:szCs w:val="24"/>
        </w:rPr>
        <w:t>2.1. Требования к объемам и срокам оказания услуг……………………………………….6</w:t>
      </w:r>
    </w:p>
    <w:p>
      <w:pPr>
        <w:pStyle w:val="TOC3"/>
        <w:tabs>
          <w:tab w:val="clear" w:pos="708"/>
          <w:tab w:val="left" w:pos="1120" w:leader="none"/>
          <w:tab w:val="right" w:pos="9911" w:leader="dot"/>
        </w:tabs>
        <w:ind w:left="283" w:firstLine="283"/>
        <w:rPr/>
      </w:pPr>
      <w:r>
        <w:rPr>
          <w:rStyle w:val="Style15"/>
          <w:sz w:val="24"/>
          <w:szCs w:val="24"/>
        </w:rPr>
        <w:t>2.1.1 Требования к перечню и объему услуг………………………………………………...6</w:t>
      </w:r>
    </w:p>
    <w:p>
      <w:pPr>
        <w:pStyle w:val="TOC3"/>
        <w:tabs>
          <w:tab w:val="clear" w:pos="708"/>
          <w:tab w:val="left" w:pos="1120" w:leader="none"/>
          <w:tab w:val="right" w:pos="9911" w:leader="dot"/>
        </w:tabs>
        <w:ind w:left="283" w:hanging="283"/>
        <w:rPr/>
      </w:pPr>
      <w:r>
        <w:rPr>
          <w:rStyle w:val="Style15"/>
          <w:b/>
          <w:bCs/>
          <w:sz w:val="24"/>
          <w:szCs w:val="24"/>
        </w:rPr>
        <w:t>Таблица 2. Перечень и объем оказываемых услуг</w:t>
      </w:r>
      <w:r>
        <w:rPr>
          <w:rStyle w:val="Style15"/>
          <w:sz w:val="24"/>
          <w:szCs w:val="24"/>
        </w:rPr>
        <w:t>………………………………………...…..6</w:t>
      </w:r>
    </w:p>
    <w:p>
      <w:pPr>
        <w:pStyle w:val="TOC3"/>
        <w:tabs>
          <w:tab w:val="clear" w:pos="708"/>
          <w:tab w:val="left" w:pos="1120" w:leader="none"/>
          <w:tab w:val="right" w:pos="9911" w:leader="dot"/>
        </w:tabs>
        <w:ind w:left="283" w:firstLine="283"/>
        <w:rPr/>
      </w:pPr>
      <w:r>
        <w:rPr>
          <w:rStyle w:val="Style15"/>
          <w:sz w:val="24"/>
          <w:szCs w:val="24"/>
        </w:rPr>
        <w:t>2.1.2.</w:t>
        <w:tab/>
        <w:t>Требования к срокам оказания услуг…………………………………………………..6</w:t>
      </w:r>
    </w:p>
    <w:p>
      <w:pPr>
        <w:pStyle w:val="TOC1"/>
        <w:tabs>
          <w:tab w:val="clear" w:pos="9668"/>
          <w:tab w:val="right" w:pos="9911" w:leader="dot"/>
        </w:tabs>
        <w:rPr/>
      </w:pPr>
      <w:r>
        <w:rPr>
          <w:rStyle w:val="Style15"/>
          <w:rFonts w:eastAsia="Times New Roman" w:cs="Calibri" w:cstheme="minorHAnsi"/>
          <w:b/>
          <w:bCs/>
          <w:sz w:val="24"/>
          <w:szCs w:val="24"/>
        </w:rPr>
        <w:t>Таблица 3. Требования к срокам оказания услуг</w:t>
      </w:r>
      <w:r>
        <w:rPr>
          <w:rStyle w:val="Style15"/>
          <w:rFonts w:eastAsia="Times New Roman" w:cs="Calibri" w:cstheme="minorHAnsi"/>
          <w:sz w:val="24"/>
          <w:szCs w:val="24"/>
        </w:rPr>
        <w:t>……………………………………………...6</w:t>
      </w:r>
    </w:p>
    <w:p>
      <w:pPr>
        <w:pStyle w:val="TOC4"/>
        <w:rPr/>
      </w:pPr>
      <w:r>
        <w:rPr>
          <w:rStyle w:val="Style15"/>
          <w:sz w:val="24"/>
          <w:szCs w:val="24"/>
        </w:rPr>
        <w:t>2.2.</w:t>
        <w:tab/>
        <w:t>Требования к качеству услуг….………………………………………………………..7</w:t>
      </w:r>
    </w:p>
    <w:p>
      <w:pPr>
        <w:pStyle w:val="TOC1"/>
        <w:tabs>
          <w:tab w:val="clear" w:pos="9668"/>
          <w:tab w:val="right" w:pos="9911" w:leader="dot"/>
        </w:tabs>
        <w:rPr/>
      </w:pPr>
      <w:r>
        <w:rPr>
          <w:rStyle w:val="Style15"/>
          <w:rFonts w:eastAsia="Times New Roman" w:cs="Calibri" w:cstheme="minorHAnsi"/>
          <w:b/>
          <w:bCs/>
          <w:sz w:val="24"/>
          <w:szCs w:val="24"/>
        </w:rPr>
        <w:t>Таблица 4. Требования к качеству услуг</w:t>
      </w:r>
      <w:r>
        <w:rPr>
          <w:rStyle w:val="Style15"/>
          <w:rFonts w:eastAsia="Times New Roman" w:cs="Calibri" w:cstheme="minorHAnsi"/>
          <w:sz w:val="24"/>
          <w:szCs w:val="24"/>
        </w:rPr>
        <w:t>……………………………………………………....7</w:t>
      </w:r>
    </w:p>
    <w:p>
      <w:pPr>
        <w:pStyle w:val="TOC1"/>
        <w:tabs>
          <w:tab w:val="clear" w:pos="9668"/>
          <w:tab w:val="left" w:pos="560" w:leader="none"/>
          <w:tab w:val="right" w:pos="9911" w:leader="dot"/>
        </w:tabs>
        <w:rPr/>
      </w:pPr>
      <w:r>
        <w:rPr>
          <w:rStyle w:val="Style15"/>
          <w:b/>
          <w:bCs/>
          <w:sz w:val="24"/>
          <w:szCs w:val="24"/>
        </w:rPr>
        <w:t>3. Требования к документации по ценообразованию на этапе закупки</w:t>
      </w:r>
      <w:r>
        <w:rPr>
          <w:rStyle w:val="Style15"/>
          <w:sz w:val="24"/>
          <w:szCs w:val="24"/>
        </w:rPr>
        <w:t>…………………...11</w:t>
      </w:r>
    </w:p>
    <w:p>
      <w:pPr>
        <w:pStyle w:val="TOC1"/>
        <w:tabs>
          <w:tab w:val="clear" w:pos="9668"/>
          <w:tab w:val="left" w:pos="560" w:leader="none"/>
          <w:tab w:val="right" w:pos="9911" w:leader="dot"/>
        </w:tabs>
        <w:rPr/>
      </w:pPr>
      <w:r>
        <w:rPr>
          <w:rStyle w:val="Style15"/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</w:t>
      </w:r>
      <w:r>
        <w:rPr>
          <w:rStyle w:val="Style15"/>
          <w:sz w:val="24"/>
          <w:szCs w:val="24"/>
        </w:rPr>
        <w:t>…………………………………………………………………………………………….11</w:t>
      </w:r>
    </w:p>
    <w:p>
      <w:pPr>
        <w:pStyle w:val="TOC1"/>
        <w:tabs>
          <w:tab w:val="clear" w:pos="9668"/>
          <w:tab w:val="left" w:pos="560" w:leader="none"/>
          <w:tab w:val="right" w:pos="9911" w:leader="dot"/>
        </w:tabs>
        <w:rPr/>
      </w:pPr>
      <w:r>
        <w:rPr>
          <w:rStyle w:val="Style15"/>
          <w:b/>
          <w:bCs/>
          <w:sz w:val="24"/>
          <w:szCs w:val="24"/>
        </w:rPr>
        <w:t xml:space="preserve">5. </w:t>
      </w:r>
      <w:r>
        <w:rPr>
          <w:rStyle w:val="Style15"/>
          <w:b/>
          <w:bCs/>
          <w:iCs/>
          <w:sz w:val="24"/>
          <w:szCs w:val="24"/>
        </w:rPr>
        <w:t>Приложения</w:t>
      </w:r>
      <w:r>
        <w:rPr>
          <w:rStyle w:val="Style15"/>
          <w:iCs/>
          <w:sz w:val="24"/>
          <w:szCs w:val="24"/>
        </w:rPr>
        <w:t>…………………………………………………………………………………....</w:t>
      </w:r>
      <w:r>
        <w:rPr>
          <w:rStyle w:val="Style15"/>
          <w:sz w:val="24"/>
          <w:szCs w:val="24"/>
        </w:rPr>
        <w:t>11</w:t>
      </w:r>
      <w:r>
        <w:br w:type="page"/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76" w:before="240" w:after="60"/>
        <w:rPr>
          <w:szCs w:val="24"/>
        </w:rPr>
      </w:pPr>
      <w:r>
        <w:rPr>
          <w:szCs w:val="24"/>
        </w:rPr>
        <w:t xml:space="preserve">1. </w:t>
      </w:r>
      <w:bookmarkStart w:id="2" w:name="_Toc127966225"/>
      <w:r>
        <w:rPr>
          <w:szCs w:val="24"/>
        </w:rPr>
        <w:t>Общие сведения</w:t>
      </w:r>
      <w:bookmarkEnd w:id="2"/>
    </w:p>
    <w:p>
      <w:pPr>
        <w:pStyle w:val="Heading1"/>
        <w:spacing w:lineRule="auto" w:line="276" w:before="240" w:after="60"/>
        <w:jc w:val="left"/>
        <w:rPr>
          <w:szCs w:val="24"/>
        </w:rPr>
      </w:pPr>
      <w:r>
        <w:rPr>
          <w:szCs w:val="24"/>
        </w:rPr>
        <w:t xml:space="preserve">1.1. </w:t>
      </w:r>
      <w:bookmarkStart w:id="3" w:name="_Toc2179790"/>
      <w:bookmarkStart w:id="4" w:name="_Toc127966226"/>
      <w:r>
        <w:rPr>
          <w:szCs w:val="24"/>
        </w:rPr>
        <w:t>Обозначения и сокращения</w:t>
      </w:r>
      <w:bookmarkEnd w:id="3"/>
      <w:bookmarkEnd w:id="4"/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838"/>
        <w:gridCol w:w="4839"/>
      </w:tblGrid>
      <w:tr>
        <w:trPr/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ПАО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организации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ПТБ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НИОКР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научно-исследовательские, опытно-конструкторские и технологические работы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РД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ТТ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СНИП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нормы и правила</w:t>
            </w:r>
          </w:p>
        </w:tc>
      </w:tr>
      <w:tr>
        <w:trPr/>
        <w:tc>
          <w:tcPr>
            <w:tcW w:w="4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НТД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</w:tbl>
    <w:p>
      <w:pPr>
        <w:pStyle w:val="Heading1"/>
        <w:spacing w:lineRule="auto" w:line="276" w:before="240" w:after="60"/>
        <w:jc w:val="left"/>
        <w:rPr/>
      </w:pPr>
      <w:r>
        <w:rPr>
          <w:szCs w:val="24"/>
        </w:rPr>
        <w:t xml:space="preserve">1.2. </w:t>
      </w:r>
      <w:bookmarkStart w:id="5" w:name="_Toc2179791"/>
      <w:bookmarkStart w:id="6" w:name="_Toc127966227"/>
      <w:r>
        <w:rPr>
          <w:szCs w:val="24"/>
        </w:rPr>
        <w:t>Наименование закупаемой услуги</w:t>
      </w:r>
      <w:bookmarkEnd w:id="5"/>
      <w:bookmarkEnd w:id="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ОКПД 2 71.20.19.190  Оценка соответствия отработавших назначенный срок службы лифтов блока №1-4 Камской ГЭС в объёме обследования.</w:t>
      </w:r>
    </w:p>
    <w:p>
      <w:pPr>
        <w:pStyle w:val="Heading1"/>
        <w:spacing w:lineRule="auto" w:line="276" w:before="240" w:after="60"/>
        <w:jc w:val="left"/>
        <w:rPr>
          <w:szCs w:val="24"/>
        </w:rPr>
      </w:pPr>
      <w:r>
        <w:rPr>
          <w:szCs w:val="24"/>
        </w:rPr>
        <w:t xml:space="preserve">1.3. </w:t>
      </w:r>
      <w:bookmarkStart w:id="7" w:name="_Toc127966231"/>
      <w:r>
        <w:rPr>
          <w:szCs w:val="24"/>
        </w:rPr>
        <w:t>Цель и задач</w:t>
      </w:r>
      <w:bookmarkEnd w:id="7"/>
      <w:r>
        <w:rPr>
          <w:szCs w:val="24"/>
        </w:rPr>
        <w:t>а оказания услуг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обеспечение безопасной эксплуатации эксплуатируемых в филиале ПАО «РусГидро» - «Камская ГЭС» лифтов. Поддержание работоспособного состояния оборудования.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Задача:</w:t>
      </w:r>
      <w:r>
        <w:rPr>
          <w:sz w:val="24"/>
          <w:szCs w:val="24"/>
        </w:rPr>
        <w:t xml:space="preserve"> Оценка соответствия лифтов филиала ПАО «РусГидро» - «Камская ГЭС» требованиям, предъявляемым техническим регламентом Таможенного союза ТР ТС 011/2011 «Безопасность лифтов» и «ГОСТом 34583-2019 Межгосударственный стандарт. Лифты. Правила и методы испытаний, измерений и проверок в период эксплуатации». Определение необходимых мероприятий и сроки выполнения мероприятий по обеспечению соответствия лифта требованиям техническому регламенту.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bookmarkStart w:id="8" w:name="_Toc127966232"/>
      <w:r>
        <w:rPr>
          <w:b/>
          <w:sz w:val="24"/>
          <w:szCs w:val="24"/>
        </w:rPr>
        <w:t>Существующее положение</w:t>
      </w:r>
      <w:bookmarkEnd w:id="8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 эксплуатации филиала находится 4 лифта, типа - пассажирский ПП 0247А-2Д. Лифты изготовлены в 2000г., в ОАО «Карачаровский механический завод» и введены в эксплуатацию в 2002 – 2004гг. Общее состояние лифтов удовлетворительное. Модернизации и реконструкции лифты не подвергались.</w:t>
      </w:r>
      <w:r>
        <w:br w:type="page"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</w:p>
    <w:p>
      <w:pPr>
        <w:pStyle w:val="Normal"/>
        <w:tabs>
          <w:tab w:val="clear" w:pos="708"/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552"/>
        <w:gridCol w:w="2691"/>
        <w:gridCol w:w="1827"/>
        <w:gridCol w:w="2286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объекта, характеристика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  <w:br/>
              <w:t>(в отношении которого оказываются услуги)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№1, тип ПП0247А-2Д, Карачаровский механический завод, зав.№9455, регистр. №12225, г/п 280 кг, вместимость — 3 чел., высота подъема — 19,49м, скорость движения кабины — 1м/с, число остановок — 3, дата изготовления -июль 2000г., дата ввода в эксплуатацию 02.08.2004г.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№2, тип ПП0247А-2Д, Карачаровский механический завод, зав.№9456, регистр. №12202, г/п 280 кг, вместимость — 3 чел., высота подъема — 19,49м, скорость движения кабины — 1м/с, число остановок — 3,  дата изготовления- июль 2000г., дата ввода в эксплуатацию 05.01.2004г.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№3, тип ПП0247А-2Д, Карачаровский механический завод, зав.№9457, регистр. №12263, г/п 280 кг, вместимость — 3 чел., высота подъема — 19,49м, скорость движения кабины — 1м/с, число остановок — 3,  дата изготовления - июль 2000г., дата ввода в эксплуатацию 11.11.2002г.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№3</w:t>
            </w:r>
          </w:p>
          <w:p>
            <w:pPr>
              <w:pStyle w:val="Heading2"/>
              <w:widowControl w:val="false"/>
              <w:tabs>
                <w:tab w:val="clear" w:pos="1134"/>
              </w:tabs>
              <w:spacing w:before="2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Пассажирский лифт №4, тип ПП0247А-2Д, Карачаровский механический завод, зав.№9458, регистр. №12284, г/п 280 кг, вместимость — 3 чел., высота подъема — 19,49м, скорость движения кабины — 1м/с, число остановок — 3,  дата изготовления - июль 2000г., дата ввода в эксплуатацию 18.03.2002г.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 «Камская ГЭС» Адрес филиала: 614030, Россия, Пермский край, город Пермь, ул. Соликамская д.329, блок №4</w:t>
            </w:r>
          </w:p>
          <w:p>
            <w:pPr>
              <w:pStyle w:val="Heading2"/>
              <w:widowControl w:val="false"/>
              <w:tabs>
                <w:tab w:val="clear" w:pos="1134"/>
              </w:tabs>
              <w:spacing w:before="2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Водосливная ГЭС (Инвентарный № </w:t>
            </w:r>
            <w:r>
              <w:rPr>
                <w:sz w:val="24"/>
                <w:szCs w:val="24"/>
              </w:rPr>
              <w:t>8001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ПАО «РусГидро»-«Камская ГЭС»</w:t>
            </w:r>
          </w:p>
        </w:tc>
      </w:tr>
    </w:tbl>
    <w:p>
      <w:pPr>
        <w:pStyle w:val="Heading1"/>
        <w:spacing w:lineRule="auto" w:line="276" w:before="240" w:after="60"/>
        <w:jc w:val="left"/>
        <w:rPr/>
      </w:pPr>
      <w:r>
        <w:rPr>
          <w:szCs w:val="24"/>
        </w:rPr>
        <w:t xml:space="preserve">1.5. </w:t>
      </w:r>
      <w:bookmarkStart w:id="9" w:name="_Toc127966229"/>
      <w:r>
        <w:rPr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  <w:bookmarkEnd w:id="9"/>
    </w:p>
    <w:p>
      <w:pPr>
        <w:pStyle w:val="Heading1"/>
        <w:numPr>
          <w:ilvl w:val="0"/>
          <w:numId w:val="2"/>
        </w:numPr>
        <w:spacing w:lineRule="auto" w:line="276" w:before="240" w:after="60"/>
        <w:ind w:left="0" w:hanging="0"/>
        <w:jc w:val="both"/>
        <w:rPr/>
      </w:pPr>
      <w:r>
        <w:rPr>
          <w:b w:val="false"/>
          <w:szCs w:val="24"/>
        </w:rPr>
        <w:t>Для оказания услуг Заказчик предоставляет возможность подключения к источникам электроснабжения, сжатого воздуха в соответствии с техническими условиями, предоставленными Заказчику по запросу.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Для оказания услуг Заказчик предоставляет паспорта на лифты.</w:t>
      </w:r>
    </w:p>
    <w:p>
      <w:pPr>
        <w:pStyle w:val="Heading1"/>
        <w:spacing w:lineRule="auto" w:line="276" w:before="240" w:after="60"/>
        <w:jc w:val="left"/>
        <w:rPr>
          <w:szCs w:val="24"/>
        </w:rPr>
      </w:pPr>
      <w:r>
        <w:rPr/>
        <w:t xml:space="preserve">1.6. </w:t>
      </w:r>
      <w:bookmarkStart w:id="10" w:name="_Toc127966230"/>
      <w:r>
        <w:rPr/>
        <w:t>Иные требования и сведения общего характера</w:t>
      </w:r>
      <w:bookmarkEnd w:id="10"/>
      <w:r>
        <w:rPr/>
        <w:t xml:space="preserve">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Услуги выполняются на основании требований следующих НТД: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пункт 5, Статья 6. «Подтверждение соответствия лифта, устройств безопасности лифта» и пункт 3.4 и 5 Статья 4. «Требования к безопасности» технического регламента Таможенного союза «Безопасность лифтов», принятым решением Комиссии Таможенного союза от 18.10.2011 №824 (ред. от 29.11.2024);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sz w:val="24"/>
          <w:szCs w:val="24"/>
        </w:rPr>
        <w:t>пункт 25, 26 «Правил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(Утвержденных постановлением Правительства Российской Федерации от 20 октября 2023 г. N 1744)»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sz w:val="24"/>
          <w:szCs w:val="24"/>
        </w:rPr>
        <w:t>«ГОСТ 34583-2019 Межгосударственный стандарт. Лифты. Правила и методы испытаний, измерений и проверок в период эксплуатации».</w:t>
      </w:r>
    </w:p>
    <w:p>
      <w:pPr>
        <w:pStyle w:val="ConsPlusTitlePage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rFonts w:ascii="Times New Roman" w:hAnsi="Times New Roman"/>
        </w:rPr>
        <w:t>"МР 10-72-04. Методические рекомендации по обследованию технического состояния и расчету остаточного ресурса с целью определения возможности продления срока безопасной эксплуатации лифтов" (введены в действие письмом Госгортехнадзора России от 19.03.2004 N 12-07/271)</w:t>
      </w:r>
    </w:p>
    <w:p>
      <w:pPr>
        <w:pStyle w:val="ConsPlusTitlePage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rFonts w:ascii="Times New Roman" w:hAnsi="Times New Roman"/>
        </w:rPr>
        <w:t>пункт 8.4 раздела 8 «Оценка соответствия лифта в период эксплуатации» "ГОСТ Р 55964-2022. Национальный стандарт Российской Федерации. Лифты. Общие требования безопасности при эксплуатации" (утв. и введен в действие Приказом Росстандарта от 10.10.2022 N 1114-ст)</w:t>
      </w:r>
    </w:p>
    <w:p>
      <w:pPr>
        <w:pStyle w:val="Heading1"/>
        <w:spacing w:lineRule="auto" w:line="276" w:before="240" w:after="60"/>
        <w:jc w:val="left"/>
        <w:rPr/>
      </w:pPr>
      <w:r>
        <w:rPr>
          <w:szCs w:val="24"/>
        </w:rPr>
        <w:t xml:space="preserve">2. </w:t>
      </w:r>
      <w:bookmarkStart w:id="11" w:name="_Toc127966234"/>
      <w:bookmarkStart w:id="12" w:name="_Toc54647813"/>
      <w:bookmarkStart w:id="13" w:name="_Toc51339693"/>
      <w:r>
        <w:rPr>
          <w:szCs w:val="24"/>
        </w:rPr>
        <w:t xml:space="preserve">Требования к </w:t>
      </w:r>
      <w:bookmarkEnd w:id="11"/>
      <w:bookmarkEnd w:id="12"/>
      <w:bookmarkEnd w:id="13"/>
      <w:r>
        <w:rPr>
          <w:szCs w:val="24"/>
        </w:rPr>
        <w:t>услугам</w:t>
      </w:r>
    </w:p>
    <w:p>
      <w:pPr>
        <w:pStyle w:val="Heading1"/>
        <w:spacing w:lineRule="auto" w:line="276" w:before="240" w:after="60"/>
        <w:jc w:val="left"/>
        <w:rPr>
          <w:szCs w:val="24"/>
        </w:rPr>
      </w:pPr>
      <w:r>
        <w:rPr>
          <w:szCs w:val="24"/>
        </w:rPr>
        <w:t xml:space="preserve">2.1. </w:t>
      </w:r>
      <w:bookmarkStart w:id="14" w:name="_Toc127966235"/>
      <w:bookmarkStart w:id="15" w:name="_Toc54647814"/>
      <w:r>
        <w:rPr>
          <w:szCs w:val="24"/>
        </w:rPr>
        <w:t xml:space="preserve">Требования к объемам и срокам </w:t>
      </w:r>
      <w:bookmarkEnd w:id="14"/>
      <w:bookmarkEnd w:id="15"/>
      <w:r>
        <w:rPr>
          <w:szCs w:val="24"/>
        </w:rPr>
        <w:t>оказания услуг</w:t>
      </w:r>
    </w:p>
    <w:p>
      <w:pPr>
        <w:pStyle w:val="ListParagraph"/>
        <w:spacing w:before="120" w:after="120"/>
        <w:ind w:left="0" w:hanging="0"/>
        <w:contextualSpacing/>
        <w:rPr>
          <w:b/>
          <w:sz w:val="24"/>
          <w:szCs w:val="24"/>
        </w:rPr>
      </w:pPr>
      <w:bookmarkStart w:id="16" w:name="_Toc51339695"/>
      <w:bookmarkStart w:id="17" w:name="_Toc54647815"/>
      <w:bookmarkStart w:id="18" w:name="_Toc127966236"/>
      <w:bookmarkEnd w:id="16"/>
      <w:bookmarkEnd w:id="17"/>
      <w:bookmarkEnd w:id="18"/>
      <w:r>
        <w:rPr>
          <w:b/>
          <w:sz w:val="24"/>
          <w:szCs w:val="24"/>
        </w:rPr>
        <w:t>2.1.1. Требования к перечню и объему услуг</w:t>
      </w:r>
    </w:p>
    <w:p>
      <w:pPr>
        <w:pStyle w:val="ListParagraph"/>
        <w:spacing w:before="120" w:after="120"/>
        <w:ind w:left="0" w:hanging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spacing w:before="120" w:after="120"/>
        <w:ind w:left="0" w:hanging="0"/>
        <w:contextualSpacing/>
        <w:rPr>
          <w:b/>
          <w:bCs/>
        </w:rPr>
      </w:pPr>
      <w:bookmarkStart w:id="19" w:name="_Toc54646408_Копия_3"/>
      <w:bookmarkStart w:id="20" w:name="_Toc50125127_Копия_3"/>
      <w:bookmarkStart w:id="21" w:name="_Toc51339697_Копия_3"/>
      <w:r>
        <w:rPr>
          <w:b/>
          <w:bCs/>
          <w:sz w:val="22"/>
          <w:szCs w:val="22"/>
        </w:rPr>
        <w:t xml:space="preserve">Таблица 2. </w:t>
      </w:r>
      <w:bookmarkEnd w:id="19"/>
      <w:bookmarkEnd w:id="20"/>
      <w:bookmarkEnd w:id="21"/>
      <w:r>
        <w:rPr>
          <w:b/>
          <w:bCs/>
          <w:sz w:val="22"/>
          <w:szCs w:val="22"/>
        </w:rPr>
        <w:t>Перечень и объем оказываемых услуг</w:t>
      </w:r>
    </w:p>
    <w:p>
      <w:pPr>
        <w:pStyle w:val="ListParagraph"/>
        <w:spacing w:before="120" w:after="120"/>
        <w:ind w:left="0" w:hanging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4849"/>
        <w:gridCol w:w="1992"/>
        <w:gridCol w:w="2120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№1 Камской ГЭС в объёме обследования.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№2 Камской ГЭС в объёме обследования.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№3 Камской ГЭС в объёме обследования.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№4 Камской ГЭС в объёме обследования.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before="120" w:after="1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22" w:name="_Toc51339695_Копия_1"/>
      <w:bookmarkStart w:id="23" w:name="_Toc54647815_Копия_1"/>
      <w:bookmarkStart w:id="24" w:name="_Toc127966236_Копия_1"/>
      <w:bookmarkStart w:id="25" w:name="_Toc51339695_Копия_1"/>
      <w:bookmarkStart w:id="26" w:name="_Toc54647815_Копия_1"/>
      <w:bookmarkStart w:id="27" w:name="_Toc127966236_Копия_1"/>
      <w:bookmarkEnd w:id="25"/>
      <w:bookmarkEnd w:id="26"/>
      <w:bookmarkEnd w:id="27"/>
    </w:p>
    <w:p>
      <w:pPr>
        <w:pStyle w:val="Heading1"/>
        <w:spacing w:lineRule="auto" w:line="276" w:before="240" w:after="60"/>
        <w:jc w:val="left"/>
        <w:rPr>
          <w:szCs w:val="24"/>
        </w:rPr>
      </w:pPr>
      <w:r>
        <w:rPr/>
        <w:t xml:space="preserve">2.1.2. </w:t>
      </w:r>
      <w:bookmarkStart w:id="28" w:name="_Toc127966237_Копия_1"/>
      <w:r>
        <w:rPr/>
        <w:t xml:space="preserve">Требования к </w:t>
      </w:r>
      <w:bookmarkEnd w:id="28"/>
      <w:r>
        <w:rPr/>
        <w:t>срокам оказания услуг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Таблица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x-none"/>
        </w:rPr>
        <w:t>. Требования к срокам оказания услуг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49"/>
        <w:gridCol w:w="298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№1 Камской ГЭС в объёме обследования.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02.08.2029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№2 Камской ГЭС в объёме обследования.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29.12.2028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№3 Камской ГЭС в объёме обследования.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позднее 11.11.2027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соответствия отработавшего назначенный срок службы лифта блока №4 Камской ГЭС в объёме обследования.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  <w:r>
              <w:rPr>
                <w:sz w:val="24"/>
                <w:szCs w:val="24"/>
              </w:rPr>
              <w:t>(2027 год)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3"/>
              <w:widowControl w:val="false"/>
              <w:spacing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позднее 18.03.2027</w:t>
            </w:r>
          </w:p>
        </w:tc>
      </w:tr>
    </w:tbl>
    <w:p>
      <w:pPr>
        <w:pStyle w:val="Heading1"/>
        <w:spacing w:lineRule="auto" w:line="276" w:before="240" w:after="60"/>
        <w:jc w:val="left"/>
        <w:rPr>
          <w:szCs w:val="24"/>
        </w:rPr>
      </w:pPr>
      <w:r>
        <w:rPr>
          <w:szCs w:val="24"/>
        </w:rPr>
        <w:t xml:space="preserve">2.2. </w:t>
      </w:r>
      <w:bookmarkStart w:id="29" w:name="_Toc127966237"/>
      <w:r>
        <w:rPr>
          <w:szCs w:val="24"/>
        </w:rPr>
        <w:t xml:space="preserve">Требования к оказываемым </w:t>
      </w:r>
      <w:bookmarkEnd w:id="29"/>
      <w:r>
        <w:rPr>
          <w:szCs w:val="24"/>
        </w:rPr>
        <w:t>услугам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>Таблица 4. Требования к оказываемым услугам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>Наименование услуг/этапа услуг: ОКПД 2 71.20.19.190 Оценка соответствия отработавших назначенный срок службы лифтов блока № 1-4 Камской ГЭС в объёме обследования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1"/>
        <w:gridCol w:w="1937"/>
        <w:gridCol w:w="4137"/>
        <w:gridCol w:w="1517"/>
        <w:gridCol w:w="1573"/>
      </w:tblGrid>
      <w:tr>
        <w:trPr>
          <w:trHeight w:val="690" w:hRule="atLeast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оказываемым услугам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99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наименованию оказываемым услугам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jc w:val="left"/>
              <w:rPr>
                <w:b w:val="false"/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b w:val="false"/>
                <w:szCs w:val="24"/>
              </w:rPr>
              <w:t>Оценка соответствия отработавших назначенный срок службы лифтов блока №1-4 Камской ГЭС в объёме обследования.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 оказанию услуг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должна оказываться в соответствии с: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-Требованиями технического регламента Таможенного союза «Безопасность лифтов», принятым решением Комиссии Таможенного союза от 18.10.2011 №824 (ред. от 29.11.2024);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Методическими рекомендациями "МР 10-72-04. Методические рекомендации по обследованию технического состояния и расчету остаточного ресурса с целью определения возможности продления срока безопасной эксплуатации лифтов" (введены в действие письмом Госгортехнадзора России от 19.03.2004 N 12-07/271)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- Требованиями «Правил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(Утвержденных постановлением Правительства Российской Федерации от 20 октября 2023 г. N 1744)»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- Требованиями «ГОСТ 34583-2019 Межгосударственный стандарт. Лифты. Правила и методы испытаний, измерений и проверок в период эксплуатации».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- Требованиями "ГОСТ Р 53780-2010 (ЕН 81-1:1998, ЕН 81-2:1998). Национальный стандарт Российской Федерации. Лифты. Общие требования безопасности к устройству и установке" (утв. и введен в действие Приказом Ростехрегулирования от 31.03.2010 N 41-ст) (с изм. От 21.03.2017)</w:t>
            </w:r>
          </w:p>
          <w:p>
            <w:pPr>
              <w:pStyle w:val="ConsPlusTitlePage"/>
              <w:widowControl w:val="false"/>
              <w:rPr/>
            </w:pPr>
            <w:r>
              <w:rPr>
                <w:rFonts w:ascii="Times New Roman" w:hAnsi="Times New Roman"/>
              </w:rPr>
              <w:t>- Требованиями "ГОСТ Р 55964-2022. Национальный стандарт Российской Федерации. Лифты. Общие требования безопасности при эксплуатации" (утв. и введен в действие Приказом Росстандарта от 10.10.2022 N 1114-ст)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выполняемых услуг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 соответствия отработавших назначенный срок службы лифтов блока №1-4 Камской ГЭС в объёме обследования включает выполнение следующих этапов услуг по "ГОСТу 34583-2019. Межгосударственный стандарт. Лифты. Правила и методы испытаний, измерений и проверок в период эксплуатации" (введен в действие Приказом Росстандарта от 22.10.2019 N 1040-ст):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комплектности технической документации;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технический контроль по Е.1 (приложение Е);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проверку функционирования лифта по Е.2 (приложение Е);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испытания лифта по Е.3.1, Е.4.1 (приложение Е);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испытания электрооборудования лифта по Е.3.1.4 (приложение Е).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обработка исходных данных и фактически полученных результатов по оценке соответствия отработавших назначенный срок службы лифтов блока №3 и №4 и их оформление с выдачей заключения.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 должен иметь в своем штате или привлеченный на основании договоров гражданского-правового характера (договор ГПХ) квалифицированный аттестованный персонал, а именно: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Специалист по техническому освидетельствованию и обследованию лифтов / Специалист по обследованию лифтов / Специалист II категории по оценке соответствия лифтов требованиям безопасности – не менее 1 человека;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Эксперт по оценке соответствия лифтов / Эксперт по оценке соответствия лифтов требованиям безопасности– не менее 1 человека.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Представить перед началом выполнения работ копию свидетельства о квалификации выданного в порядке, предусмотренном Федеральным законом «О независимой оценке квалификации»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>
          <w:trHeight w:val="2988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Требование к испытательному центру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Наличие у исполнителя аттестата аккредитации испытательного центра с приложением "Область аккредитации", включающим в качестве наименования объекта лифтовое оборудование.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Представить перед началом выполнения работ копию аттестата аккредитации испытательного центра с приложением "Область аккредитации"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>
        <w:trPr>
          <w:trHeight w:val="2484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персонала Исполнителя для оказания услуг должен осуществляться в соответствии с регламентом «Методика допуска персонала подрядных организаций к выполнению работ на объектах ПАО «РусГидро», утв. приказом ПАО «РусГидро» 28.04.2023 № 300 Приложение № 1 к ТТ.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соблюдать следующие общие требования: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1.требования действующего федерального законодательства Российской Федерации, нормативных правовых актов субъектов Российской Федерации, охране окружающей среды, промышленной и пожарной безопасности, охране труда, в том числе: соблюдение РД 153.-34.0-03.301-00 (ВППБ 01-02-95) «Правила пожарной безопасности для энергетических предприятий», Постановления Правительства РФ от 16.09.2020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1479 "Об утверждении Правил противопожарного режима в Российской Федерации"; соблюдение «Правил по охране труда при работе на высоте», утв. Приказом Минтруда России от 16.11.2020 №782н.; технического регламента Таможенного союза «Безопасность лифтов», принятым решением Комиссии Таможенного союза от 18.10.2011 №824 (ред. от 29.11.2024);  «Правил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(Утвержденных постановлением Правительства Российской Федерации от 20 октября 2023 г. N 1744)»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направлять на объекты Заказчика работников, обученных правилам безопасного ведения работ по техническому освидетельствованию и обследованию оборудования.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Исполнитель должен руководствоваться: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-123-ФЗ;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технической эксплуатации электрических станций и сетей Российской Федерации от 4 октября 2022 г. №1070 (ред. от 09.12.2024</w:t>
            </w:r>
            <w:r>
              <w:rPr>
                <w:rFonts w:ascii="Segoe UI;Arial" w:hAnsi="Segoe UI;Arial"/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 охране труда при эксплуатации электроустановок.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-ПУЭ 7 изд.;</w:t>
            </w:r>
          </w:p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-соблюдение требований технологической, производственной, трудовой дисциплины, ПТБ на ГЭС;</w:t>
            </w:r>
          </w:p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другие НТД и правила, которые регламентируют выполнение конкретного вида работ.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результату оказания услуг и форме его предоставления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результату оказания услуг Исполнитель должен предоставить следующую отчетную документацию, оформленную согласно ГОСТ 34583-2019 на бумажном носителе – 3 экземпляра; в электронном виде в формате Word на CD диске – 1 экз.: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1. Заключение  о возможности продления срока безопасной эксплуатации лифтов блока №1-4, содержащее условия и возможный срок продления использования лифта; рекомендации по модернизации или замене лифта.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Протокола проверок, испытаний и измерений при обследовании лифтов.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требования и условия.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производство работ в</w:t>
            </w:r>
          </w:p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существующих зданиях и сооружениях в стесненных условиях, с наличием в зоне производства работ действующего технологического оборудования.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792" w:hanging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outlineLvl w:val="0"/>
        <w:rPr>
          <w:b/>
          <w:iCs/>
          <w:sz w:val="24"/>
          <w:szCs w:val="24"/>
          <w:lang w:val="x-none" w:eastAsia="x-none"/>
        </w:rPr>
      </w:pPr>
      <w:r>
        <w:rPr>
          <w:b/>
          <w:iCs/>
          <w:sz w:val="24"/>
          <w:szCs w:val="24"/>
          <w:lang w:val="x-none" w:eastAsia="x-none"/>
        </w:rPr>
      </w:r>
    </w:p>
    <w:p>
      <w:pPr>
        <w:pStyle w:val="ListParagraph"/>
        <w:keepNext w:val="true"/>
        <w:numPr>
          <w:ilvl w:val="0"/>
          <w:numId w:val="0"/>
        </w:numPr>
        <w:spacing w:before="120" w:after="60"/>
        <w:ind w:left="0" w:hanging="0"/>
        <w:contextualSpacing/>
        <w:outlineLvl w:val="0"/>
        <w:rPr>
          <w:b/>
          <w:iCs/>
          <w:sz w:val="24"/>
          <w:szCs w:val="24"/>
          <w:lang w:val="x-none" w:eastAsia="x-none"/>
        </w:rPr>
      </w:pPr>
      <w:r>
        <w:rPr>
          <w:b/>
          <w:iCs/>
          <w:sz w:val="24"/>
          <w:szCs w:val="24"/>
          <w:lang w:val="x-none" w:eastAsia="x-none"/>
        </w:rPr>
        <w:t>3. Требования к документации по ценообразованию на этапе закупки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4"/>
          <w:szCs w:val="24"/>
        </w:rPr>
      </w:pPr>
      <w:bookmarkStart w:id="30" w:name="_GoBack"/>
      <w:bookmarkEnd w:id="30"/>
      <w:r>
        <w:rPr>
          <w:sz w:val="24"/>
          <w:szCs w:val="24"/>
        </w:rPr>
        <w:t>3.1   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закупке;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4"/>
          <w:szCs w:val="24"/>
        </w:rPr>
      </w:pPr>
      <w:r>
        <w:rPr/>
      </w:r>
    </w:p>
    <w:p>
      <w:pPr>
        <w:pStyle w:val="ListParagraph"/>
        <w:keepNext w:val="true"/>
        <w:keepLines/>
        <w:numPr>
          <w:ilvl w:val="0"/>
          <w:numId w:val="0"/>
        </w:numPr>
        <w:spacing w:before="120" w:after="60"/>
        <w:ind w:left="0" w:hanging="0"/>
        <w:contextualSpacing/>
        <w:outlineLvl w:val="0"/>
        <w:rPr>
          <w:b/>
          <w:iCs/>
          <w:sz w:val="24"/>
          <w:szCs w:val="24"/>
          <w:lang w:val="x-none" w:eastAsia="x-none"/>
        </w:rPr>
      </w:pPr>
      <w:r>
        <w:rPr>
          <w:b/>
          <w:iCs/>
          <w:sz w:val="24"/>
          <w:szCs w:val="24"/>
          <w:lang w:val="x-none" w:eastAsia="x-none"/>
        </w:rPr>
        <w:t>4</w:t>
      </w:r>
      <w:r>
        <w:rPr>
          <w:b/>
          <w:iCs/>
          <w:sz w:val="24"/>
          <w:szCs w:val="24"/>
          <w:lang w:val="x-none" w:eastAsia="x-none"/>
        </w:rPr>
        <w:t>. Приложения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№1 </w:t>
      </w:r>
      <w:r>
        <w:rPr>
          <w:sz w:val="24"/>
          <w:szCs w:val="24"/>
        </w:rPr>
        <w:t>–</w:t>
      </w:r>
      <w:r>
        <w:rPr>
          <w:sz w:val="24"/>
          <w:szCs w:val="24"/>
          <w:lang w:eastAsia="x-none"/>
        </w:rPr>
        <w:t xml:space="preserve"> «</w:t>
      </w:r>
      <w:r>
        <w:rPr>
          <w:sz w:val="24"/>
          <w:szCs w:val="24"/>
        </w:rPr>
        <w:t>Допуск персонала подрядных организаций на объекты ПАО «РусГидро», утв. приказом ПАО «РусГидро» 28.04.2023 № 300».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2369820</wp:posOffset>
                </wp:positionH>
                <wp:positionV relativeFrom="paragraph">
                  <wp:posOffset>2277745</wp:posOffset>
                </wp:positionV>
                <wp:extent cx="635000" cy="635000"/>
                <wp:effectExtent l="0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186.6pt;margin-top:179.3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2369820</wp:posOffset>
                </wp:positionH>
                <wp:positionV relativeFrom="paragraph">
                  <wp:posOffset>2277745</wp:posOffset>
                </wp:positionV>
                <wp:extent cx="635000" cy="635000"/>
                <wp:effectExtent l="0" t="0" r="0" b="0"/>
                <wp:wrapNone/>
                <wp:docPr id="2" name="_x0000_tole_rId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4" path="m0,0l-2147483645,0l-2147483645,-2147483646l0,-2147483646xe" stroked="f" o:allowincell="f" style="position:absolute;margin-left:186.6pt;margin-top:179.3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Приложение №2 – </w:t>
      </w:r>
      <w:bookmarkEnd w:id="1"/>
      <w:r>
        <w:rPr>
          <w:sz w:val="24"/>
          <w:szCs w:val="24"/>
          <w:lang w:eastAsia="x-none"/>
        </w:rPr>
        <w:t xml:space="preserve">«Требования к оформлению и составлению смет или расчетов </w:t>
      </w:r>
      <w:bookmarkStart w:id="31" w:name="_Hlk167437566"/>
      <w:r>
        <w:rPr>
          <w:sz w:val="24"/>
          <w:szCs w:val="24"/>
          <w:lang w:eastAsia="x-none"/>
        </w:rPr>
        <w:t>на выполнение услуг по программе научно-исследовательских, экспериментальных и опытно-конструкторских работ</w:t>
      </w:r>
      <w:bookmarkEnd w:id="31"/>
      <w:r>
        <w:rPr>
          <w:sz w:val="24"/>
          <w:szCs w:val="24"/>
          <w:lang w:eastAsia="x-none"/>
        </w:rPr>
        <w:t>».</w:t>
      </w:r>
    </w:p>
    <w:sectPr>
      <w:footerReference w:type="default" r:id="rId2"/>
      <w:type w:val="nextPage"/>
      <w:pgSz w:w="11906" w:h="16838"/>
      <w:pgMar w:left="1304" w:right="924" w:gutter="0" w:header="0" w:top="567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yrilTimer(1251)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Segoe UI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br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57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771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qFormat/>
    <w:rsid w:val="0084771f"/>
    <w:pPr>
      <w:keepNext w:val="true"/>
      <w:jc w:val="center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qFormat/>
    <w:rsid w:val="00d60f8d"/>
    <w:pPr>
      <w:keepNext w:val="true"/>
      <w:tabs>
        <w:tab w:val="clear" w:pos="708"/>
        <w:tab w:val="left" w:pos="1134" w:leader="none"/>
      </w:tabs>
      <w:suppressAutoHyphens w:val="true"/>
      <w:spacing w:before="360" w:after="120"/>
      <w:ind w:left="1134" w:hanging="1134"/>
      <w:outlineLvl w:val="1"/>
    </w:pPr>
    <w:rPr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eb46b3"/>
    <w:rPr>
      <w:sz w:val="16"/>
      <w:szCs w:val="16"/>
    </w:rPr>
  </w:style>
  <w:style w:type="character" w:styleId="A0" w:customStyle="1">
    <w:name w:val="a0"/>
    <w:qFormat/>
    <w:rsid w:val="00e2553f"/>
    <w:rPr/>
  </w:style>
  <w:style w:type="character" w:styleId="1" w:customStyle="1">
    <w:name w:val="Подпункт Знак1"/>
    <w:link w:val="Style21"/>
    <w:qFormat/>
    <w:rsid w:val="00cd4988"/>
    <w:rPr>
      <w:sz w:val="28"/>
      <w:lang w:val="ru-RU" w:eastAsia="ru-RU" w:bidi="ar-SA"/>
    </w:rPr>
  </w:style>
  <w:style w:type="character" w:styleId="Style7" w:customStyle="1">
    <w:name w:val="Текст примечания Знак"/>
    <w:link w:val="Annotationtext"/>
    <w:semiHidden/>
    <w:qFormat/>
    <w:rsid w:val="008c6cd6"/>
    <w:rPr>
      <w:rFonts w:ascii="CyrilTimer(1251)" w:hAnsi="CyrilTimer(1251)"/>
      <w:lang w:val="en-GB"/>
    </w:rPr>
  </w:style>
  <w:style w:type="character" w:styleId="Style8" w:customStyle="1">
    <w:name w:val="Тема примечания Знак"/>
    <w:basedOn w:val="Style7"/>
    <w:link w:val="Annotationsubject"/>
    <w:qFormat/>
    <w:rsid w:val="008c6cd6"/>
    <w:rPr>
      <w:rFonts w:ascii="CyrilTimer(1251)" w:hAnsi="CyrilTimer(1251)"/>
      <w:lang w:val="en-GB"/>
    </w:rPr>
  </w:style>
  <w:style w:type="character" w:styleId="Style9" w:customStyle="1">
    <w:name w:val="Текст выноски Знак"/>
    <w:link w:val="BalloonText"/>
    <w:qFormat/>
    <w:rsid w:val="008c6cd6"/>
    <w:rPr>
      <w:rFonts w:ascii="Tahoma" w:hAnsi="Tahoma" w:cs="Tahoma"/>
      <w:sz w:val="16"/>
      <w:szCs w:val="16"/>
    </w:rPr>
  </w:style>
  <w:style w:type="character" w:styleId="Style10" w:customStyle="1">
    <w:name w:val="Основной текст Знак"/>
    <w:basedOn w:val="DefaultParagraphFont"/>
    <w:qFormat/>
    <w:rsid w:val="00ff03d6"/>
    <w:rPr>
      <w:sz w:val="28"/>
      <w:szCs w:val="28"/>
    </w:rPr>
  </w:style>
  <w:style w:type="character" w:styleId="Hyperlink">
    <w:name w:val="Hyperlink"/>
    <w:basedOn w:val="DefaultParagraphFont"/>
    <w:rsid w:val="00ff03d6"/>
    <w:rPr>
      <w:color w:val="0000FF" w:themeColor="hyperlink"/>
      <w:u w:val="single"/>
    </w:rPr>
  </w:style>
  <w:style w:type="character" w:styleId="Style11" w:customStyle="1">
    <w:name w:val="Текст сноски Знак"/>
    <w:basedOn w:val="DefaultParagraphFont"/>
    <w:qFormat/>
    <w:rsid w:val="00ba43ea"/>
    <w:rPr/>
  </w:style>
  <w:style w:type="character" w:styleId="Style12" w:customStyle="1">
    <w:name w:val="Символ сноски"/>
    <w:uiPriority w:val="99"/>
    <w:unhideWhenUsed/>
    <w:qFormat/>
    <w:rsid w:val="00ba43e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a43ea"/>
    <w:rPr>
      <w:rFonts w:ascii="Calibri" w:hAnsi="Calibri" w:eastAsia="Calibri"/>
      <w:sz w:val="22"/>
      <w:szCs w:val="22"/>
      <w:lang w:eastAsia="en-US"/>
    </w:rPr>
  </w:style>
  <w:style w:type="character" w:styleId="Style14" w:customStyle="1">
    <w:name w:val="Текст Знак"/>
    <w:basedOn w:val="DefaultParagraphFont"/>
    <w:link w:val="PlainText"/>
    <w:uiPriority w:val="99"/>
    <w:qFormat/>
    <w:rsid w:val="00c21f14"/>
    <w:rPr>
      <w:rFonts w:ascii="Courier New" w:hAnsi="Courier New" w:eastAsia="Calibri" w:cs="Courier New"/>
      <w:lang w:eastAsia="en-US"/>
    </w:rPr>
  </w:style>
  <w:style w:type="character" w:styleId="Emphasis">
    <w:name w:val="Emphasis"/>
    <w:basedOn w:val="DefaultParagraphFont"/>
    <w:uiPriority w:val="20"/>
    <w:qFormat/>
    <w:rsid w:val="000919e3"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4d653f"/>
    <w:rPr>
      <w:rFonts w:ascii="Courier New" w:hAnsi="Courier New" w:cs="Courier New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ee072b"/>
    <w:rPr>
      <w:sz w:val="16"/>
      <w:szCs w:val="16"/>
    </w:rPr>
  </w:style>
  <w:style w:type="character" w:styleId="Style15" w:customStyle="1">
    <w:name w:val="Ссылка указателя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Linenumber">
    <w:name w:val="line number"/>
    <w:qFormat/>
    <w:rPr/>
  </w:style>
  <w:style w:type="character" w:styleId="Style16" w:customStyle="1">
    <w:name w:val="Символ нумерации"/>
    <w:qFormat/>
    <w:rPr/>
  </w:style>
  <w:style w:type="character" w:styleId="Style17" w:customStyle="1">
    <w:name w:val="Маркеры"/>
    <w:qFormat/>
    <w:rPr>
      <w:rFonts w:ascii="OpenSymbol" w:hAnsi="OpenSymbol" w:eastAsia="OpenSymbol" w:cs="OpenSymbol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0"/>
    <w:rsid w:val="0084771f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BodyText3">
    <w:name w:val="Body Text 3"/>
    <w:basedOn w:val="Normal"/>
    <w:qFormat/>
    <w:rsid w:val="0084771f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"/>
    <w:qFormat/>
    <w:rsid w:val="0084771f"/>
    <w:pPr>
      <w:spacing w:before="0" w:after="120"/>
      <w:ind w:left="283" w:hanging="0"/>
    </w:pPr>
    <w:rPr>
      <w:sz w:val="16"/>
      <w:szCs w:val="16"/>
    </w:rPr>
  </w:style>
  <w:style w:type="paragraph" w:styleId="Style21" w:customStyle="1">
    <w:name w:val="Подпункт"/>
    <w:basedOn w:val="Normal"/>
    <w:link w:val="1"/>
    <w:qFormat/>
    <w:rsid w:val="0084771f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" w:customStyle="1">
    <w:name w:val="Пункт2"/>
    <w:basedOn w:val="Normal"/>
    <w:qFormat/>
    <w:rsid w:val="0084771f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Annotationtext">
    <w:name w:val="annotation text"/>
    <w:basedOn w:val="Normal"/>
    <w:link w:val="Style7"/>
    <w:semiHidden/>
    <w:qFormat/>
    <w:rsid w:val="00eb46b3"/>
    <w:pPr/>
    <w:rPr>
      <w:rFonts w:ascii="CyrilTimer(1251)" w:hAnsi="CyrilTimer(1251)"/>
      <w:sz w:val="20"/>
      <w:szCs w:val="20"/>
      <w:lang w:val="en-GB"/>
    </w:rPr>
  </w:style>
  <w:style w:type="paragraph" w:styleId="Style22" w:customStyle="1">
    <w:name w:val="Пункт"/>
    <w:basedOn w:val="Normal"/>
    <w:qFormat/>
    <w:rsid w:val="00d60f8d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ConsPlusNormal" w:customStyle="1">
    <w:name w:val="ConsPlusNormal"/>
    <w:qFormat/>
    <w:rsid w:val="00cd498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subject">
    <w:name w:val="annotation subject"/>
    <w:basedOn w:val="Annotationtext"/>
    <w:next w:val="Annotationtext"/>
    <w:link w:val="Style8"/>
    <w:qFormat/>
    <w:rsid w:val="008c6cd6"/>
    <w:pPr/>
    <w:rPr>
      <w:rFonts w:ascii="Times New Roman" w:hAnsi="Times New Roman"/>
      <w:b/>
      <w:bCs/>
      <w:lang w:val="ru-RU"/>
    </w:rPr>
  </w:style>
  <w:style w:type="paragraph" w:styleId="BalloonText">
    <w:name w:val="Balloon Text"/>
    <w:basedOn w:val="Normal"/>
    <w:link w:val="Style9"/>
    <w:qFormat/>
    <w:rsid w:val="008c6cd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fc7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Style11"/>
    <w:rsid w:val="00ba43ea"/>
    <w:pPr/>
    <w:rPr>
      <w:sz w:val="20"/>
      <w:szCs w:val="20"/>
    </w:rPr>
  </w:style>
  <w:style w:type="paragraph" w:styleId="Style23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uiPriority w:val="99"/>
    <w:unhideWhenUsed/>
    <w:rsid w:val="00ba43ea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Calibri"/>
      <w:sz w:val="22"/>
      <w:szCs w:val="22"/>
      <w:lang w:eastAsia="en-US"/>
    </w:rPr>
  </w:style>
  <w:style w:type="paragraph" w:styleId="PlainText">
    <w:name w:val="Plain Text"/>
    <w:basedOn w:val="Normal"/>
    <w:link w:val="Style14"/>
    <w:uiPriority w:val="99"/>
    <w:unhideWhenUsed/>
    <w:qFormat/>
    <w:rsid w:val="00c21f14"/>
    <w:pPr>
      <w:spacing w:lineRule="auto" w:line="276" w:before="0" w:after="200"/>
    </w:pPr>
    <w:rPr>
      <w:rFonts w:ascii="Courier New" w:hAnsi="Courier New" w:eastAsia="Calibri" w:cs="Courier New"/>
      <w:sz w:val="20"/>
      <w:szCs w:val="20"/>
      <w:lang w:eastAsia="en-US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4d653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Headertext" w:customStyle="1">
    <w:name w:val="headertext"/>
    <w:basedOn w:val="Normal"/>
    <w:qFormat/>
    <w:rsid w:val="00607ab4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fa7777"/>
    <w:pPr>
      <w:spacing w:beforeAutospacing="1" w:afterAutospacing="1"/>
    </w:pPr>
    <w:rPr>
      <w:sz w:val="24"/>
      <w:szCs w:val="24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59" w:before="240" w:after="0"/>
      <w:jc w:val="left"/>
      <w:outlineLvl w:val="9"/>
    </w:pPr>
    <w:rPr>
      <w:rFonts w:ascii="Calibri Light" w:hAnsi="Calibri Light"/>
      <w:b w:val="false"/>
      <w:color w:val="2E74B5"/>
      <w:sz w:val="32"/>
      <w:szCs w:val="32"/>
    </w:rPr>
  </w:style>
  <w:style w:type="paragraph" w:styleId="TOC1">
    <w:name w:val="TOC 1"/>
    <w:basedOn w:val="Normal"/>
    <w:next w:val="Normal"/>
    <w:pPr>
      <w:tabs>
        <w:tab w:val="clear" w:pos="708"/>
        <w:tab w:val="right" w:pos="9668" w:leader="dot"/>
      </w:tabs>
      <w:spacing w:lineRule="auto" w:line="276" w:before="0" w:after="200"/>
    </w:pPr>
    <w:rPr>
      <w:rFonts w:eastAsia="Calibri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ConsPlusTitlePage" w:customStyle="1">
    <w:name w:val="ConsPlusTitlePage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0"/>
      <w:sz w:val="24"/>
      <w:szCs w:val="24"/>
      <w:lang w:val="ru-RU" w:eastAsia="ru-RU" w:bidi="ar-SA"/>
    </w:rPr>
  </w:style>
  <w:style w:type="paragraph" w:styleId="Style26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TOC3">
    <w:name w:val="TOC 3"/>
    <w:basedOn w:val="Normal"/>
    <w:next w:val="Normal"/>
    <w:pPr>
      <w:ind w:left="280" w:hanging="0"/>
    </w:pPr>
    <w:rPr>
      <w:rFonts w:cs="Calibri" w:cstheme="minorHAnsi"/>
      <w:sz w:val="20"/>
      <w:szCs w:val="20"/>
    </w:rPr>
  </w:style>
  <w:style w:type="paragraph" w:styleId="Header">
    <w:name w:val="Header"/>
    <w:basedOn w:val="Style23"/>
    <w:pPr>
      <w:tabs>
        <w:tab w:val="clear" w:pos="708"/>
        <w:tab w:val="center" w:pos="4839" w:leader="none"/>
        <w:tab w:val="right" w:pos="967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42457320391" w:customStyle="1">
    <w:name w:val="42457320391"/>
    <w:qFormat/>
  </w:style>
  <w:style w:type="numbering" w:styleId="4885994761" w:customStyle="1">
    <w:name w:val="4885994761"/>
    <w:qFormat/>
  </w:style>
  <w:style w:type="numbering" w:styleId="4511201491" w:customStyle="1">
    <w:name w:val="4511201491"/>
    <w:qFormat/>
  </w:style>
  <w:style w:type="numbering" w:styleId="6649040771" w:customStyle="1">
    <w:name w:val="6649040771"/>
    <w:qFormat/>
  </w:style>
  <w:style w:type="numbering" w:styleId="29456118681" w:customStyle="1">
    <w:name w:val="29456118681"/>
    <w:qFormat/>
  </w:style>
  <w:style w:type="numbering" w:styleId="15278170791" w:customStyle="1">
    <w:name w:val="15278170791"/>
    <w:qFormat/>
  </w:style>
  <w:style w:type="numbering" w:styleId="1882586841" w:customStyle="1">
    <w:name w:val="1882586841"/>
    <w:qFormat/>
  </w:style>
  <w:style w:type="numbering" w:styleId="28142429141" w:customStyle="1">
    <w:name w:val="28142429141"/>
    <w:qFormat/>
  </w:style>
  <w:style w:type="numbering" w:styleId="17024056791" w:customStyle="1">
    <w:name w:val="170240567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rsid w:val="003c69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9353-7C93-4843-8EB3-188DFEAE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26238</TotalTime>
  <Application>AlterOffice/3.4.0.9$Linux_X86_64 LibreOffice_project/b8daf9e823b1a5463a2f48435ddc2e8696e7d4fc</Application>
  <AppVersion>15.0000</AppVersion>
  <Pages>11</Pages>
  <Words>2062</Words>
  <Characters>14526</Characters>
  <CharactersWithSpaces>16456</CharactersWithSpaces>
  <Paragraphs>245</Paragraphs>
  <Company>ОАО "УК ВоГЭК"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2022-06-29T11:08:00Z</dcterms:created>
  <dc:creator>Burnyshevai</dc:creator>
  <dc:description/>
  <dc:language>ru-RU</dc:language>
  <cp:lastModifiedBy>shvalyukee@corp.gidroogk.com</cp:lastModifiedBy>
  <cp:lastPrinted>2025-03-14T11:16:00Z</cp:lastPrinted>
  <dcterms:modified xsi:type="dcterms:W3CDTF">2026-07-08T13:08:43Z</dcterms:modified>
  <cp:revision>48</cp:revision>
  <dc:subject/>
  <dc:title>Приложение № 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