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word/media/image1.wmf" ContentType="image/x-wmf"/>
  <Override PartName="/word/media/image2.wmf" ContentType="image/x-wmf"/>
  <Override PartName="/word/media/image3.wmf" ContentType="image/x-wmf"/>
  <Override PartName="/word/media/image4.wmf" ContentType="image/x-wmf"/>
  <Override PartName="/word/media/image5.wmf" ContentType="image/x-wmf"/>
  <Override PartName="/word/media/image10.wmf" ContentType="image/x-wmf"/>
  <Override PartName="/word/media/image6.wmf" ContentType="image/x-wmf"/>
  <Override PartName="/word/media/image7.wmf" ContentType="image/x-wmf"/>
  <Override PartName="/word/media/image8.wmf" ContentType="image/x-wmf"/>
  <Override PartName="/word/media/image9.wmf" ContentType="image/x-wmf"/>
  <Override PartName="/word/embeddings/oleObject1.xlsx" ContentType="application/vnd.openxmlformats-officedocument.spreadsheetml.sheet"/>
  <Override PartName="/word/embeddings/oleObject8.docx" ContentType="application/vnd.openxmlformats-officedocument.wordprocessingml.document"/>
  <Override PartName="/word/embeddings/oleObject2.docx" ContentType="application/vnd.openxmlformats-officedocument.wordprocessingml.documen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docx" ContentType="application/vnd.openxmlformats-officedocument.wordprocessingml.document"/>
  <Override PartName="/word/embeddings/oleObject7.docx" ContentType="application/vnd.openxmlformats-officedocument.wordprocessingml.document"/>
  <Override PartName="/word/embeddings/oleObject9.docx" ContentType="application/vnd.openxmlformats-officedocument.wordprocessingml.document"/>
  <Override PartName="/word/embeddings/oleObject10.bin" ContentType="application/vnd.openxmlformats-officedocument.oleObject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_rels/document.xml.rels" ContentType="application/vnd.openxmlformats-package.relationships+xml"/>
  <Override PartName="/word/footer6.xml" ContentType="application/vnd.openxmlformats-officedocument.wordprocessingml.footer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footer5.xml" ContentType="application/vnd.openxmlformats-officedocument.wordprocessingml.footer+xml"/>
  <Override PartName="/word/theme/theme1.xml" ContentType="application/vnd.openxmlformats-officedocument.theme+xml"/>
  <Override PartName="/word/header7.xml" ContentType="application/vnd.openxmlformats-officedocument.wordprocessingml.header+xml"/>
  <Override PartName="/word/header5.xml" ContentType="application/vnd.openxmlformats-officedocument.wordprocessingml.header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header6.xml" ContentType="application/vnd.openxmlformats-officedocument.wordprocessingml.header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keepNext w:val="true"/>
        <w:keepLines/>
        <w:spacing w:before="5400" w:after="240"/>
        <w:jc w:val="center"/>
        <w:rPr>
          <w:rFonts w:eastAsia="Calibri"/>
          <w:b/>
          <w:bCs/>
          <w:caps/>
          <w:sz w:val="26"/>
          <w:szCs w:val="26"/>
        </w:rPr>
      </w:pPr>
      <w:r>
        <w:rPr>
          <w:rFonts w:eastAsia="Calibri"/>
          <w:b/>
          <w:bCs/>
          <w:caps/>
          <w:sz w:val="26"/>
          <w:szCs w:val="26"/>
        </w:rPr>
        <w:t>Технические требования</w:t>
      </w:r>
      <w:r>
        <w:rPr>
          <w:rFonts w:eastAsia="Calibri"/>
          <w:b/>
          <w:bCs/>
          <w:sz w:val="26"/>
          <w:szCs w:val="26"/>
        </w:rPr>
        <w:t xml:space="preserve"> </w:t>
      </w:r>
      <w:r>
        <w:rPr>
          <w:rFonts w:eastAsia="Calibri"/>
          <w:b/>
          <w:bCs/>
          <w:caps/>
          <w:sz w:val="26"/>
          <w:szCs w:val="26"/>
        </w:rPr>
        <w:t>НА выполнение работ</w:t>
      </w:r>
    </w:p>
    <w:p>
      <w:pPr>
        <w:pStyle w:val="Normal"/>
        <w:jc w:val="center"/>
        <w:rPr>
          <w:rFonts w:eastAsia="Calibri"/>
          <w:caps/>
        </w:rPr>
      </w:pPr>
      <w:r>
        <w:rPr>
          <w:rFonts w:eastAsia="Calibri"/>
          <w:caps/>
        </w:rPr>
        <w:t xml:space="preserve">ОКПД2 43.29.19 </w:t>
      </w:r>
      <w:r>
        <w:rPr>
          <w:rFonts w:eastAsia="Calibri"/>
          <w:caps/>
          <w:sz w:val="26"/>
          <w:szCs w:val="26"/>
        </w:rPr>
        <w:t>ВЫПОЛНЕНИЕ проектных, СТРОИТЕЛЬНО-МОНТАЖНЫХ и пусконаладочных РАБОТ, в том числе поставка оборудования резервной панели главного щита управления гаэс Каскада кубанских гэс в с. Водораздельном Прикубанского района карачаево-черкесской республики</w:t>
      </w:r>
    </w:p>
    <w:p>
      <w:pPr>
        <w:pStyle w:val="Normal"/>
        <w:keepNext w:val="true"/>
        <w:keepLines/>
        <w:spacing w:before="240" w:after="0"/>
        <w:jc w:val="center"/>
        <w:rPr>
          <w:rFonts w:eastAsia="Calibri"/>
          <w:b/>
          <w:bCs/>
          <w:caps/>
          <w:sz w:val="26"/>
          <w:szCs w:val="26"/>
          <w:shd w:fill="FFFF00" w:val="clear"/>
          <w:lang w:eastAsia="x-none"/>
        </w:rPr>
      </w:pPr>
      <w:r>
        <w:rPr>
          <w:rFonts w:eastAsia="Calibri"/>
          <w:b/>
          <w:bCs/>
          <w:caps/>
          <w:sz w:val="26"/>
          <w:szCs w:val="26"/>
        </w:rPr>
        <w:t>ЛОТ № 0030-КС ДОХ-2026-РГЦР</w:t>
      </w:r>
      <w:r>
        <w:br w:type="page"/>
      </w:r>
    </w:p>
    <w:p>
      <w:pPr>
        <w:pStyle w:val="Normal"/>
        <w:rPr>
          <w:b/>
        </w:rPr>
      </w:pPr>
      <w:r>
        <w:rPr>
          <w:b/>
        </w:rPr>
        <w:t>СОДЕРЖАНИЕ</w:t>
      </w:r>
    </w:p>
    <w:sdt>
      <w:sdtPr>
        <w:docPartObj>
          <w:docPartGallery w:val="Table of Contents"/>
          <w:docPartUnique w:val="true"/>
        </w:docPartObj>
      </w:sdtPr>
      <w:sdtContent>
        <w:p>
          <w:pPr>
            <w:pStyle w:val="TOC1"/>
            <w:tabs>
              <w:tab w:val="clear" w:pos="708"/>
              <w:tab w:val="left" w:pos="1134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b w:val="false"/>
              <w:bCs w:val="false"/>
              <w:sz w:val="22"/>
              <w:szCs w:val="22"/>
            </w:rPr>
          </w:pPr>
          <w:r>
            <w:fldChar w:fldCharType="begin"/>
          </w:r>
          <w:r>
            <w:rPr>
              <w:webHidden/>
              <w:rStyle w:val="Style14"/>
              <w:vanish w:val="false"/>
              <w:rFonts w:eastAsia="Calibri"/>
            </w:rPr>
            <w:instrText xml:space="preserve"> TOC \z \o "1-4" \u \h</w:instrText>
          </w:r>
          <w:r>
            <w:rPr>
              <w:webHidden/>
              <w:rStyle w:val="Style14"/>
              <w:vanish w:val="false"/>
              <w:rFonts w:eastAsia="Calibri"/>
            </w:rPr>
            <w:fldChar w:fldCharType="separate"/>
          </w:r>
          <w:hyperlink w:anchor="_Toc204763884">
            <w:r>
              <w:rPr>
                <w:webHidden/>
                <w:rStyle w:val="Style14"/>
                <w:rFonts w:eastAsia="Calibri"/>
                <w:vanish w:val="false"/>
              </w:rPr>
              <w:t>1.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b w:val="false"/>
                <w:bCs w:val="false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Общие сведения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_Toc204763884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left" w:pos="1400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sz w:val="22"/>
              <w:szCs w:val="22"/>
            </w:rPr>
          </w:pPr>
          <w:hyperlink w:anchor="_Toc204763885">
            <w:r>
              <w:rPr>
                <w:webHidden/>
                <w:rStyle w:val="Style14"/>
                <w:rFonts w:eastAsia="Calibri"/>
                <w:bCs/>
                <w:iCs/>
                <w:vanish w:val="false"/>
              </w:rPr>
              <w:t>1.1.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Обозначения и сокращения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_Toc204763885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left" w:pos="1400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sz w:val="22"/>
              <w:szCs w:val="22"/>
            </w:rPr>
          </w:pPr>
          <w:hyperlink w:anchor="_Toc204763886">
            <w:r>
              <w:rPr>
                <w:webHidden/>
                <w:rStyle w:val="Style14"/>
                <w:rFonts w:eastAsia="Calibri"/>
                <w:bCs/>
                <w:iCs/>
                <w:vanish w:val="false"/>
              </w:rPr>
              <w:t>1.2.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Наименование закупаемой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_Toc204763886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5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left" w:pos="1400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sz w:val="22"/>
              <w:szCs w:val="22"/>
            </w:rPr>
          </w:pPr>
          <w:hyperlink w:anchor="_Toc204763887">
            <w:r>
              <w:rPr>
                <w:webHidden/>
                <w:rStyle w:val="Style14"/>
                <w:rFonts w:eastAsia="Calibri"/>
                <w:bCs/>
                <w:iCs/>
                <w:vanish w:val="false"/>
              </w:rPr>
              <w:t>1.3.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Цель использования закупаемой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_Toc204763887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5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left" w:pos="1400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sz w:val="22"/>
              <w:szCs w:val="22"/>
            </w:rPr>
          </w:pPr>
          <w:hyperlink w:anchor="_Toc204763888">
            <w:r>
              <w:rPr>
                <w:webHidden/>
                <w:rStyle w:val="Style14"/>
                <w:rFonts w:eastAsia="Calibri"/>
                <w:bCs/>
                <w:iCs/>
                <w:vanish w:val="false"/>
              </w:rPr>
              <w:t>1.4.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Существующее положение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_Toc204763888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5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left" w:pos="1400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sz w:val="22"/>
              <w:szCs w:val="22"/>
            </w:rPr>
          </w:pPr>
          <w:hyperlink w:anchor="_Toc204763889">
            <w:r>
              <w:rPr>
                <w:webHidden/>
                <w:rStyle w:val="Style14"/>
                <w:rFonts w:eastAsia="Calibri"/>
                <w:bCs/>
                <w:iCs/>
                <w:vanish w:val="false"/>
              </w:rPr>
              <w:t>1.5.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Иные требования и сведения общего характера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_Toc204763889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5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1"/>
            <w:tabs>
              <w:tab w:val="clear" w:pos="708"/>
              <w:tab w:val="left" w:pos="1134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b w:val="false"/>
              <w:bCs w:val="false"/>
              <w:sz w:val="22"/>
              <w:szCs w:val="22"/>
            </w:rPr>
          </w:pPr>
          <w:hyperlink w:anchor="_Toc204763890">
            <w:r>
              <w:rPr>
                <w:webHidden/>
                <w:rStyle w:val="Style14"/>
                <w:rFonts w:eastAsia="Calibri"/>
                <w:vanish w:val="false"/>
              </w:rPr>
              <w:t>2.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b w:val="false"/>
                <w:bCs w:val="false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Требования к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_Toc204763890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left" w:pos="1400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sz w:val="22"/>
              <w:szCs w:val="22"/>
            </w:rPr>
          </w:pPr>
          <w:hyperlink w:anchor="_Toc204763891">
            <w:r>
              <w:rPr>
                <w:webHidden/>
                <w:rStyle w:val="Style14"/>
                <w:rFonts w:eastAsia="Calibri"/>
                <w:bCs/>
                <w:iCs/>
                <w:vanish w:val="false"/>
              </w:rPr>
              <w:t>2.1.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Требования по объемам и срокам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_Toc204763891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left" w:pos="1400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sz w:val="22"/>
              <w:szCs w:val="22"/>
            </w:rPr>
          </w:pPr>
          <w:hyperlink w:anchor="_Toc204763892">
            <w:r>
              <w:rPr>
                <w:webHidden/>
                <w:rStyle w:val="Style14"/>
                <w:rFonts w:eastAsia="Calibri"/>
                <w:bCs/>
                <w:iCs/>
                <w:vanish w:val="false"/>
              </w:rPr>
              <w:t>2.2.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Требования к видам и объемам поставок МТР, работ, услуг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_Toc204763892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left" w:pos="1400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sz w:val="22"/>
              <w:szCs w:val="22"/>
            </w:rPr>
          </w:pPr>
          <w:hyperlink w:anchor="_Toc204763893">
            <w:r>
              <w:rPr>
                <w:webHidden/>
                <w:rStyle w:val="Style14"/>
                <w:rFonts w:eastAsia="Calibri"/>
                <w:bCs/>
                <w:iCs/>
                <w:vanish w:val="false"/>
              </w:rPr>
              <w:t>2.3.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Требования к качеству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_Toc204763893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8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1"/>
            <w:tabs>
              <w:tab w:val="clear" w:pos="708"/>
              <w:tab w:val="left" w:pos="1134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b w:val="false"/>
              <w:bCs w:val="false"/>
              <w:sz w:val="22"/>
              <w:szCs w:val="22"/>
            </w:rPr>
          </w:pPr>
          <w:hyperlink w:anchor="_Toc204763894">
            <w:r>
              <w:rPr>
                <w:webHidden/>
                <w:rStyle w:val="Style14"/>
                <w:rFonts w:eastAsia="Calibri"/>
                <w:vanish w:val="false"/>
              </w:rPr>
              <w:t>3.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b w:val="false"/>
                <w:bCs w:val="false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Требования к документации по ценообразованию на этапе закупки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_Toc204763894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18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1"/>
            <w:tabs>
              <w:tab w:val="clear" w:pos="708"/>
              <w:tab w:val="left" w:pos="1134" w:leader="none"/>
              <w:tab w:val="right" w:pos="9911" w:leader="dot"/>
            </w:tabs>
            <w:rPr>
              <w:rFonts w:ascii="Calibri" w:hAnsi="Calibri" w:eastAsia="" w:cs="" w:asciiTheme="minorHAnsi" w:cstheme="minorBidi" w:eastAsiaTheme="minorEastAsia" w:hAnsiTheme="minorHAnsi"/>
              <w:b w:val="false"/>
              <w:bCs w:val="false"/>
              <w:sz w:val="22"/>
              <w:szCs w:val="22"/>
            </w:rPr>
          </w:pPr>
          <w:hyperlink w:anchor="_Toc204763895">
            <w:r>
              <w:rPr>
                <w:webHidden/>
                <w:rStyle w:val="Style14"/>
                <w:rFonts w:eastAsia="Calibri"/>
                <w:vanish w:val="false"/>
              </w:rPr>
              <w:t>4.</w:t>
            </w:r>
            <w:r>
              <w:rPr>
                <w:rStyle w:val="Style14"/>
                <w:rFonts w:eastAsia="" w:cs="" w:ascii="Calibri" w:hAnsi="Calibri" w:asciiTheme="minorHAnsi" w:cstheme="minorBidi" w:eastAsiaTheme="minorEastAsia" w:hAnsiTheme="minorHAnsi"/>
                <w:b w:val="false"/>
                <w:bCs w:val="false"/>
                <w:sz w:val="22"/>
                <w:szCs w:val="22"/>
              </w:rPr>
              <w:tab/>
            </w:r>
            <w:r>
              <w:rPr>
                <w:rStyle w:val="Style14"/>
                <w:rFonts w:eastAsia="Calibri"/>
              </w:rPr>
              <w:t>Приложения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_Toc204763895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</w:rPr>
              <w:tab/>
              <w:t>18</w:t>
            </w:r>
            <w:r>
              <w:rPr>
                <w:webHidden/>
              </w:rPr>
              <w:fldChar w:fldCharType="end"/>
            </w:r>
          </w:hyperlink>
          <w:r>
            <w:rPr>
              <w:rStyle w:val="Style14"/>
            </w:rPr>
            <w:fldChar w:fldCharType="end"/>
          </w:r>
        </w:p>
      </w:sdtContent>
    </w:sdt>
    <w:p>
      <w:pPr>
        <w:pStyle w:val="Normal"/>
        <w:rPr>
          <w:rFonts w:eastAsia="Calibri"/>
        </w:rPr>
      </w:pPr>
      <w:r>
        <w:rPr>
          <w:rFonts w:eastAsia="Calibri"/>
        </w:rPr>
      </w:r>
      <w:r>
        <w:br w:type="page"/>
      </w:r>
    </w:p>
    <w:p>
      <w:pPr>
        <w:pStyle w:val="Heading1"/>
        <w:jc w:val="center"/>
        <w:rPr>
          <w:caps/>
        </w:rPr>
      </w:pPr>
      <w:bookmarkStart w:id="0" w:name="_Toc51339692"/>
      <w:bookmarkStart w:id="1" w:name="_Toc204763884"/>
      <w:r>
        <w:rPr/>
        <w:t>Общие сведения</w:t>
      </w:r>
      <w:bookmarkEnd w:id="0"/>
      <w:bookmarkEnd w:id="1"/>
    </w:p>
    <w:p>
      <w:pPr>
        <w:pStyle w:val="Heading2"/>
        <w:ind w:left="709" w:hanging="709"/>
        <w:rPr/>
      </w:pPr>
      <w:bookmarkStart w:id="2" w:name="_Toc46743505"/>
      <w:bookmarkStart w:id="3" w:name="_Toc204763885"/>
      <w:r>
        <w:rPr/>
        <w:t>Обозначения и сокращения</w:t>
      </w:r>
      <w:bookmarkEnd w:id="2"/>
      <w:bookmarkEnd w:id="3"/>
    </w:p>
    <w:tbl>
      <w:tblPr>
        <w:tblW w:w="5000" w:type="pct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2124"/>
        <w:gridCol w:w="7796"/>
      </w:tblGrid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ВУ АСУТП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Верхний уровень автоматизированных систем управления технологическим процессом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ГЩУ</w:t>
            </w:r>
          </w:p>
        </w:tc>
        <w:tc>
          <w:tcPr>
            <w:tcW w:w="77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Главный щит управления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jc w:val="both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x-none"/>
              </w:rPr>
              <w:t>ЗИП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Комплект запасных частей и принадлежностей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КД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Конструкторская документация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Комплект ЗИП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Набор запасных частей, инструментов, принадлежностей и расходных материалов, необходимых для обеспечения функционирования, технического обслуживания и ремонта объекта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МТР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Материально-технические ресурсы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НТД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Нормативно-техническая документация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ПО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Программное обеспечение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ПТК АСУТП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Программно-технический комплекс автоматизированных систем управления технологическими процессами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ПУЭ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Правила устройства электроустановок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РЩУ</w:t>
            </w:r>
          </w:p>
        </w:tc>
        <w:tc>
          <w:tcPr>
            <w:tcW w:w="77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Резервн</w:t>
            </w:r>
            <w:r>
              <w:rPr>
                <w:sz w:val="24"/>
                <w:szCs w:val="24"/>
              </w:rPr>
              <w:t>ая панель главного</w:t>
            </w:r>
            <w:r>
              <w:rPr>
                <w:sz w:val="24"/>
                <w:szCs w:val="24"/>
              </w:rPr>
              <w:t xml:space="preserve"> щит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 управления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СТО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Стандарт организации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ТТ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Техническое требование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Заказчик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ООО «РГЦР»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Производитель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Физическое или юридическое лицо, обладающее полным спектром вещных прав на продукцию, выпускающее ее под своей торговой маркой самостоятельно (либо с привлечением услуг маркировщиков, упаковщиков, проектировщиков и изготовителей) и несущее полную ответственность за соблюдение требований безопасности, установленных в конкретной отрасли. Информация о нем в обязательном порядке указывается на продукции и доводится до Потребителя.</w:t>
            </w:r>
          </w:p>
        </w:tc>
      </w:tr>
      <w:tr>
        <w:trPr>
          <w:cantSplit w:val="true"/>
        </w:trPr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Подрядчик</w:t>
            </w:r>
          </w:p>
        </w:tc>
        <w:tc>
          <w:tcPr>
            <w:tcW w:w="7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Победитель закупочной процедуры, получивший право заключения договора</w:t>
            </w:r>
          </w:p>
        </w:tc>
      </w:tr>
    </w:tbl>
    <w:p>
      <w:pPr>
        <w:pStyle w:val="Heading2"/>
        <w:ind w:left="709" w:hanging="709"/>
        <w:rPr/>
      </w:pPr>
      <w:bookmarkStart w:id="4" w:name="_Toc204763886"/>
      <w:bookmarkStart w:id="5" w:name="_Toc46743506"/>
      <w:r>
        <w:rPr/>
        <w:t>Наименование закупаемой продукции</w:t>
      </w:r>
      <w:bookmarkEnd w:id="4"/>
      <w:bookmarkEnd w:id="5"/>
    </w:p>
    <w:p>
      <w:pPr>
        <w:pStyle w:val="Normal"/>
        <w:widowControl w:val="false"/>
        <w:tabs>
          <w:tab w:val="clear" w:pos="708"/>
          <w:tab w:val="left" w:pos="426" w:leader="none"/>
        </w:tabs>
        <w:jc w:val="both"/>
        <w:rPr>
          <w:rStyle w:val="Style8"/>
          <w:rFonts w:eastAsia="Calibri"/>
          <w:b w:val="false"/>
          <w:bCs/>
          <w:sz w:val="24"/>
          <w:szCs w:val="24"/>
          <w:lang w:val="x-none" w:eastAsia="x-none"/>
        </w:rPr>
      </w:pPr>
      <w:r>
        <w:rPr>
          <w:rFonts w:eastAsia="Calibri"/>
          <w:iCs/>
          <w:caps/>
          <w:color w:val="000000"/>
          <w:sz w:val="24"/>
          <w:szCs w:val="24"/>
        </w:rPr>
        <w:t>ОКПД2 43.29</w:t>
      </w:r>
      <w:r>
        <w:rPr>
          <w:rFonts w:eastAsia="Calibri"/>
          <w:caps/>
          <w:color w:val="000000"/>
          <w:sz w:val="24"/>
          <w:szCs w:val="24"/>
        </w:rPr>
        <w:t xml:space="preserve">.19 </w:t>
      </w:r>
      <w:r>
        <w:rPr>
          <w:rFonts w:eastAsia="Calibri"/>
          <w:iCs/>
          <w:color w:val="000000"/>
          <w:sz w:val="24"/>
          <w:szCs w:val="24"/>
        </w:rPr>
        <w:t>Выполнение проектных, строительно-монтажных и пусконаладочных работ, в том числе поставка оборудования резервной панели главного щита управления ГАЭС Каскада Кубанских ГЭС в с. Водораздельное Прикубанского района Карачаево-Черкесской Республики</w:t>
      </w:r>
      <w:r>
        <w:rPr>
          <w:rFonts w:eastAsia="Calibri"/>
          <w:sz w:val="24"/>
          <w:szCs w:val="24"/>
        </w:rPr>
        <w:t xml:space="preserve"> (лот № </w:t>
      </w:r>
      <w:r>
        <w:rPr>
          <w:rFonts w:eastAsia="Calibri"/>
          <w:bCs/>
          <w:sz w:val="24"/>
          <w:szCs w:val="24"/>
        </w:rPr>
        <w:t>0030-КС ДОХ-2026-РГЦР</w:t>
      </w:r>
      <w:r>
        <w:rPr>
          <w:rFonts w:eastAsia="Calibri"/>
          <w:sz w:val="24"/>
          <w:szCs w:val="24"/>
        </w:rPr>
        <w:t>).</w:t>
      </w:r>
    </w:p>
    <w:p>
      <w:pPr>
        <w:pStyle w:val="Heading2"/>
        <w:ind w:left="709" w:hanging="709"/>
        <w:rPr/>
      </w:pPr>
      <w:bookmarkStart w:id="6" w:name="_Toc204763887"/>
      <w:bookmarkStart w:id="7" w:name="_Toc46743507"/>
      <w:r>
        <w:rPr/>
        <w:t>Цель использования закупаемой продукции</w:t>
      </w:r>
      <w:bookmarkEnd w:id="6"/>
      <w:bookmarkEnd w:id="7"/>
    </w:p>
    <w:p>
      <w:pPr>
        <w:pStyle w:val="Normal"/>
        <w:ind w:firstLine="709"/>
        <w:jc w:val="both"/>
        <w:rPr/>
      </w:pPr>
      <w:r>
        <w:rPr>
          <w:rFonts w:eastAsia="Calibri"/>
          <w:sz w:val="24"/>
          <w:szCs w:val="24"/>
        </w:rPr>
        <w:t xml:space="preserve">Модернизация ГЩУ ГАЭС ККГЭС в целях обеспечения требований п. 268 «Методических указаний по разработке ГЭС и ГАЭС», утв. Приказом Минэнерго №882 от 16.08.19. </w:t>
      </w:r>
    </w:p>
    <w:p>
      <w:pPr>
        <w:pStyle w:val="Heading2"/>
        <w:ind w:left="709" w:hanging="709"/>
        <w:rPr/>
      </w:pPr>
      <w:bookmarkStart w:id="8" w:name="_Toc46743508"/>
      <w:bookmarkStart w:id="9" w:name="_Toc204763888"/>
      <w:r>
        <w:rPr/>
        <w:t>Существующее положение</w:t>
      </w:r>
      <w:bookmarkEnd w:id="8"/>
      <w:bookmarkEnd w:id="9"/>
    </w:p>
    <w:p>
      <w:pPr>
        <w:pStyle w:val="Normal"/>
        <w:ind w:firstLine="709"/>
        <w:jc w:val="both"/>
        <w:rPr>
          <w:rFonts w:cs="SimSun"/>
          <w:kern w:val="2"/>
          <w:sz w:val="24"/>
          <w:szCs w:val="24"/>
        </w:rPr>
      </w:pPr>
      <w:r>
        <w:rPr>
          <w:rFonts w:cs="SimSun"/>
          <w:kern w:val="2"/>
          <w:sz w:val="24"/>
          <w:szCs w:val="24"/>
        </w:rPr>
        <w:t>ГЩУ является резервным средством отображения и управления оборудованием ГЭС. Режим работы ГЩУ круглосуточный, ежедневный. Допускается вывод из работы и отключения отдельных секций щита для проведения регламентных и ремонтных работ.</w:t>
      </w:r>
    </w:p>
    <w:p>
      <w:pPr>
        <w:pStyle w:val="Normal"/>
        <w:ind w:firstLine="709"/>
        <w:jc w:val="both"/>
        <w:rPr/>
      </w:pPr>
      <w:r>
        <w:rPr>
          <w:rFonts w:cs="SimSun"/>
          <w:kern w:val="2"/>
          <w:sz w:val="24"/>
          <w:szCs w:val="24"/>
        </w:rPr>
        <w:t xml:space="preserve">В связи с модернизацией ВУ АСУТП, необходимо выполнить мероприятия по модернизации главного щита управления. </w:t>
      </w:r>
      <w:r>
        <w:rPr>
          <w:rFonts w:eastAsia="Calibri"/>
          <w:sz w:val="24"/>
          <w:szCs w:val="24"/>
        </w:rPr>
        <w:t xml:space="preserve">АСУТП ГАЭС Каскада Кубанский ГЭС создается как функционально распределённая система для обеспечения комплексной автоматизации технологических процессов с целью повышения безопасности и надежности, оптимизации затрат на техническое обслуживание и ремонт, эффективности эксплуатации и экономичности работы оборудования и систем, а также обеспечения  дистанционного управления всеми коммутационными аппаратами и заземляющими разъединителями первичной схемы в соответствии с главой XVII действующей редакции «Правил переключений в электроустановках». </w:t>
      </w:r>
    </w:p>
    <w:p>
      <w:pPr>
        <w:pStyle w:val="Style38"/>
        <w:spacing w:before="120" w:after="60"/>
        <w:jc w:val="right"/>
        <w:rPr>
          <w:sz w:val="24"/>
          <w:szCs w:val="24"/>
        </w:rPr>
      </w:pPr>
      <w:r>
        <w:rPr>
          <w:sz w:val="24"/>
          <w:szCs w:val="24"/>
        </w:rPr>
        <w:t>Таблица 1. Перечень объектов заказчика</w:t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 w:noHBand="0" w:noVBand="0" w:firstColumn="0" w:lastRow="0" w:lastColumn="0" w:firstRow="0"/>
      </w:tblPr>
      <w:tblGrid>
        <w:gridCol w:w="661"/>
        <w:gridCol w:w="4919"/>
        <w:gridCol w:w="2162"/>
        <w:gridCol w:w="2178"/>
      </w:tblGrid>
      <w:tr>
        <w:trPr>
          <w:trHeight w:val="975" w:hRule="atLeast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№</w:t>
            </w:r>
          </w:p>
          <w:p>
            <w:pPr>
              <w:pStyle w:val="Normal"/>
              <w:widowControl w:val="false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п/п</w:t>
            </w:r>
          </w:p>
        </w:tc>
        <w:tc>
          <w:tcPr>
            <w:tcW w:w="4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Наименование объекта</w:t>
            </w:r>
          </w:p>
        </w:tc>
        <w:tc>
          <w:tcPr>
            <w:tcW w:w="2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Расположение объекта </w:t>
              <w:br/>
            </w:r>
            <w:r>
              <w:rPr>
                <w:b/>
                <w:bCs/>
                <w:i/>
                <w:iCs/>
                <w:sz w:val="20"/>
                <w:szCs w:val="20"/>
              </w:rPr>
              <w:t>(место поставки МТР)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Наименование основного средства </w:t>
              <w:br/>
              <w:t>(в отношении которого выполняются работы, оказываются услуги)</w:t>
            </w:r>
          </w:p>
        </w:tc>
      </w:tr>
      <w:tr>
        <w:trPr>
          <w:trHeight w:val="170" w:hRule="atLeast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>
        <w:trPr>
          <w:trHeight w:val="2099" w:hRule="atLeast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0"/>
                <w:numId w:val="6"/>
              </w:numPr>
              <w:spacing w:before="60" w:after="60"/>
              <w:contextualSpacing w:val="false"/>
              <w:rPr/>
            </w:pPr>
            <w:r>
              <w:rPr/>
            </w:r>
          </w:p>
        </w:tc>
        <w:tc>
          <w:tcPr>
            <w:tcW w:w="4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jc w:val="both"/>
              <w:rPr>
                <w:rStyle w:val="Style8"/>
                <w:rFonts w:eastAsia="Calibri"/>
                <w:b w:val="false"/>
                <w:bCs/>
                <w:sz w:val="24"/>
                <w:szCs w:val="24"/>
                <w:lang w:val="x-none" w:eastAsia="x-none"/>
              </w:rPr>
            </w:pPr>
            <w:r>
              <w:rPr>
                <w:rFonts w:eastAsia="Calibri"/>
                <w:iCs/>
                <w:caps/>
                <w:color w:val="000000"/>
                <w:sz w:val="24"/>
                <w:szCs w:val="24"/>
              </w:rPr>
              <w:t>ОКПД2 43.29</w:t>
            </w:r>
            <w:r>
              <w:rPr>
                <w:rFonts w:eastAsia="Calibri"/>
                <w:caps/>
                <w:color w:val="000000"/>
                <w:sz w:val="24"/>
                <w:szCs w:val="24"/>
              </w:rPr>
              <w:t xml:space="preserve">.19 </w:t>
            </w:r>
            <w:r>
              <w:rPr>
                <w:rFonts w:eastAsia="Calibri"/>
                <w:iCs/>
                <w:color w:val="000000"/>
                <w:sz w:val="24"/>
                <w:szCs w:val="24"/>
              </w:rPr>
              <w:t>Выполнение проектных, строительно-монтажных и пусконаладочных работ, в том числе поставка оборудования резервной панели главного щита управления ГАЭС Каскада Кубанских ГЭС в с. Водораздельное Прикубанского района Карачаево-Черкесской Республики</w:t>
            </w:r>
          </w:p>
        </w:tc>
        <w:tc>
          <w:tcPr>
            <w:tcW w:w="2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iCs/>
                <w:sz w:val="24"/>
                <w:szCs w:val="24"/>
              </w:rPr>
              <w:t xml:space="preserve">Карачаево-Черкесская Республика, Прикубанский район, с. Водораздельное 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АСУТП ГАЭС</w:t>
            </w:r>
          </w:p>
        </w:tc>
      </w:tr>
    </w:tbl>
    <w:p>
      <w:pPr>
        <w:pStyle w:val="Heading1"/>
        <w:jc w:val="center"/>
        <w:rPr/>
      </w:pPr>
      <w:bookmarkStart w:id="10" w:name="_Toc46743510"/>
      <w:bookmarkStart w:id="11" w:name="_Hlk48209761_Копия_1"/>
      <w:bookmarkStart w:id="12" w:name="_Toc50125126"/>
      <w:bookmarkStart w:id="13" w:name="_Toc51339693"/>
      <w:bookmarkStart w:id="14" w:name="_Toc204763890"/>
      <w:bookmarkEnd w:id="10"/>
      <w:bookmarkEnd w:id="11"/>
      <w:bookmarkEnd w:id="12"/>
      <w:r>
        <w:rPr/>
        <w:t>Требования к продукции</w:t>
      </w:r>
      <w:bookmarkEnd w:id="13"/>
      <w:bookmarkEnd w:id="14"/>
    </w:p>
    <w:p>
      <w:pPr>
        <w:pStyle w:val="Heading2"/>
        <w:ind w:left="709" w:hanging="709"/>
        <w:rPr/>
      </w:pPr>
      <w:bookmarkStart w:id="15" w:name="_Toc204763891"/>
      <w:r>
        <w:rPr/>
        <w:t>Требования по объемам и срокам</w:t>
      </w:r>
      <w:bookmarkEnd w:id="15"/>
    </w:p>
    <w:p>
      <w:pPr>
        <w:pStyle w:val="Heading3"/>
        <w:rPr/>
      </w:pPr>
      <w:bookmarkStart w:id="16" w:name="_Toc166871910"/>
      <w:bookmarkStart w:id="17" w:name="_Toc164155634"/>
      <w:bookmarkStart w:id="18" w:name="_Toc204763892"/>
      <w:bookmarkStart w:id="19" w:name="_Toc130201869"/>
      <w:r>
        <w:rPr/>
        <w:t>Требования к видам и объемам поставок МТР</w:t>
      </w:r>
      <w:bookmarkEnd w:id="16"/>
      <w:bookmarkEnd w:id="17"/>
      <w:bookmarkEnd w:id="18"/>
      <w:bookmarkEnd w:id="19"/>
    </w:p>
    <w:p>
      <w:pPr>
        <w:pStyle w:val="Style38"/>
        <w:spacing w:before="120" w:after="60"/>
        <w:jc w:val="right"/>
        <w:rPr>
          <w:sz w:val="24"/>
          <w:szCs w:val="24"/>
        </w:rPr>
      </w:pPr>
      <w:bookmarkStart w:id="20" w:name="_Toc51339695"/>
      <w:r>
        <w:rPr>
          <w:sz w:val="24"/>
          <w:szCs w:val="24"/>
        </w:rPr>
        <w:t xml:space="preserve">Таблица 2 Перечень и объем </w:t>
      </w:r>
      <w:bookmarkEnd w:id="20"/>
      <w:r>
        <w:rPr>
          <w:sz w:val="24"/>
          <w:szCs w:val="24"/>
        </w:rPr>
        <w:t>закупаемой продукции</w:t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 w:noHBand="0" w:noVBand="0" w:firstColumn="0" w:lastRow="0" w:lastColumn="0" w:firstRow="0"/>
      </w:tblPr>
      <w:tblGrid>
        <w:gridCol w:w="696"/>
        <w:gridCol w:w="4884"/>
        <w:gridCol w:w="2162"/>
        <w:gridCol w:w="2178"/>
      </w:tblGrid>
      <w:tr>
        <w:trPr>
          <w:tblHeader w:val="true"/>
          <w:trHeight w:val="230" w:hRule="atLeast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№ </w:t>
            </w:r>
            <w:r>
              <w:rPr>
                <w:b/>
                <w:sz w:val="20"/>
                <w:szCs w:val="20"/>
              </w:rPr>
              <w:t>п/п</w:t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Наименование закупаемой продукции</w:t>
            </w:r>
          </w:p>
        </w:tc>
        <w:tc>
          <w:tcPr>
            <w:tcW w:w="2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Количество</w:t>
            </w:r>
          </w:p>
        </w:tc>
      </w:tr>
      <w:tr>
        <w:trPr>
          <w:tblHeader w:val="true"/>
          <w:trHeight w:val="230" w:hRule="atLeast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</w:t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2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</w:t>
            </w:r>
          </w:p>
        </w:tc>
      </w:tr>
      <w:tr>
        <w:trPr>
          <w:trHeight w:val="954" w:hRule="atLeast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spacing w:before="60" w:after="60"/>
              <w:ind w:left="0" w:right="175" w:hanging="0"/>
              <w:contextualSpacing w:val="false"/>
              <w:jc w:val="center"/>
              <w:rPr/>
            </w:pPr>
            <w:r>
              <w:rPr/>
            </w:r>
          </w:p>
        </w:tc>
        <w:tc>
          <w:tcPr>
            <w:tcW w:w="92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jc w:val="both"/>
              <w:rPr/>
            </w:pPr>
            <w:r>
              <w:rPr>
                <w:rFonts w:eastAsia="Calibri"/>
                <w:iCs/>
                <w:caps/>
                <w:color w:val="000000"/>
                <w:kern w:val="2"/>
                <w:sz w:val="24"/>
                <w:szCs w:val="24"/>
                <w:lang w:eastAsia="zh-CN" w:bidi="hi-IN"/>
              </w:rPr>
              <w:t xml:space="preserve">ОКПД2 43.29.19 </w:t>
            </w:r>
            <w:r>
              <w:rPr>
                <w:rFonts w:eastAsia="Calibri"/>
                <w:iCs/>
                <w:color w:val="000000"/>
                <w:kern w:val="2"/>
                <w:sz w:val="24"/>
                <w:szCs w:val="24"/>
                <w:lang w:eastAsia="zh-CN" w:bidi="hi-IN"/>
              </w:rPr>
              <w:t>Выполнение проектных, строительно-монтажных и пусконаладочных работ, в том числе поставка оборудования резервной панели главного щита управления ГАЭС Каскада Кубанских ГЭС в с. Водораздельное Прикубанского района Карачаево-Черкесской Республики</w:t>
            </w:r>
            <w:r>
              <w:rPr>
                <w:rFonts w:eastAsia="Calibri"/>
                <w:iCs/>
                <w:kern w:val="2"/>
                <w:sz w:val="24"/>
                <w:szCs w:val="24"/>
                <w:lang w:eastAsia="zh-CN" w:bidi="hi-IN"/>
              </w:rPr>
              <w:t xml:space="preserve">, </w:t>
            </w:r>
            <w:r>
              <w:rPr>
                <w:rFonts w:eastAsia="WenQuanYi Zen Hei Sharp"/>
                <w:iCs/>
                <w:kern w:val="2"/>
                <w:sz w:val="24"/>
                <w:szCs w:val="24"/>
                <w:lang w:eastAsia="zh-CN" w:bidi="hi-IN"/>
              </w:rPr>
              <w:t>а именно:</w:t>
            </w:r>
          </w:p>
        </w:tc>
      </w:tr>
      <w:tr>
        <w:trPr>
          <w:trHeight w:val="255" w:hRule="atLeast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1"/>
                <w:numId w:val="7"/>
              </w:numPr>
              <w:spacing w:before="60" w:after="60"/>
              <w:ind w:left="314" w:right="-1" w:hanging="284"/>
              <w:contextualSpacing/>
              <w:rPr/>
            </w:pPr>
            <w:r>
              <w:rPr/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Разработка ТРП </w:t>
            </w:r>
            <w:r>
              <w:rPr>
                <w:iCs/>
                <w:sz w:val="24"/>
                <w:szCs w:val="24"/>
              </w:rPr>
              <w:t>Р</w:t>
            </w:r>
            <w:r>
              <w:rPr>
                <w:iCs/>
                <w:sz w:val="24"/>
                <w:szCs w:val="24"/>
              </w:rPr>
              <w:t>ЩУ</w:t>
            </w:r>
          </w:p>
        </w:tc>
        <w:tc>
          <w:tcPr>
            <w:tcW w:w="2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>
        <w:trPr>
          <w:trHeight w:val="255" w:hRule="atLeast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1"/>
                <w:numId w:val="7"/>
              </w:numPr>
              <w:spacing w:before="60" w:after="60"/>
              <w:ind w:left="30" w:hanging="0"/>
              <w:contextualSpacing/>
              <w:rPr/>
            </w:pPr>
            <w:r>
              <w:rPr/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Строительно-монтажные и пусконаладочные работы </w:t>
            </w:r>
            <w:r>
              <w:rPr>
                <w:iCs/>
                <w:sz w:val="24"/>
                <w:szCs w:val="24"/>
              </w:rPr>
              <w:t>Р</w:t>
            </w:r>
            <w:r>
              <w:rPr>
                <w:iCs/>
                <w:sz w:val="24"/>
                <w:szCs w:val="24"/>
              </w:rPr>
              <w:t>ЩУ</w:t>
            </w:r>
          </w:p>
        </w:tc>
        <w:tc>
          <w:tcPr>
            <w:tcW w:w="2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>
        <w:trPr>
          <w:trHeight w:val="255" w:hRule="atLeast"/>
        </w:trPr>
        <w:tc>
          <w:tcPr>
            <w:tcW w:w="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numPr>
                <w:ilvl w:val="1"/>
                <w:numId w:val="7"/>
              </w:numPr>
              <w:spacing w:before="60" w:after="60"/>
              <w:ind w:left="30" w:hanging="0"/>
              <w:contextualSpacing/>
              <w:rPr/>
            </w:pPr>
            <w:r>
              <w:rPr/>
            </w:r>
          </w:p>
        </w:tc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60" w:after="60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Поставка оборудования </w:t>
            </w:r>
            <w:r>
              <w:rPr>
                <w:iCs/>
                <w:sz w:val="24"/>
                <w:szCs w:val="24"/>
              </w:rPr>
              <w:t>Р</w:t>
            </w:r>
            <w:r>
              <w:rPr>
                <w:iCs/>
                <w:sz w:val="24"/>
                <w:szCs w:val="24"/>
              </w:rPr>
              <w:t>ЩУ, включая ЗИП</w:t>
            </w:r>
          </w:p>
        </w:tc>
        <w:tc>
          <w:tcPr>
            <w:tcW w:w="2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компл.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</w:t>
            </w:r>
          </w:p>
          <w:p>
            <w:pPr>
              <w:pStyle w:val="Normal"/>
              <w:widowControl w:val="false"/>
              <w:spacing w:before="60" w:after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соответствии со Спецификацией – Приложением № 1 к Техническим требованиям</w:t>
            </w:r>
          </w:p>
        </w:tc>
      </w:tr>
    </w:tbl>
    <w:p>
      <w:pPr>
        <w:pStyle w:val="Normal"/>
        <w:widowControl w:val="false"/>
        <w:tabs>
          <w:tab w:val="clear" w:pos="708"/>
          <w:tab w:val="left" w:pos="426" w:leader="none"/>
        </w:tabs>
        <w:spacing w:before="120" w:after="12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Единичные расценки (цена за единицу продукции по каждой позиции товара) должны включать в себя расходы все сопутствующие расходы, таможенные, налоговые и иные обязательные платежи, расходы по изготовлению, заводским испытаниям, доставке, страхованию груза и транспортировке до места поставки и прочие затраты, и расходы Подрядчика, связанные с поставкой товара, предусмотренные договором.</w:t>
      </w:r>
    </w:p>
    <w:p>
      <w:pPr>
        <w:pStyle w:val="Heading3"/>
        <w:rPr/>
      </w:pPr>
      <w:bookmarkStart w:id="21" w:name="_Toc54970187"/>
      <w:bookmarkStart w:id="22" w:name="_Toc50125126_Копия_1"/>
      <w:bookmarkStart w:id="23" w:name="_Toc46743510_Копия_2"/>
      <w:bookmarkEnd w:id="22"/>
      <w:bookmarkEnd w:id="23"/>
      <w:r>
        <w:rPr/>
        <w:t>Требования к срокам поставки МТР</w:t>
      </w:r>
      <w:bookmarkEnd w:id="21"/>
    </w:p>
    <w:p>
      <w:pPr>
        <w:pStyle w:val="Normal"/>
        <w:spacing w:before="0" w:after="60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Дата начала срока – дата, следующая за датой подписания договора (далее – Х)</w:t>
      </w:r>
    </w:p>
    <w:p>
      <w:pPr>
        <w:pStyle w:val="Normal"/>
        <w:spacing w:before="0" w:after="60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Сроки поставки продукции рассчитывается в календарных днях относительно даты начала в формате «Х+… к.д.»</w:t>
      </w:r>
    </w:p>
    <w:p>
      <w:pPr>
        <w:pStyle w:val="Style38"/>
        <w:spacing w:before="120" w:after="60"/>
        <w:jc w:val="right"/>
        <w:rPr>
          <w:sz w:val="24"/>
          <w:szCs w:val="24"/>
        </w:rPr>
      </w:pPr>
      <w:r>
        <w:rPr>
          <w:sz w:val="24"/>
          <w:szCs w:val="24"/>
        </w:rPr>
        <w:t>Таблица 3 Требования по срокам поставки продукции</w:t>
      </w:r>
    </w:p>
    <w:tbl>
      <w:tblPr>
        <w:tblW w:w="5000" w:type="pct"/>
        <w:jc w:val="left"/>
        <w:tblInd w:w="113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772"/>
        <w:gridCol w:w="4695"/>
        <w:gridCol w:w="2166"/>
        <w:gridCol w:w="2287"/>
      </w:tblGrid>
      <w:tr>
        <w:trPr/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bookmarkStart w:id="24" w:name="_Toc46743510_Копия_1"/>
            <w:bookmarkEnd w:id="24"/>
            <w:r>
              <w:rPr>
                <w:b/>
                <w:sz w:val="20"/>
                <w:szCs w:val="20"/>
              </w:rPr>
              <w:t xml:space="preserve">№ </w:t>
            </w:r>
            <w:r>
              <w:rPr>
                <w:b/>
                <w:sz w:val="20"/>
                <w:szCs w:val="20"/>
              </w:rPr>
              <w:t>п/п</w:t>
            </w:r>
          </w:p>
        </w:tc>
        <w:tc>
          <w:tcPr>
            <w:tcW w:w="4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Наименование закупаемой продукции</w:t>
            </w:r>
          </w:p>
        </w:tc>
        <w:tc>
          <w:tcPr>
            <w:tcW w:w="2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Требования к началу срока поставки</w:t>
            </w:r>
          </w:p>
        </w:tc>
        <w:tc>
          <w:tcPr>
            <w:tcW w:w="2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Требования к окончанию срока поставки</w:t>
            </w:r>
          </w:p>
        </w:tc>
      </w:tr>
      <w:tr>
        <w:trPr/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>
        <w:trPr/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pacing w:before="60" w:after="60"/>
              <w:contextualSpacing w:val="false"/>
              <w:rPr/>
            </w:pPr>
            <w:r>
              <w:rPr/>
            </w:r>
          </w:p>
        </w:tc>
        <w:tc>
          <w:tcPr>
            <w:tcW w:w="4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pacing w:before="60" w:after="60"/>
              <w:jc w:val="both"/>
              <w:rPr/>
            </w:pPr>
            <w:r>
              <w:rPr>
                <w:rFonts w:eastAsia="Calibri"/>
                <w:bCs/>
                <w:iCs/>
                <w:caps/>
                <w:color w:val="000000"/>
                <w:kern w:val="2"/>
                <w:sz w:val="24"/>
                <w:szCs w:val="24"/>
                <w:lang w:eastAsia="zh-CN" w:bidi="hi-IN"/>
              </w:rPr>
              <w:t xml:space="preserve">ОКПД2 43.29.19 </w:t>
            </w:r>
            <w:r>
              <w:rPr>
                <w:rFonts w:eastAsia="Calibri"/>
                <w:bCs/>
                <w:iCs/>
                <w:color w:val="000000"/>
                <w:kern w:val="2"/>
                <w:sz w:val="24"/>
                <w:szCs w:val="24"/>
                <w:lang w:eastAsia="zh-CN" w:bidi="hi-IN"/>
              </w:rPr>
              <w:t>Выполнение проектных, строительно-монтажных и пусконаладочных работ, в том числе поставка оборудования резервной панели главного щита управления ГАЭС Каскада Кубанских ГЭС в с. Водораздельное Прикубанского района Карачаево-Черкесской Республики</w:t>
            </w:r>
          </w:p>
        </w:tc>
        <w:tc>
          <w:tcPr>
            <w:tcW w:w="2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Х</w:t>
            </w:r>
          </w:p>
        </w:tc>
        <w:tc>
          <w:tcPr>
            <w:tcW w:w="2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60" w:after="60"/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Х+60 </w:t>
            </w:r>
          </w:p>
        </w:tc>
      </w:tr>
    </w:tbl>
    <w:p>
      <w:pPr>
        <w:sectPr>
          <w:headerReference w:type="even" r:id="rId2"/>
          <w:headerReference w:type="default" r:id="rId3"/>
          <w:headerReference w:type="first" r:id="rId4"/>
          <w:footerReference w:type="default" r:id="rId5"/>
          <w:footerReference w:type="first" r:id="rId6"/>
          <w:type w:val="nextPage"/>
          <w:pgSz w:w="11906" w:h="16838"/>
          <w:pgMar w:left="1418" w:right="567" w:gutter="0" w:header="0" w:top="567" w:footer="283" w:bottom="709"/>
          <w:pgNumType w:start="1" w:fmt="decimal"/>
          <w:formProt w:val="false"/>
          <w:titlePg/>
          <w:textDirection w:val="lrTb"/>
          <w:docGrid w:type="default" w:linePitch="381" w:charSpace="0"/>
        </w:sectPr>
      </w:pPr>
    </w:p>
    <w:p>
      <w:pPr>
        <w:pStyle w:val="Heading3"/>
        <w:rPr/>
      </w:pPr>
      <w:bookmarkStart w:id="25" w:name="_Toc204763893"/>
      <w:r>
        <w:rPr/>
        <w:t>Требования к продукции</w:t>
      </w:r>
      <w:bookmarkEnd w:id="25"/>
    </w:p>
    <w:p>
      <w:pPr>
        <w:pStyle w:val="Normal"/>
        <w:spacing w:before="60" w:after="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Наименование продукции (позиции № 1.1. Таблицы 2):</w:t>
      </w:r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60" w:after="60"/>
        <w:jc w:val="both"/>
        <w:rPr>
          <w:rFonts w:eastAsia="Calibri"/>
          <w:bCs/>
          <w:color w:val="000000"/>
          <w:sz w:val="24"/>
          <w:szCs w:val="24"/>
          <w:lang w:eastAsia="x-none"/>
        </w:rPr>
      </w:pPr>
      <w:r>
        <w:rPr>
          <w:rFonts w:eastAsia="Calibri"/>
          <w:bCs/>
          <w:iCs/>
          <w:caps/>
          <w:color w:val="000000"/>
          <w:kern w:val="2"/>
          <w:sz w:val="24"/>
          <w:szCs w:val="24"/>
          <w:lang w:eastAsia="zh-CN" w:bidi="hi-IN"/>
        </w:rPr>
        <w:t xml:space="preserve">ОКПД2 43.29.19 </w:t>
      </w:r>
      <w:r>
        <w:rPr>
          <w:rFonts w:eastAsia="Calibri"/>
          <w:bCs/>
          <w:iCs/>
          <w:color w:val="000000"/>
          <w:kern w:val="2"/>
          <w:sz w:val="24"/>
          <w:szCs w:val="24"/>
          <w:lang w:eastAsia="zh-CN" w:bidi="hi-IN"/>
        </w:rPr>
        <w:t>Выполнение проектных, строительно-монтажных и пусконаладочных работ, в том числе поставка оборудования резервной панели главного щита управления ГАЭС Каскада Кубанских ГЭС в с. Водораздельное Прикубанского района Карачаево-Черкесской Республики</w:t>
      </w:r>
      <w:r>
        <w:rPr>
          <w:rFonts w:eastAsia="Calibri"/>
          <w:bCs/>
          <w:iCs/>
          <w:sz w:val="24"/>
          <w:szCs w:val="24"/>
          <w:lang w:eastAsia="x-none"/>
        </w:rPr>
        <w:t xml:space="preserve"> </w:t>
      </w:r>
      <w:r>
        <w:rPr>
          <w:rFonts w:eastAsia="Calibri"/>
          <w:bCs/>
          <w:color w:val="000000"/>
          <w:sz w:val="24"/>
          <w:szCs w:val="24"/>
          <w:lang w:eastAsia="x-none"/>
        </w:rPr>
        <w:t>(</w:t>
      </w:r>
      <w:r>
        <w:rPr>
          <w:rFonts w:eastAsia="Calibri"/>
          <w:sz w:val="24"/>
          <w:szCs w:val="24"/>
        </w:rPr>
        <w:t xml:space="preserve">лот № </w:t>
      </w:r>
      <w:r>
        <w:rPr>
          <w:rFonts w:eastAsia="Calibri"/>
          <w:bCs/>
          <w:sz w:val="24"/>
          <w:szCs w:val="24"/>
        </w:rPr>
        <w:t>0030-КС ДОХ-2026-РГЦР</w:t>
      </w:r>
      <w:r>
        <w:rPr>
          <w:rFonts w:eastAsia="Calibri"/>
          <w:bCs/>
          <w:color w:val="000000"/>
          <w:sz w:val="24"/>
          <w:szCs w:val="24"/>
          <w:lang w:eastAsia="x-none"/>
        </w:rPr>
        <w:t>):</w:t>
      </w:r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60" w:after="60"/>
        <w:jc w:val="both"/>
        <w:rPr>
          <w:u w:val="single"/>
        </w:rPr>
      </w:pPr>
      <w:r>
        <w:rPr>
          <w:rFonts w:eastAsia="Calibri"/>
          <w:bCs/>
          <w:color w:val="000000"/>
          <w:sz w:val="24"/>
          <w:szCs w:val="24"/>
          <w:u w:val="single"/>
          <w:lang w:eastAsia="x-none"/>
        </w:rPr>
        <w:t xml:space="preserve">Стадия 1.1. </w:t>
      </w:r>
      <w:r>
        <w:rPr>
          <w:rFonts w:eastAsia="Calibri"/>
          <w:bCs/>
          <w:iCs/>
          <w:color w:val="000000"/>
          <w:sz w:val="24"/>
          <w:szCs w:val="24"/>
          <w:u w:val="single"/>
          <w:lang w:eastAsia="x-none"/>
        </w:rPr>
        <w:t xml:space="preserve">Разработка ТРП </w:t>
      </w:r>
      <w:r>
        <w:rPr>
          <w:rFonts w:eastAsia="Calibri"/>
          <w:bCs/>
          <w:iCs/>
          <w:color w:val="000000"/>
          <w:sz w:val="24"/>
          <w:szCs w:val="24"/>
          <w:u w:val="single"/>
          <w:lang w:eastAsia="x-none"/>
        </w:rPr>
        <w:t>Р</w:t>
      </w:r>
      <w:r>
        <w:rPr>
          <w:rFonts w:eastAsia="Calibri"/>
          <w:bCs/>
          <w:iCs/>
          <w:color w:val="000000"/>
          <w:sz w:val="24"/>
          <w:szCs w:val="24"/>
          <w:u w:val="single"/>
          <w:lang w:eastAsia="x-none"/>
        </w:rPr>
        <w:t>ЩУ</w:t>
      </w:r>
    </w:p>
    <w:p>
      <w:pPr>
        <w:pStyle w:val="Normal"/>
        <w:keepNext w:val="true"/>
        <w:numPr>
          <w:ilvl w:val="0"/>
          <w:numId w:val="0"/>
        </w:numPr>
        <w:spacing w:before="120" w:after="60"/>
        <w:ind w:left="0" w:hanging="0"/>
        <w:jc w:val="right"/>
        <w:outlineLvl w:val="0"/>
        <w:rPr>
          <w:rFonts w:eastAsia="Calibri"/>
          <w:b/>
          <w:sz w:val="24"/>
          <w:szCs w:val="24"/>
          <w:lang w:eastAsia="x-none"/>
        </w:rPr>
      </w:pPr>
      <w:bookmarkStart w:id="26" w:name="_Toc174726574"/>
      <w:r>
        <w:rPr>
          <w:rFonts w:eastAsia="Calibri"/>
          <w:b/>
          <w:sz w:val="24"/>
          <w:szCs w:val="24"/>
          <w:lang w:val="x-none" w:eastAsia="x-none"/>
        </w:rPr>
        <w:t xml:space="preserve">Таблица </w:t>
      </w:r>
      <w:r>
        <w:rPr>
          <w:rFonts w:eastAsia="Calibri"/>
          <w:b/>
          <w:sz w:val="24"/>
          <w:szCs w:val="24"/>
          <w:lang w:eastAsia="x-none"/>
        </w:rPr>
        <w:t>4.1.</w:t>
      </w:r>
      <w:r>
        <w:rPr>
          <w:rFonts w:eastAsia="Calibri"/>
          <w:b/>
          <w:sz w:val="24"/>
          <w:szCs w:val="24"/>
          <w:lang w:val="x-none" w:eastAsia="x-none"/>
        </w:rPr>
        <w:t xml:space="preserve"> </w:t>
      </w:r>
      <w:r>
        <w:rPr>
          <w:rFonts w:eastAsia="Calibri"/>
          <w:b/>
          <w:sz w:val="24"/>
          <w:szCs w:val="24"/>
          <w:lang w:eastAsia="x-none"/>
        </w:rPr>
        <w:t>Требования к разработке ТРП</w:t>
      </w:r>
      <w:bookmarkEnd w:id="26"/>
    </w:p>
    <w:tbl>
      <w:tblPr>
        <w:tblW w:w="5000" w:type="pct"/>
        <w:jc w:val="left"/>
        <w:tblInd w:w="0" w:type="dxa"/>
        <w:tblLayout w:type="fixed"/>
        <w:tblCellMar>
          <w:top w:w="0" w:type="dxa"/>
          <w:left w:w="57" w:type="dxa"/>
          <w:bottom w:w="0" w:type="dxa"/>
          <w:right w:w="57" w:type="dxa"/>
        </w:tblCellMar>
        <w:tblLook w:val="04a0" w:noHBand="0" w:noVBand="1" w:firstColumn="1" w:lastRow="0" w:lastColumn="0" w:firstRow="1"/>
      </w:tblPr>
      <w:tblGrid>
        <w:gridCol w:w="895"/>
        <w:gridCol w:w="2704"/>
        <w:gridCol w:w="12105"/>
      </w:tblGrid>
      <w:tr>
        <w:trPr>
          <w:tblHeader w:val="true"/>
          <w:trHeight w:val="94" w:hRule="atLeast"/>
        </w:trPr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jc w:val="center"/>
              <w:rPr>
                <w:b/>
                <w:bCs/>
              </w:rPr>
            </w:pPr>
            <w:r>
              <w:rPr>
                <w:b/>
                <w:bCs/>
                <w:sz w:val="20"/>
                <w:szCs w:val="20"/>
              </w:rPr>
              <w:t xml:space="preserve">№ </w:t>
            </w:r>
            <w:r>
              <w:rPr>
                <w:b/>
                <w:bCs/>
                <w:sz w:val="20"/>
                <w:szCs w:val="20"/>
              </w:rPr>
              <w:t>п/п</w:t>
            </w:r>
          </w:p>
        </w:tc>
        <w:tc>
          <w:tcPr>
            <w:tcW w:w="2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jc w:val="center"/>
              <w:rPr>
                <w:b/>
                <w:bCs/>
              </w:rPr>
            </w:pPr>
            <w:r>
              <w:rPr>
                <w:b/>
                <w:bCs/>
                <w:sz w:val="20"/>
                <w:szCs w:val="20"/>
              </w:rPr>
              <w:t>Наименование параметра</w:t>
            </w:r>
          </w:p>
        </w:tc>
        <w:tc>
          <w:tcPr>
            <w:tcW w:w="1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jc w:val="center"/>
              <w:rPr>
                <w:b/>
                <w:bCs/>
              </w:rPr>
            </w:pPr>
            <w:r>
              <w:rPr>
                <w:b/>
                <w:bCs/>
                <w:sz w:val="20"/>
                <w:szCs w:val="20"/>
              </w:rPr>
              <w:t>Требование заказчика</w:t>
            </w:r>
          </w:p>
        </w:tc>
      </w:tr>
      <w:tr>
        <w:trPr>
          <w:tblHeader w:val="true"/>
        </w:trPr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</w:t>
            </w:r>
          </w:p>
        </w:tc>
        <w:tc>
          <w:tcPr>
            <w:tcW w:w="2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rPr>
                <w:b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rPr>
                <w:b/>
              </w:rPr>
            </w:pPr>
            <w:r>
              <w:rPr>
                <w:b/>
                <w:sz w:val="20"/>
                <w:szCs w:val="20"/>
              </w:rPr>
              <w:t>3</w:t>
            </w:r>
          </w:p>
        </w:tc>
      </w:tr>
      <w:tr>
        <w:trPr>
          <w:trHeight w:val="15" w:hRule="atLeast"/>
        </w:trPr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37"/>
              </w:numPr>
              <w:suppressAutoHyphens w:val="false"/>
              <w:spacing w:before="60" w:after="6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1480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Требования к выполнению работ 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7"/>
              </w:numPr>
              <w:suppressAutoHyphens w:val="false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0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Общие требования к выполнению работ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Объекты и границы проектирования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60" w:after="6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iCs/>
                <w:color w:val="000000"/>
                <w:kern w:val="2"/>
                <w:sz w:val="24"/>
                <w:szCs w:val="24"/>
                <w:lang w:eastAsia="zh-CN" w:bidi="hi-IN"/>
              </w:rPr>
              <w:t>Резервная панель главного щита управления</w:t>
            </w:r>
            <w:r>
              <w:rPr>
                <w:rFonts w:eastAsia="Calibri"/>
                <w:sz w:val="24"/>
                <w:szCs w:val="24"/>
              </w:rPr>
              <w:t xml:space="preserve"> ГАЭС Каскада Кубанских ГЭС.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191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Объём проектирования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ListParagraph"/>
              <w:widowControl w:val="false"/>
              <w:suppressAutoHyphens w:val="false"/>
              <w:spacing w:before="60" w:after="60"/>
              <w:ind w:left="0" w:hanging="0"/>
              <w:contextualSpacing w:val="false"/>
              <w:jc w:val="both"/>
              <w:rPr/>
            </w:pPr>
            <w:r>
              <w:rPr>
                <w:rFonts w:eastAsia="Times New Roman"/>
                <w:iCs/>
              </w:rPr>
              <w:t>Разрабатываемый ТРП должен быть выполнен</w:t>
            </w:r>
            <w:r>
              <w:rPr/>
              <w:t xml:space="preserve"> с привязкой расположения строительных конструкций и существующих кабеленесущих систем.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191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Состав разрабатываемого техно-рабочего проекта, конструкторской и эксплуатационной документации в объеме поставляемого РЩУ ГАЭС Каскада Кубанских ГЭС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Состав разрабатываемой документации обязательно включает, но не ограничивается: 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Ведомость документов проекта.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Пояснительная записка.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Спецификация оборудования, изделий и материалов.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Конструкторская документация РЩУ.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Кабельный журнал связей.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Схема подключений связей.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Структурная схема комплекса технических средств.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Описание РЩУ с указанием комплекта поставки.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Габаритные и установочные размеры всех компонентов РЩУ, включая рекомендации по взаимному расположению оборудования, вес оборудования.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Требования к помещениям для компонентов РЩУ.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Требования к молниезащите, экранированию и заземлению компонентов РЩУ.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Задание по энергоснабжению РШУ.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Схемы структурные электропитания, заземления и экранирования РЩУ.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Распределения входных и выходных сигналов от датчиков и исполнительных механизмов по модулям ПТК.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Требования к цифровым связям с локальными САУ, включающие в себя перечень исходных данных, необходимых для выполнения данных цифровых связей.</w:t>
            </w:r>
          </w:p>
          <w:p>
            <w:pPr>
              <w:pStyle w:val="Normal"/>
              <w:widowControl w:val="false"/>
              <w:numPr>
                <w:ilvl w:val="3"/>
                <w:numId w:val="2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Эксплуатационная документация на РЩУ.</w:t>
            </w:r>
          </w:p>
        </w:tc>
      </w:tr>
      <w:tr>
        <w:trPr/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Общие требования к техно-рабочему проекту</w:t>
            </w:r>
          </w:p>
        </w:tc>
        <w:tc>
          <w:tcPr>
            <w:tcW w:w="1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3"/>
                <w:numId w:val="7"/>
              </w:numPr>
              <w:suppressAutoHyphens w:val="false"/>
              <w:spacing w:before="60" w:after="60"/>
              <w:ind w:left="851" w:hanging="85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ТРП должен соответствовать следующим нормативно-техническим документам (НТД), определяющим требования к оформлению и содержанию проекта:</w:t>
            </w:r>
          </w:p>
          <w:p>
            <w:pPr>
              <w:pStyle w:val="Normal"/>
              <w:widowControl w:val="false"/>
              <w:numPr>
                <w:ilvl w:val="3"/>
                <w:numId w:val="24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Постановление Правительства Российской Федерации от 16.02.2008 № 87 «О составе разделов проектной документации и требованиях к их содержанию».</w:t>
            </w:r>
          </w:p>
          <w:p>
            <w:pPr>
              <w:pStyle w:val="Normal"/>
              <w:widowControl w:val="false"/>
              <w:numPr>
                <w:ilvl w:val="3"/>
                <w:numId w:val="24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Правила устройства электроустановок (действующее издание).</w:t>
            </w:r>
          </w:p>
          <w:p>
            <w:pPr>
              <w:pStyle w:val="Normal"/>
              <w:widowControl w:val="false"/>
              <w:numPr>
                <w:ilvl w:val="3"/>
                <w:numId w:val="24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Правила технической эксплуатации электрических станций и сетей (действующее издание).</w:t>
            </w:r>
          </w:p>
          <w:p>
            <w:pPr>
              <w:pStyle w:val="Normal"/>
              <w:widowControl w:val="false"/>
              <w:numPr>
                <w:ilvl w:val="3"/>
                <w:numId w:val="24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Национальная, отраслевая, а также корпоративная НТД ПАО «РусГидро».</w:t>
            </w:r>
          </w:p>
          <w:p>
            <w:pPr>
              <w:pStyle w:val="Normal"/>
              <w:widowControl w:val="false"/>
              <w:numPr>
                <w:ilvl w:val="3"/>
                <w:numId w:val="7"/>
              </w:numPr>
              <w:suppressAutoHyphens w:val="false"/>
              <w:spacing w:before="60" w:after="60"/>
              <w:ind w:left="851" w:hanging="851"/>
              <w:rPr>
                <w:bCs/>
              </w:rPr>
            </w:pPr>
            <w:r>
              <w:rPr>
                <w:rFonts w:eastAsia="Calibri"/>
                <w:sz w:val="24"/>
                <w:szCs w:val="24"/>
              </w:rPr>
              <w:t>Любые отклонения от рабочей документации при производстве работ, в том числе не влияющие на технологию и качество Объекта, Подрядчик обязан согласовать с Заказчиком.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7"/>
              </w:numPr>
              <w:suppressAutoHyphens w:val="false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0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организации работ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Организационно-технические мероприятия по допуску персонала подрядчика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ходе исполнения договора для получения допуска персонала на территорию энергообъекта для выполнения работ Подрядчик должен обеспечить обязательное оформление необходимых инструктажей, нарядов-допусков, распоряжений в соответствии с Регламентом процесса «Допуск персонала подрядных организаций на объекты ПАО «РусГидро» (Приложение № 2 к Техническим требованиям).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7"/>
              </w:numPr>
              <w:suppressAutoHyphens w:val="false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0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Требования к персоналу подрядчика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Квалификация персонала подрядчика, привлекаемого к выполнению работ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jc w:val="both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В ходе исполнения договора, до начала производства работ, Подрядчик предоставляет список персонала с указанием сведений о соответствующей квалификации персонала. Персонал подрядчика, участвующий в разработке конструкторской и эксплуатационной документации на устройства РЩУ, должен пройти обучение в сертифицированных обучающих центрах производителей налаживаемой аппаратуры АСУТП и иметь действующие сертификаты об обучении.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38"/>
              </w:numPr>
              <w:suppressAutoHyphens w:val="false"/>
              <w:spacing w:before="60" w:after="6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1480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результатам работ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7"/>
              </w:numPr>
              <w:suppressAutoHyphens w:val="false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0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Общие требования к результатам работ</w:t>
            </w:r>
          </w:p>
        </w:tc>
      </w:tr>
      <w:tr>
        <w:trPr>
          <w:trHeight w:val="15" w:hRule="atLeast"/>
        </w:trPr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Вариантная проработка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Не требуется.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Выделение очередей или пусковых комплексов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Не предусмотрено.</w:t>
            </w:r>
          </w:p>
        </w:tc>
      </w:tr>
      <w:tr>
        <w:trPr>
          <w:trHeight w:val="701" w:hRule="atLeast"/>
        </w:trPr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Учет особых условий работы оборудования и производства работ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 выполнении работ должны быть учтены следующие специальные условия:</w:t>
            </w:r>
          </w:p>
          <w:p>
            <w:pPr>
              <w:pStyle w:val="Normal"/>
              <w:widowControl w:val="false"/>
              <w:suppressAutoHyphens w:val="false"/>
              <w:spacing w:before="60" w:after="6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Производство работ / оказание услуг в существующих зданиях и сооружениях в стесненных условиях с наличием в зоне производства работ / оказания услуг действующего технологического оборудования (станков, установок, кранов и т.п.) или загромождающих предметов (лабораторного оборудования, мебели и т.п.) или движения транспорта по внутрицеховым путям.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Стадии проектирования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ТРП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7"/>
              </w:numPr>
              <w:suppressAutoHyphens w:val="false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0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порядку приемки результатов работ</w:t>
            </w:r>
            <w:r>
              <w:rPr>
                <w:bCs/>
                <w:sz w:val="24"/>
                <w:szCs w:val="24"/>
              </w:rPr>
              <w:t xml:space="preserve"> 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Порядок сдачи-приемки проектных работ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sz w:val="24"/>
                <w:szCs w:val="24"/>
              </w:rPr>
              <w:t>По завершении разработки ТРП оформляется Акт сдачи-приемки проектных работ с приложением результата работ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7"/>
              </w:numPr>
              <w:suppressAutoHyphens w:val="false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0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оформлению документации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 предоставления документации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3"/>
                <w:numId w:val="7"/>
              </w:numPr>
              <w:suppressAutoHyphens w:val="false"/>
              <w:spacing w:before="60" w:after="60"/>
              <w:ind w:left="851" w:hanging="85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Вся документация, включая чертежи, схемы должна быть составлена на русском языке.</w:t>
            </w:r>
          </w:p>
          <w:p>
            <w:pPr>
              <w:pStyle w:val="Normal"/>
              <w:widowControl w:val="false"/>
              <w:numPr>
                <w:ilvl w:val="3"/>
                <w:numId w:val="7"/>
              </w:numPr>
              <w:suppressAutoHyphens w:val="false"/>
              <w:spacing w:before="60" w:after="60"/>
              <w:ind w:left="851" w:hanging="85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Форматы электронных документов должны поддерживаться российской операционной системой «Alter OS» и офисным пакетом «Alter Office».</w:t>
            </w:r>
          </w:p>
          <w:p>
            <w:pPr>
              <w:pStyle w:val="Normal"/>
              <w:widowControl w:val="false"/>
              <w:numPr>
                <w:ilvl w:val="3"/>
                <w:numId w:val="7"/>
              </w:numPr>
              <w:suppressAutoHyphens w:val="false"/>
              <w:spacing w:before="60" w:after="60"/>
              <w:ind w:left="851" w:hanging="85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Подрядчик предоставляет Заказчику комплект указанной в п. 2.1.2 данной таблицы документации:</w:t>
            </w:r>
          </w:p>
          <w:tbl>
            <w:tblPr>
              <w:tblW w:w="11442" w:type="dxa"/>
              <w:jc w:val="left"/>
              <w:tblInd w:w="852" w:type="dxa"/>
              <w:tblLayout w:type="fixed"/>
              <w:tblCellMar>
                <w:top w:w="55" w:type="dxa"/>
                <w:left w:w="108" w:type="dxa"/>
                <w:bottom w:w="55" w:type="dxa"/>
                <w:right w:w="108" w:type="dxa"/>
              </w:tblCellMar>
              <w:tblLook w:val="04a0" w:noHBand="0" w:noVBand="1" w:firstColumn="1" w:lastRow="0" w:lastColumn="0" w:firstRow="1"/>
            </w:tblPr>
            <w:tblGrid>
              <w:gridCol w:w="623"/>
              <w:gridCol w:w="3062"/>
              <w:gridCol w:w="2653"/>
              <w:gridCol w:w="1703"/>
              <w:gridCol w:w="1699"/>
              <w:gridCol w:w="1701"/>
            </w:tblGrid>
            <w:tr>
              <w:trPr/>
              <w:tc>
                <w:tcPr>
                  <w:tcW w:w="62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 xml:space="preserve">№ </w:t>
                  </w: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п/п</w:t>
                  </w:r>
                </w:p>
              </w:tc>
              <w:tc>
                <w:tcPr>
                  <w:tcW w:w="3062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Вид документа</w:t>
                  </w:r>
                </w:p>
              </w:tc>
              <w:tc>
                <w:tcPr>
                  <w:tcW w:w="7756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Форма</w:t>
                  </w:r>
                </w:p>
              </w:tc>
            </w:tr>
            <w:tr>
              <w:trPr>
                <w:trHeight w:val="205" w:hRule="atLeast"/>
              </w:trPr>
              <w:tc>
                <w:tcPr>
                  <w:tcW w:w="623" w:type="dxa"/>
                  <w:vMerge w:val="continue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14:ligatures w14:val="standardContextual"/>
                    </w:rPr>
                  </w:r>
                </w:p>
              </w:tc>
              <w:tc>
                <w:tcPr>
                  <w:tcW w:w="3062" w:type="dxa"/>
                  <w:vMerge w:val="continue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14:ligatures w14:val="standardContextual"/>
                    </w:rPr>
                  </w:r>
                </w:p>
              </w:tc>
              <w:tc>
                <w:tcPr>
                  <w:tcW w:w="4356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Электронный вид</w:t>
                    <w:br/>
                    <w:t>на CD / DVD</w:t>
                  </w:r>
                </w:p>
              </w:tc>
              <w:tc>
                <w:tcPr>
                  <w:tcW w:w="3400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Бумажный вид</w:t>
                    <w:br/>
                    <w:t>в твердой копия</w:t>
                  </w:r>
                </w:p>
              </w:tc>
            </w:tr>
            <w:tr>
              <w:trPr>
                <w:trHeight w:val="64" w:hRule="atLeast"/>
              </w:trPr>
              <w:tc>
                <w:tcPr>
                  <w:tcW w:w="623" w:type="dxa"/>
                  <w:vMerge w:val="continue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0" w:leader="none"/>
                    </w:tabs>
                    <w:jc w:val="both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14:ligatures w14:val="standardContextual"/>
                    </w:rPr>
                  </w:r>
                </w:p>
              </w:tc>
              <w:tc>
                <w:tcPr>
                  <w:tcW w:w="3062" w:type="dxa"/>
                  <w:vMerge w:val="continue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both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14:ligatures w14:val="standardContextual"/>
                    </w:rPr>
                  </w:r>
                </w:p>
              </w:tc>
              <w:tc>
                <w:tcPr>
                  <w:tcW w:w="265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Формат</w:t>
                  </w:r>
                </w:p>
              </w:tc>
              <w:tc>
                <w:tcPr>
                  <w:tcW w:w="170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Кол-во</w:t>
                  </w:r>
                </w:p>
              </w:tc>
              <w:tc>
                <w:tcPr>
                  <w:tcW w:w="169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Формат</w:t>
                  </w:r>
                </w:p>
              </w:tc>
              <w:tc>
                <w:tcPr>
                  <w:tcW w:w="1701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Кол-во</w:t>
                  </w:r>
                </w:p>
              </w:tc>
            </w:tr>
            <w:tr>
              <w:trPr>
                <w:trHeight w:val="428" w:hRule="atLeast"/>
              </w:trPr>
              <w:tc>
                <w:tcPr>
                  <w:tcW w:w="62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10"/>
                    </w:numPr>
                    <w:tabs>
                      <w:tab w:val="clear" w:pos="708"/>
                      <w:tab w:val="left" w:pos="0" w:leader="none"/>
                    </w:tabs>
                    <w:spacing w:before="60" w:after="60"/>
                    <w:ind w:left="0" w:hanging="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</w:r>
                </w:p>
              </w:tc>
              <w:tc>
                <w:tcPr>
                  <w:tcW w:w="306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Текстовые документы</w:t>
                  </w:r>
                </w:p>
              </w:tc>
              <w:tc>
                <w:tcPr>
                  <w:tcW w:w="265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*.doc, *.doc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х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, *.txt, *.odt,</w:t>
                  </w:r>
                  <w:r>
                    <w:rPr>
                      <w:rFonts w:eastAsia="Calibri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 xml:space="preserve"> 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*.xodt, *.pdf</w:t>
                  </w:r>
                </w:p>
              </w:tc>
              <w:tc>
                <w:tcPr>
                  <w:tcW w:w="170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69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А4</w:t>
                  </w:r>
                </w:p>
              </w:tc>
              <w:tc>
                <w:tcPr>
                  <w:tcW w:w="1701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>
              <w:trPr>
                <w:trHeight w:val="70" w:hRule="atLeast"/>
              </w:trPr>
              <w:tc>
                <w:tcPr>
                  <w:tcW w:w="62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10"/>
                    </w:numPr>
                    <w:tabs>
                      <w:tab w:val="clear" w:pos="708"/>
                      <w:tab w:val="left" w:pos="0" w:leader="none"/>
                    </w:tabs>
                    <w:spacing w:before="60" w:after="60"/>
                    <w:ind w:left="0" w:hanging="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</w:r>
                </w:p>
              </w:tc>
              <w:tc>
                <w:tcPr>
                  <w:tcW w:w="306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Табличные формы</w:t>
                  </w:r>
                </w:p>
              </w:tc>
              <w:tc>
                <w:tcPr>
                  <w:tcW w:w="265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xls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xlsx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ods</w:t>
                  </w:r>
                </w:p>
              </w:tc>
              <w:tc>
                <w:tcPr>
                  <w:tcW w:w="170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69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А4, А3</w:t>
                  </w:r>
                </w:p>
              </w:tc>
              <w:tc>
                <w:tcPr>
                  <w:tcW w:w="1701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>
              <w:trPr/>
              <w:tc>
                <w:tcPr>
                  <w:tcW w:w="62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10"/>
                    </w:numPr>
                    <w:tabs>
                      <w:tab w:val="clear" w:pos="708"/>
                      <w:tab w:val="left" w:pos="0" w:leader="none"/>
                    </w:tabs>
                    <w:spacing w:before="60" w:after="60"/>
                    <w:ind w:left="0" w:hanging="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</w:r>
                </w:p>
              </w:tc>
              <w:tc>
                <w:tcPr>
                  <w:tcW w:w="306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Чертежи</w:t>
                  </w:r>
                </w:p>
              </w:tc>
              <w:tc>
                <w:tcPr>
                  <w:tcW w:w="265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*.dwg,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 xml:space="preserve"> 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vsd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pdf</w:t>
                  </w:r>
                </w:p>
              </w:tc>
              <w:tc>
                <w:tcPr>
                  <w:tcW w:w="170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69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А4, А3, А2</w:t>
                  </w:r>
                </w:p>
              </w:tc>
              <w:tc>
                <w:tcPr>
                  <w:tcW w:w="1701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>
              <w:trPr/>
              <w:tc>
                <w:tcPr>
                  <w:tcW w:w="62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10"/>
                    </w:numPr>
                    <w:tabs>
                      <w:tab w:val="clear" w:pos="708"/>
                      <w:tab w:val="left" w:pos="0" w:leader="none"/>
                    </w:tabs>
                    <w:spacing w:before="60" w:after="60"/>
                    <w:ind w:left="0" w:hanging="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</w:r>
                </w:p>
              </w:tc>
              <w:tc>
                <w:tcPr>
                  <w:tcW w:w="306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Презентационные материалы</w:t>
                  </w:r>
                </w:p>
              </w:tc>
              <w:tc>
                <w:tcPr>
                  <w:tcW w:w="265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*.pptx, *.ppsx, *.potm, *.potm, *.pptm</w:t>
                  </w:r>
                </w:p>
              </w:tc>
              <w:tc>
                <w:tcPr>
                  <w:tcW w:w="170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69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А4</w:t>
                  </w:r>
                </w:p>
              </w:tc>
              <w:tc>
                <w:tcPr>
                  <w:tcW w:w="1701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>
              <w:trPr/>
              <w:tc>
                <w:tcPr>
                  <w:tcW w:w="62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10"/>
                    </w:numPr>
                    <w:tabs>
                      <w:tab w:val="clear" w:pos="708"/>
                      <w:tab w:val="left" w:pos="0" w:leader="none"/>
                    </w:tabs>
                    <w:spacing w:before="60" w:after="60"/>
                    <w:ind w:left="0" w:hanging="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</w:r>
                </w:p>
              </w:tc>
              <w:tc>
                <w:tcPr>
                  <w:tcW w:w="306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Графики</w:t>
                  </w:r>
                  <w:r>
                    <w:rPr>
                      <w:rStyle w:val="FootnoteReference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footnoteReference w:id="2"/>
                  </w:r>
                </w:p>
              </w:tc>
              <w:tc>
                <w:tcPr>
                  <w:tcW w:w="265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xer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xml</w:t>
                  </w:r>
                </w:p>
              </w:tc>
              <w:tc>
                <w:tcPr>
                  <w:tcW w:w="1703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69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А4, А3</w:t>
                  </w:r>
                </w:p>
              </w:tc>
              <w:tc>
                <w:tcPr>
                  <w:tcW w:w="1701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</w:tbl>
          <w:p>
            <w:pPr>
              <w:pStyle w:val="-3"/>
              <w:widowControl w:val="false"/>
              <w:numPr>
                <w:ilvl w:val="3"/>
                <w:numId w:val="11"/>
              </w:numPr>
              <w:spacing w:before="60" w:after="60"/>
              <w:ind w:left="1418" w:hanging="567"/>
              <w:contextualSpacing w:val="false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Пофайловое разделение страниц отдельных томов (книг) документации в электронном виде документов не допускается.</w:t>
            </w:r>
          </w:p>
          <w:p>
            <w:pPr>
              <w:pStyle w:val="-3"/>
              <w:widowControl w:val="false"/>
              <w:numPr>
                <w:ilvl w:val="3"/>
                <w:numId w:val="11"/>
              </w:numPr>
              <w:spacing w:before="60" w:after="60"/>
              <w:ind w:left="1418" w:hanging="567"/>
              <w:contextualSpacing w:val="false"/>
              <w:rPr>
                <w:sz w:val="24"/>
                <w:szCs w:val="24"/>
              </w:rPr>
            </w:pPr>
            <w:bookmarkStart w:id="27" w:name="_Toc207088713_Копия_6"/>
            <w:r>
              <w:rPr>
                <w:rFonts w:eastAsia="Calibri"/>
                <w:sz w:val="24"/>
                <w:szCs w:val="24"/>
              </w:rPr>
              <w:t>Твердая копия представляется сброшюрованном виде, оформленном в соответствии с требованиями пп.4.1.4 и раздела 8 ГОСТ Р 21.1101-2013 «Основные требования к проектной и рабочей документации»</w:t>
            </w:r>
            <w:bookmarkEnd w:id="27"/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7"/>
              </w:numPr>
              <w:suppressAutoHyphens w:val="false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0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соблюдению положений нормативной и иной обязательной для Подрядчика документации, определяемой видами работ (помимо указанных в других разделах ТТ)</w:t>
            </w:r>
          </w:p>
        </w:tc>
      </w:tr>
      <w:tr>
        <w:trPr/>
        <w:tc>
          <w:tcPr>
            <w:tcW w:w="89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7"/>
              </w:numPr>
              <w:suppressAutoHyphens w:val="false"/>
              <w:spacing w:before="60" w:after="60"/>
              <w:ind w:left="1247" w:hanging="1247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04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Соблюдение при выполнении работ норм и правил нормативно-технических документов</w:t>
            </w:r>
          </w:p>
        </w:tc>
        <w:tc>
          <w:tcPr>
            <w:tcW w:w="121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3"/>
                <w:numId w:val="7"/>
              </w:numPr>
              <w:suppressAutoHyphens w:val="false"/>
              <w:spacing w:before="60" w:after="60"/>
              <w:ind w:left="851" w:hanging="85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 выполнении проектных работ Подрядчик должен руководствоваться действующими редакциями следующих национальных, отраслевых и корпоративных нормативно-техническими документами (НТД):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ГОСТ 2.701-2008 ЕСКД. «Схемы. Виды и типы. Общие требования к выполнению».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ГОСТ 21.208-2013 СПДС. «Автоматизация технологических процессов. Обозначения условные приборов и средств автоматизации в схемах».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ГОСТ 21.408-2013 СПДС «Правила выполнения рабочей документации автоматизации технологических процессов».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ГОСТ Р 21.101-2020. «Система проектной документации для строительства. Основные требования к проектной и рабочей документации».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ГОСТ Р 21.1101-2013 СПДС. «Основные требования к проектной и рабочей документации».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Техническая политика ПАО «РусГидро» (Приложение №3 </w:t>
            </w:r>
            <w:r>
              <w:rPr>
                <w:iCs/>
                <w:sz w:val="24"/>
                <w:szCs w:val="24"/>
              </w:rPr>
              <w:t>к Техническим требованиям)</w:t>
            </w:r>
            <w:r>
              <w:rPr>
                <w:rFonts w:eastAsia="Calibri"/>
                <w:sz w:val="24"/>
                <w:szCs w:val="24"/>
              </w:rPr>
              <w:t xml:space="preserve">. 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Правила по охране труда в строительстве, реконструкции и ремонте (Приказ Минтруда России от 11.12.2020 № 883н).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Правила по охране труда при эксплуатации электроустановок (Приказ Минтруда России от 15.12.2020 № 903н).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РД 50-34.698-90 «Автоматизированные системы. Требования к содержанию документов».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СН 245-71 «Санитарные нормы проектирования промышленных предприятий».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СТО 17330282.27.140.010-2008 Автоматизированные системы управления технологическими процессами ГЭС и ГАЭС. Условия создания. Нормы и требования.</w:t>
            </w:r>
          </w:p>
          <w:p>
            <w:pPr>
              <w:pStyle w:val="Normal"/>
              <w:widowControl w:val="false"/>
              <w:numPr>
                <w:ilvl w:val="3"/>
                <w:numId w:val="25"/>
              </w:numPr>
              <w:suppressAutoHyphens w:val="false"/>
              <w:spacing w:before="60" w:after="60"/>
              <w:ind w:left="1418" w:hanging="567"/>
              <w:jc w:val="both"/>
              <w:rPr/>
            </w:pPr>
            <w:r>
              <w:rPr>
                <w:rFonts w:eastAsia="Calibri"/>
                <w:sz w:val="24"/>
                <w:szCs w:val="24"/>
              </w:rPr>
              <w:t>СТО 70238424.27.140.045-2010 Гидроэлектростанции. Приемка и ввод в эксплуатацию. Часть II. Особенности приемки и ввода в эксплуатацию оборудования и технологических систем.</w:t>
            </w:r>
          </w:p>
          <w:p>
            <w:pPr>
              <w:pStyle w:val="Normal"/>
              <w:widowControl w:val="false"/>
              <w:numPr>
                <w:ilvl w:val="3"/>
                <w:numId w:val="7"/>
              </w:numPr>
              <w:suppressAutoHyphens w:val="false"/>
              <w:spacing w:before="60" w:after="60"/>
              <w:ind w:left="851" w:hanging="851"/>
              <w:jc w:val="both"/>
              <w:rPr/>
            </w:pPr>
            <w:r>
              <w:rPr>
                <w:rFonts w:eastAsia="Calibri"/>
                <w:sz w:val="24"/>
                <w:szCs w:val="24"/>
              </w:rPr>
              <w:t>В случае если какой-либо из указанных в Технических требованиях стандартов, ГОСТов или нормативных документов был заменен/отменен в процессе проведения закупки и/или в период исполнения договора в связи с выпуском новой редакции, то Подрядчику необходимо применять стандарт, ГОСТ или нормативный документ, принятый в его развитие.</w:t>
            </w:r>
          </w:p>
        </w:tc>
      </w:tr>
    </w:tbl>
    <w:p>
      <w:pPr>
        <w:pStyle w:val="Normal"/>
        <w:rPr/>
      </w:pPr>
      <w:bookmarkStart w:id="28" w:name="_Toc204763893_Копия_2"/>
      <w:r>
        <w:rPr/>
        <w:t>Требования к продукции</w:t>
      </w:r>
      <w:bookmarkEnd w:id="28"/>
    </w:p>
    <w:p>
      <w:pPr>
        <w:pStyle w:val="Normal"/>
        <w:spacing w:before="60" w:after="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Наименование продукции (позиции № 1.2. Таблицы 2):</w:t>
      </w:r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60" w:after="60"/>
        <w:jc w:val="both"/>
        <w:rPr>
          <w:rFonts w:eastAsia="Calibri"/>
          <w:bCs/>
          <w:color w:val="000000"/>
          <w:sz w:val="24"/>
          <w:szCs w:val="24"/>
          <w:lang w:eastAsia="x-none"/>
        </w:rPr>
      </w:pPr>
      <w:r>
        <w:rPr>
          <w:rFonts w:eastAsia="Calibri"/>
          <w:bCs/>
          <w:iCs/>
          <w:caps/>
          <w:color w:val="000000"/>
          <w:kern w:val="2"/>
          <w:sz w:val="24"/>
          <w:szCs w:val="24"/>
          <w:lang w:eastAsia="zh-CN" w:bidi="hi-IN"/>
        </w:rPr>
        <w:t xml:space="preserve">ОКПД2 43.29.19 </w:t>
      </w:r>
      <w:r>
        <w:rPr>
          <w:rFonts w:eastAsia="Calibri"/>
          <w:bCs/>
          <w:iCs/>
          <w:color w:val="000000"/>
          <w:kern w:val="2"/>
          <w:sz w:val="24"/>
          <w:szCs w:val="24"/>
          <w:lang w:eastAsia="zh-CN" w:bidi="hi-IN"/>
        </w:rPr>
        <w:t>Выполнение проектных, строительно-монтажных и пусконаладочных работ, в том числе поставка оборудования резервной панели главного щита управления ГАЭС Каскада Кубанских ГЭС в с. Водораздельное Прикубанского района Карачаево-Черкесской Республики</w:t>
      </w:r>
      <w:r>
        <w:rPr>
          <w:rFonts w:eastAsia="Calibri"/>
          <w:bCs/>
          <w:iCs/>
          <w:sz w:val="24"/>
          <w:szCs w:val="24"/>
          <w:lang w:eastAsia="x-none"/>
        </w:rPr>
        <w:t xml:space="preserve"> </w:t>
      </w:r>
      <w:r>
        <w:rPr>
          <w:rFonts w:eastAsia="Calibri"/>
          <w:bCs/>
          <w:color w:val="000000"/>
          <w:sz w:val="24"/>
          <w:szCs w:val="24"/>
          <w:lang w:eastAsia="x-none"/>
        </w:rPr>
        <w:t>(</w:t>
      </w:r>
      <w:r>
        <w:rPr>
          <w:rFonts w:eastAsia="Calibri"/>
          <w:sz w:val="24"/>
          <w:szCs w:val="24"/>
        </w:rPr>
        <w:t xml:space="preserve">лот № </w:t>
      </w:r>
      <w:r>
        <w:rPr>
          <w:rFonts w:eastAsia="Calibri"/>
          <w:bCs/>
          <w:sz w:val="24"/>
          <w:szCs w:val="24"/>
        </w:rPr>
        <w:t>0030-КС ДОХ-2026-РГЦР</w:t>
      </w:r>
      <w:r>
        <w:rPr>
          <w:rFonts w:eastAsia="Calibri"/>
          <w:bCs/>
          <w:color w:val="000000"/>
          <w:sz w:val="24"/>
          <w:szCs w:val="24"/>
          <w:lang w:eastAsia="x-none"/>
        </w:rPr>
        <w:t>)</w:t>
      </w:r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60" w:after="60"/>
        <w:jc w:val="both"/>
        <w:rPr>
          <w:u w:val="single"/>
        </w:rPr>
      </w:pPr>
      <w:r>
        <w:rPr>
          <w:rFonts w:eastAsia="Calibri"/>
          <w:bCs/>
          <w:color w:val="000000"/>
          <w:sz w:val="24"/>
          <w:szCs w:val="24"/>
          <w:u w:val="single"/>
          <w:lang w:eastAsia="x-none"/>
        </w:rPr>
        <w:t xml:space="preserve">Стадия 1.2. </w:t>
      </w:r>
      <w:r>
        <w:rPr>
          <w:rFonts w:eastAsia="Calibri"/>
          <w:bCs/>
          <w:iCs/>
          <w:color w:val="000000"/>
          <w:sz w:val="24"/>
          <w:szCs w:val="24"/>
          <w:u w:val="single"/>
          <w:lang w:eastAsia="x-none"/>
        </w:rPr>
        <w:t xml:space="preserve">Строительно-монтажные и пусконаладочные работы </w:t>
      </w:r>
      <w:r>
        <w:rPr>
          <w:rFonts w:eastAsia="Calibri"/>
          <w:bCs/>
          <w:iCs/>
          <w:color w:val="000000"/>
          <w:sz w:val="24"/>
          <w:szCs w:val="24"/>
          <w:u w:val="single"/>
          <w:lang w:eastAsia="x-none"/>
        </w:rPr>
        <w:t>Р</w:t>
      </w:r>
      <w:r>
        <w:rPr>
          <w:rFonts w:eastAsia="Calibri"/>
          <w:bCs/>
          <w:iCs/>
          <w:color w:val="000000"/>
          <w:sz w:val="24"/>
          <w:szCs w:val="24"/>
          <w:u w:val="single"/>
          <w:lang w:eastAsia="x-none"/>
        </w:rPr>
        <w:t>ЩУ</w:t>
      </w:r>
    </w:p>
    <w:p>
      <w:pPr>
        <w:pStyle w:val="Normal"/>
        <w:keepNext w:val="true"/>
        <w:numPr>
          <w:ilvl w:val="0"/>
          <w:numId w:val="0"/>
        </w:numPr>
        <w:spacing w:before="120" w:after="60"/>
        <w:ind w:left="0" w:hanging="0"/>
        <w:jc w:val="right"/>
        <w:outlineLvl w:val="0"/>
        <w:rPr>
          <w:rFonts w:eastAsia="Calibri"/>
          <w:b/>
          <w:sz w:val="24"/>
          <w:szCs w:val="24"/>
          <w:lang w:eastAsia="x-none"/>
        </w:rPr>
      </w:pPr>
      <w:bookmarkStart w:id="29" w:name="_Toc174726574_Копия_1"/>
      <w:r>
        <w:rPr>
          <w:rFonts w:eastAsia="Calibri"/>
          <w:b/>
          <w:sz w:val="24"/>
          <w:szCs w:val="24"/>
          <w:lang w:val="x-none" w:eastAsia="x-none"/>
        </w:rPr>
        <w:t xml:space="preserve">Таблица </w:t>
      </w:r>
      <w:r>
        <w:rPr>
          <w:rFonts w:eastAsia="Calibri"/>
          <w:b/>
          <w:sz w:val="24"/>
          <w:szCs w:val="24"/>
          <w:lang w:eastAsia="x-none"/>
        </w:rPr>
        <w:t>4.2.</w:t>
      </w:r>
      <w:r>
        <w:rPr>
          <w:rFonts w:eastAsia="Calibri"/>
          <w:b/>
          <w:sz w:val="24"/>
          <w:szCs w:val="24"/>
          <w:lang w:val="x-none" w:eastAsia="x-none"/>
        </w:rPr>
        <w:t xml:space="preserve"> </w:t>
      </w:r>
      <w:r>
        <w:rPr>
          <w:rFonts w:eastAsia="Calibri"/>
          <w:b/>
          <w:sz w:val="24"/>
          <w:szCs w:val="24"/>
          <w:lang w:eastAsia="x-none"/>
        </w:rPr>
        <w:t>Требования к выполнению работ</w:t>
      </w:r>
      <w:bookmarkEnd w:id="29"/>
    </w:p>
    <w:tbl>
      <w:tblPr>
        <w:tblW w:w="5000" w:type="pct"/>
        <w:jc w:val="left"/>
        <w:tblInd w:w="-5" w:type="dxa"/>
        <w:tblLayout w:type="fixed"/>
        <w:tblCellMar>
          <w:top w:w="0" w:type="dxa"/>
          <w:left w:w="57" w:type="dxa"/>
          <w:bottom w:w="0" w:type="dxa"/>
          <w:right w:w="57" w:type="dxa"/>
        </w:tblCellMar>
        <w:tblLook w:val="04a0" w:noHBand="0" w:noVBand="1" w:firstColumn="1" w:lastRow="0" w:lastColumn="0" w:firstRow="1"/>
      </w:tblPr>
      <w:tblGrid>
        <w:gridCol w:w="854"/>
        <w:gridCol w:w="2748"/>
        <w:gridCol w:w="12102"/>
      </w:tblGrid>
      <w:tr>
        <w:trPr>
          <w:tblHeader w:val="true"/>
          <w:trHeight w:val="322" w:hRule="atLeast"/>
        </w:trPr>
        <w:tc>
          <w:tcPr>
            <w:tcW w:w="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rPr>
                <w:b/>
                <w:bCs/>
              </w:rPr>
            </w:pPr>
            <w:r>
              <w:rPr>
                <w:b/>
                <w:bCs/>
                <w:sz w:val="20"/>
                <w:szCs w:val="20"/>
              </w:rPr>
              <w:t xml:space="preserve">№ </w:t>
            </w:r>
            <w:r>
              <w:rPr>
                <w:b/>
                <w:bCs/>
                <w:sz w:val="20"/>
                <w:szCs w:val="20"/>
              </w:rPr>
              <w:t>п/п</w:t>
            </w:r>
          </w:p>
        </w:tc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jc w:val="center"/>
              <w:rPr>
                <w:b/>
                <w:bCs/>
              </w:rPr>
            </w:pPr>
            <w:r>
              <w:rPr>
                <w:b/>
                <w:bCs/>
                <w:sz w:val="20"/>
                <w:szCs w:val="20"/>
              </w:rPr>
              <w:t>Наименование параметра</w:t>
            </w:r>
          </w:p>
        </w:tc>
        <w:tc>
          <w:tcPr>
            <w:tcW w:w="1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jc w:val="center"/>
              <w:rPr>
                <w:b/>
                <w:bCs/>
              </w:rPr>
            </w:pPr>
            <w:r>
              <w:rPr>
                <w:b/>
                <w:bCs/>
                <w:sz w:val="20"/>
                <w:szCs w:val="20"/>
              </w:rPr>
              <w:t>Требование заказчика</w:t>
            </w:r>
          </w:p>
        </w:tc>
      </w:tr>
      <w:tr>
        <w:trPr>
          <w:tblHeader w:val="true"/>
        </w:trPr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rPr/>
            </w:pPr>
            <w:r>
              <w:rPr>
                <w:b/>
                <w:sz w:val="20"/>
                <w:szCs w:val="20"/>
              </w:rPr>
              <w:t>1</w:t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rPr>
                <w:b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rPr>
                <w:b/>
              </w:rPr>
            </w:pPr>
            <w:r>
              <w:rPr>
                <w:b/>
                <w:sz w:val="20"/>
                <w:szCs w:val="20"/>
              </w:rPr>
              <w:t>3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26"/>
              </w:numPr>
              <w:suppressAutoHyphens w:val="false"/>
              <w:spacing w:before="60" w:after="60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148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Требования к выполнению работ 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26"/>
              </w:numPr>
              <w:suppressAutoHyphens w:val="false"/>
              <w:spacing w:before="60" w:after="60"/>
              <w:ind w:left="0" w:hanging="0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Общие требования к выполнению работ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Соблюдение при выполнении работ норм и правил нормативно-технических документов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 ходе исполнения договора Подрядчик обязан руководствоваться действующей редакцией следующих национальных, отраслевых и корпоративных нормативно-техническими документами (НТД):</w:t>
            </w:r>
          </w:p>
          <w:p>
            <w:pPr>
              <w:pStyle w:val="Normal"/>
              <w:widowControl w:val="false"/>
              <w:numPr>
                <w:ilvl w:val="3"/>
                <w:numId w:val="27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ГОСТ Р 56302-2014 «Единая энергетическая система и изолированно работающие энергосистемы. Оперативно – диспетчерское управление. Диспетчерские наименования объектов электроэнергетики и оборудования объектов электроэнергетики. Общие требования».</w:t>
            </w:r>
          </w:p>
          <w:p>
            <w:pPr>
              <w:pStyle w:val="Normal"/>
              <w:widowControl w:val="false"/>
              <w:numPr>
                <w:ilvl w:val="3"/>
                <w:numId w:val="27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ГОСТ Р 58601-2019 «Релейная защита и автоматика. Автономные регистраторы аварийных событий. Нормы и требования».</w:t>
            </w:r>
          </w:p>
          <w:p>
            <w:pPr>
              <w:pStyle w:val="Normal"/>
              <w:widowControl w:val="false"/>
              <w:numPr>
                <w:ilvl w:val="3"/>
                <w:numId w:val="27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ГОСТ 34.602-2020 «Информационные технологии. Комплекс стандартов на автоматизированные системы».</w:t>
            </w:r>
          </w:p>
          <w:p>
            <w:pPr>
              <w:pStyle w:val="Normal"/>
              <w:widowControl w:val="false"/>
              <w:numPr>
                <w:ilvl w:val="3"/>
                <w:numId w:val="27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Правила устройства электроустановок.</w:t>
            </w:r>
          </w:p>
          <w:p>
            <w:pPr>
              <w:pStyle w:val="Normal"/>
              <w:widowControl w:val="false"/>
              <w:numPr>
                <w:ilvl w:val="3"/>
                <w:numId w:val="27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Правила технической эксплуатации.</w:t>
            </w:r>
          </w:p>
          <w:p>
            <w:pPr>
              <w:pStyle w:val="Normal"/>
              <w:widowControl w:val="false"/>
              <w:numPr>
                <w:ilvl w:val="3"/>
                <w:numId w:val="27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Приказ Минэнерго России от 13.09.2018 № 757 «Об утверждении Правил переключений в электроустановках».</w:t>
            </w:r>
          </w:p>
          <w:p>
            <w:pPr>
              <w:pStyle w:val="Normal"/>
              <w:widowControl w:val="false"/>
              <w:numPr>
                <w:ilvl w:val="3"/>
                <w:numId w:val="27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Приказ Минэнерго России от 13.07.2020 № 556 «Об утверждении Правил создания (модернизации) комплексов и устройств релейной защиты и автоматики в энергосистеме и о внесении изменений в Правила взаимодействия субъектов электроэнергетики, потребителей электрической энергии при подготовке, выдаче и выполнении заданий по настройке устройств релейной защиты и автоматики, утвержденные приказом Минэнерго России от 13 февраля 2019 г. № 100».</w:t>
            </w:r>
          </w:p>
          <w:p>
            <w:pPr>
              <w:pStyle w:val="Normal"/>
              <w:widowControl w:val="false"/>
              <w:numPr>
                <w:ilvl w:val="3"/>
                <w:numId w:val="27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Приказ ОАО РАО «ЕЭС России» от 11.02.2008 № 57 «Об утверждении общих требований к системам противоаварийной и режимной автоматики, релейной защиты и автоматики, телеметрической информации, технологической связи в ЕЭС России».</w:t>
            </w:r>
          </w:p>
          <w:p>
            <w:pPr>
              <w:pStyle w:val="Normal"/>
              <w:widowControl w:val="false"/>
              <w:numPr>
                <w:ilvl w:val="3"/>
                <w:numId w:val="27"/>
              </w:numPr>
              <w:suppressAutoHyphens w:val="false"/>
              <w:spacing w:before="60" w:after="60"/>
              <w:ind w:left="1418" w:hanging="567"/>
              <w:jc w:val="both"/>
              <w:rPr>
                <w:szCs w:val="20"/>
              </w:rPr>
            </w:pPr>
            <w:r>
              <w:rPr>
                <w:rFonts w:eastAsia="Calibri"/>
                <w:sz w:val="24"/>
                <w:szCs w:val="24"/>
              </w:rPr>
              <w:t>Техническая политика Группы РусГидро (Приложение № 3 к Техническим требованиям).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szCs w:val="20"/>
              </w:rPr>
            </w:pPr>
            <w:r>
              <w:rPr>
                <w:rFonts w:eastAsia="Calibri"/>
                <w:sz w:val="24"/>
                <w:szCs w:val="24"/>
              </w:rPr>
              <w:t>В случае если какой-либо из указанных в Технических требованиях стандартов, ГОСТов или нормативных документов был заменен/отменен в процессе проведения закупки и/или в период исполнения договора в связи с выпуском новой редакции, то Подрядчику необходимо применять стандарт, ГОСТ или нормативный документ, принятый в его развитие.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26"/>
              </w:numPr>
              <w:suppressAutoHyphens w:val="false"/>
              <w:spacing w:before="60" w:after="60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организации работ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Организационно-технические мероприятия по допуску персонала Подрядчика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До начала выполнения работ Подрядчик разрабатывает и представляет Заказчику для утверждения:</w:t>
            </w:r>
          </w:p>
          <w:p>
            <w:pPr>
              <w:pStyle w:val="Normal"/>
              <w:widowControl w:val="false"/>
              <w:numPr>
                <w:ilvl w:val="3"/>
                <w:numId w:val="28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Проект производства работ (ППР).</w:t>
            </w:r>
          </w:p>
          <w:p>
            <w:pPr>
              <w:pStyle w:val="Normal"/>
              <w:widowControl w:val="false"/>
              <w:numPr>
                <w:ilvl w:val="3"/>
                <w:numId w:val="28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Детальный календарный (сетевой/линейный) график производства работ.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До начала выполнения работ Подрядчик должен выполнить следующие действия:</w:t>
            </w:r>
          </w:p>
          <w:p>
            <w:pPr>
              <w:pStyle w:val="Normal"/>
              <w:widowControl w:val="false"/>
              <w:numPr>
                <w:ilvl w:val="3"/>
                <w:numId w:val="29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Определить состав бригад по численности, квалификации и профессиям в соответствии объемами работ с обеспечением полная занятость рабочих в течение установленных графиком сроков производства работ.</w:t>
            </w:r>
          </w:p>
          <w:p>
            <w:pPr>
              <w:pStyle w:val="Normal"/>
              <w:widowControl w:val="false"/>
              <w:numPr>
                <w:ilvl w:val="3"/>
                <w:numId w:val="29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Назначить руководителя работ (по исполнению договора в технической его части) в соответствии с объемом работ.</w:t>
            </w:r>
          </w:p>
          <w:p>
            <w:pPr>
              <w:pStyle w:val="Normal"/>
              <w:widowControl w:val="false"/>
              <w:numPr>
                <w:ilvl w:val="3"/>
                <w:numId w:val="29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Назначить лиц, ответственных за охрану труда и материально-техническое обеспечение.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 ходе исполнения договора для получения допуска персонала на территорию энергообъекта для выполнения работ Подрядчик должен обеспечить обязательное оформление необходимых инструктажей,  нарядов-допусков, распоряжений в соответствии с Регламентом процесса «Допуск персонала подрядных организаций на объекты ПАО «РусГидро» и Методикой (Приложение № 2 к Техническим требованиям).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Обеспечение персонала подрядчика комплектами СИЗ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Подрядчик, в целях идентификации, должен использовать опознавательную символику спецодежды для своего персонала (персонала нанятых Подрядчиком субподрядчиков).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Комплекты СИЗ персонала обеспечиваются силами подрядчика.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Требования к разработке и согласованию проекта производства работ (ППР)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Для организации выполнения ПНР на Объекте Подрядчиком должен быть подготовлен проект производства работ, описывающий требования к выполняемым работам, квалификации производителей работ, содержание технологических операций, подразумевающих производство работ в условиях действующего производства и опасных производственных факторах.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Разработка ППР должна выполняться на основе согласованной Заказчиком рабочей документации.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Подрядчик обязан осуществлять производство Работ в соответствии с рабочей документацией, выполненной на основании разработанной Подрядчиком конструкторской документации, которая будет передаваться в производство Подрядчику на основании заключенного договора после утверждения Заказчиком, и нормативными правовыми актами.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Пусконаладочные работы и испытания должны выполняться только при наличии разработанных Подрядчиком и согласованных с Заказчиком проектов производства работ (ППР), технологических карт (ТК), программ испытаний.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Любые отклонения от рабочей документации при производстве Работ, в том числе не влияющие на технологию и качество Объекта, Подрядчик обязан согласовать с Заказчиком.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 ППР обязательно должны быть предусмотрены мероприятия по безопасному ведению следующих видов работ (при наличии соответствующих условий):</w:t>
            </w:r>
          </w:p>
          <w:p>
            <w:pPr>
              <w:pStyle w:val="Normal"/>
              <w:widowControl w:val="false"/>
              <w:numPr>
                <w:ilvl w:val="3"/>
                <w:numId w:val="30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Работ с применением специального инструмента и приспособлений.</w:t>
            </w:r>
          </w:p>
          <w:p>
            <w:pPr>
              <w:pStyle w:val="Normal"/>
              <w:widowControl w:val="false"/>
              <w:numPr>
                <w:ilvl w:val="3"/>
                <w:numId w:val="30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Работ с использованием грузоподъемных механизмов.</w:t>
            </w:r>
          </w:p>
          <w:p>
            <w:pPr>
              <w:pStyle w:val="Normal"/>
              <w:widowControl w:val="false"/>
              <w:numPr>
                <w:ilvl w:val="3"/>
                <w:numId w:val="30"/>
              </w:numPr>
              <w:suppressAutoHyphens w:val="false"/>
              <w:spacing w:before="60" w:after="60"/>
              <w:ind w:left="1418" w:hanging="567"/>
              <w:jc w:val="both"/>
              <w:rPr/>
            </w:pPr>
            <w:r>
              <w:rPr>
                <w:rFonts w:eastAsia="Calibri"/>
                <w:sz w:val="24"/>
                <w:szCs w:val="24"/>
              </w:rPr>
              <w:t>Работ вблизи действующих электроустановок, на высоте и в стесненных условиях.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Требования к организации и проведению совместного технического совещания с участием служб Заказчика, подрядчика по вопросам организации и осуществления строительного контроля, технического и авторского надзора за ходом работ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jc w:val="both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Организация и проведения совместных технических совещаний с участием служб Заказчика и Подрядчика осуществляется на территории ГАЭС Каскада Кубанских ГЭС либо в месте, совместно согласованном Заказчиком и Подрядчика. Дата и время проведения совещаний согласовывается заблаговременно.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26"/>
              </w:numPr>
              <w:suppressAutoHyphens w:val="false"/>
              <w:spacing w:before="60" w:after="60"/>
              <w:ind w:left="0" w:hanging="0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Требования к персоналу подрядчика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Квалификация персонала подрядчика, привлекаемого к выполнению работ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Работы должны выполняться Подрядчиком с привлечением квалифицированного персонала.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 ходе исполнения договора, до начала производства работ Подрядчик направляет письмо Заказчику со списком персонала, привлекаемого для выполнения работ для оформления допуска в места производства работ, с указанием сведений о квалификации персонала, разряде и группе по электробезопасности.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26"/>
              </w:numPr>
              <w:suppressAutoHyphens w:val="false"/>
              <w:spacing w:before="60" w:after="60"/>
              <w:ind w:left="0" w:hanging="0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/>
            </w:pPr>
            <w:r>
              <w:rPr>
                <w:b/>
                <w:sz w:val="24"/>
                <w:szCs w:val="24"/>
              </w:rPr>
              <w:t>Требования к безопасности работ / услуг и охране труда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Общие требования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 выполнении работ Подрядчик должен обеспечить соблюдение персоналом следующих требований: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Требований в области охраны труда и противопожарной безопасности.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Технологической, производственной и трудовой дисциплины.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Производить своевременную (ежедневную) уборку рабочих мест.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Требования к безопасности выполняемых работ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ходе исполнения договора Подрядчик должен: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Соблюдать требования действующего федерального законодательства Российской Федерации, нормативных правовых актов субъектов Российской Федерации, в том числе законодательство о недрах, охране окружающей среды, промышленной и пожарной безопасности, охране труда, энергоэффективности, рационального использования природных ресурсов и полезных ископаемых, а также все прочие законы и нормативные акты, относящиеся к сфере выполняемой деятельности.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Направлять на объекты Заказчика работников, обученных правилам безопасного ведения работ и имеющих все необходимые допуски к производству работ, а также представлять документы на русском языке, подтверждающие аттестацию работников на проведение соответствующих видов работ.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Требования в области информационной безопасности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rFonts w:eastAsia="Calibri"/>
                <w:b/>
                <w:sz w:val="24"/>
                <w:szCs w:val="24"/>
                <w:u w:val="single"/>
              </w:rPr>
            </w:pPr>
            <w:r>
              <w:rPr>
                <w:rFonts w:eastAsia="Calibri"/>
                <w:b/>
                <w:sz w:val="24"/>
                <w:szCs w:val="24"/>
                <w:u w:val="single"/>
              </w:rPr>
              <w:t>При выполнении работ Подрядчику запрещается: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Передавать иным лицам, кроме полномочных представителей Заказчика, учетные записи и пароли.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Осуществлять несанкционированное подключение к оборудованию.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Передавать третьей стороне любую информацию о работе оборудования и параметрах технологического процесса без письменного согласия Заказчика.</w:t>
            </w:r>
          </w:p>
          <w:p>
            <w:pPr>
              <w:pStyle w:val="Normal"/>
              <w:widowControl w:val="false"/>
              <w:suppressAutoHyphens w:val="false"/>
              <w:spacing w:before="60" w:after="60"/>
              <w:rPr>
                <w:rFonts w:eastAsia="Calibri"/>
                <w:b/>
                <w:sz w:val="24"/>
                <w:szCs w:val="24"/>
                <w:u w:val="single"/>
              </w:rPr>
            </w:pPr>
            <w:r>
              <w:rPr>
                <w:rFonts w:eastAsia="Calibri"/>
                <w:b/>
                <w:sz w:val="24"/>
                <w:szCs w:val="24"/>
                <w:u w:val="single"/>
              </w:rPr>
              <w:t>При выполнении работ Подрядчик должен обеспечить исполнение следующих условий: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Подрядчику необходимо составить перечень объектов критической информационной инфраструктуры (КИИ), на которых планируется выполнение работ программистами в связи с введением в отношении объектов Группы РусГидро критического («красного») уровня опасности проведения целевых компьютерных атак.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iCs/>
                <w:sz w:val="24"/>
                <w:szCs w:val="24"/>
                <w:lang w:eastAsia="x-none"/>
              </w:rPr>
            </w:pPr>
            <w:r>
              <w:rPr>
                <w:rFonts w:eastAsia="Calibri"/>
                <w:sz w:val="24"/>
                <w:szCs w:val="24"/>
              </w:rPr>
              <w:t>Подрядчику необходимо проработать комплекс мер для безопасного выполнения работ на указанных в перечне объектах КИИ.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26"/>
              </w:numPr>
              <w:suppressAutoHyphens w:val="false"/>
              <w:spacing w:before="60" w:after="60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148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Требования к результатам работ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26"/>
              </w:numPr>
              <w:suppressAutoHyphens w:val="false"/>
              <w:spacing w:before="60" w:after="60"/>
              <w:ind w:left="0" w:hanging="0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Общие требования к результатам работ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Результат работ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результатам выполненных работ</w:t>
            </w:r>
            <w:r>
              <w:rPr>
                <w:rFonts w:eastAsia="Calibri"/>
                <w:sz w:val="24"/>
                <w:szCs w:val="24"/>
              </w:rPr>
              <w:t xml:space="preserve"> оборудование РЩУ ГАЭС</w:t>
            </w:r>
            <w:r>
              <w:rPr>
                <w:sz w:val="24"/>
                <w:szCs w:val="24"/>
              </w:rPr>
              <w:t xml:space="preserve"> Каскада Кубанских ГЭС должно быть смонтировано на энергообъекте и готово к эксплуатации.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Порядок приемки выполненных работ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 завершения выполнения работ и приемочных испытаний Подрядчиком должны быть оформлены и переданы Заказчику следующие документы: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Акт выполненных работ.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Комплект приемо-сдаточной документации в составе:</w:t>
            </w:r>
          </w:p>
          <w:p>
            <w:pPr>
              <w:pStyle w:val="Normal"/>
              <w:widowControl w:val="false"/>
              <w:numPr>
                <w:ilvl w:val="3"/>
                <w:numId w:val="31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Исполнительная документация.</w:t>
            </w:r>
          </w:p>
          <w:p>
            <w:pPr>
              <w:pStyle w:val="Normal"/>
              <w:widowControl w:val="false"/>
              <w:numPr>
                <w:ilvl w:val="3"/>
                <w:numId w:val="31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Протоколы проверки оборудования.</w:t>
            </w:r>
          </w:p>
          <w:p>
            <w:pPr>
              <w:pStyle w:val="Normal"/>
              <w:widowControl w:val="false"/>
              <w:numPr>
                <w:ilvl w:val="3"/>
                <w:numId w:val="31"/>
              </w:numPr>
              <w:suppressAutoHyphens w:val="false"/>
              <w:spacing w:before="60" w:after="60"/>
              <w:ind w:left="1418" w:hanging="567"/>
              <w:jc w:val="both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Отчет о выполненных работах.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Приемочные испытания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Приемочные испытания РЩУ ГАЭС проводятся для определения возможности ввода в работу и соответствия ее характеристик требованиям технического задания или другого регламентирующего документа.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Приёмка РЩУ ГАЭС в целом осуществляется Специализированной приёмочной комиссией (СПК).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Цель деятельности СПК - определение готовности технических средств РЩУ ГАЭС к эксплуатации.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Задача СПК - проверка предъявленных предметов приемки РЩУ ГАЭС для определения их соответствия проектной документации, требованиям действующих нормативных документов и приемка их в соответствии с требованиями настоящих Правил.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Приемочные испытания РЩУ в целом проводятся в соответствии с "Программой испытаний" и с оформлением протокола испытаний.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Устранение замечаний и недостатков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jc w:val="both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В случае выявления комиссией недостатков, связанных с решениями ТРП, качеством монтажа оборудования, СМР или ПНР в обязанности Подрядчика входит устранение выявленных недостатков в установленный срок, внесение изменений в рабочую документацию (при необходимости), согласование и утверждение внесенных изменений Заказчиком с последующим повторным проведением предварительных комплексных испытаний в необходимом объеме.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26"/>
              </w:numPr>
              <w:suppressAutoHyphens w:val="false"/>
              <w:spacing w:before="60" w:after="60"/>
              <w:ind w:left="0" w:hanging="0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оформлению документации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 представления документации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Вся документация, включая чертежи, схемы должна быть составлена на русском языке.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Форматы электронных документов должны поддерживаться российской операционной системой «Alter OS» и офисным пакетом «Alter Office».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Подрядчик предоставляет Заказчику комплект указанной в п. 2.1.2 данной таблицы документации:</w:t>
            </w:r>
          </w:p>
          <w:tbl>
            <w:tblPr>
              <w:tblW w:w="10966" w:type="dxa"/>
              <w:jc w:val="left"/>
              <w:tblInd w:w="852" w:type="dxa"/>
              <w:tblLayout w:type="fixed"/>
              <w:tblCellMar>
                <w:top w:w="55" w:type="dxa"/>
                <w:left w:w="108" w:type="dxa"/>
                <w:bottom w:w="55" w:type="dxa"/>
                <w:right w:w="108" w:type="dxa"/>
              </w:tblCellMar>
              <w:tblLook w:val="04a0" w:noHBand="0" w:noVBand="1" w:firstColumn="1" w:lastRow="0" w:lastColumn="0" w:firstRow="1"/>
            </w:tblPr>
            <w:tblGrid>
              <w:gridCol w:w="629"/>
              <w:gridCol w:w="4041"/>
              <w:gridCol w:w="2339"/>
              <w:gridCol w:w="1260"/>
              <w:gridCol w:w="1442"/>
              <w:gridCol w:w="1254"/>
            </w:tblGrid>
            <w:tr>
              <w:trPr/>
              <w:tc>
                <w:tcPr>
                  <w:tcW w:w="62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 xml:space="preserve">№ </w:t>
                  </w: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п/п</w:t>
                  </w:r>
                </w:p>
              </w:tc>
              <w:tc>
                <w:tcPr>
                  <w:tcW w:w="404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Вид документа</w:t>
                  </w:r>
                </w:p>
              </w:tc>
              <w:tc>
                <w:tcPr>
                  <w:tcW w:w="6295" w:type="dxa"/>
                  <w:gridSpan w:val="4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Форма</w:t>
                  </w:r>
                </w:p>
              </w:tc>
            </w:tr>
            <w:tr>
              <w:trPr>
                <w:trHeight w:val="205" w:hRule="atLeast"/>
              </w:trPr>
              <w:tc>
                <w:tcPr>
                  <w:tcW w:w="629" w:type="dxa"/>
                  <w:vMerge w:val="continue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</w:r>
                </w:p>
              </w:tc>
              <w:tc>
                <w:tcPr>
                  <w:tcW w:w="4041" w:type="dxa"/>
                  <w:vMerge w:val="continue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</w:r>
                </w:p>
              </w:tc>
              <w:tc>
                <w:tcPr>
                  <w:tcW w:w="3599" w:type="dxa"/>
                  <w:gridSpan w:val="2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Электронный вид</w:t>
                    <w:br/>
                    <w:t>на CD / DVD</w:t>
                  </w:r>
                </w:p>
              </w:tc>
              <w:tc>
                <w:tcPr>
                  <w:tcW w:w="2696" w:type="dxa"/>
                  <w:gridSpan w:val="2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Бумажный вид</w:t>
                    <w:br/>
                    <w:t>в твердой копия</w:t>
                  </w:r>
                </w:p>
              </w:tc>
            </w:tr>
            <w:tr>
              <w:trPr>
                <w:trHeight w:val="64" w:hRule="atLeast"/>
              </w:trPr>
              <w:tc>
                <w:tcPr>
                  <w:tcW w:w="629" w:type="dxa"/>
                  <w:vMerge w:val="continue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0" w:leader="none"/>
                    </w:tabs>
                    <w:jc w:val="both"/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</w:r>
                </w:p>
              </w:tc>
              <w:tc>
                <w:tcPr>
                  <w:tcW w:w="4041" w:type="dxa"/>
                  <w:vMerge w:val="continue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both"/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</w:r>
                </w:p>
              </w:tc>
              <w:tc>
                <w:tcPr>
                  <w:tcW w:w="233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Формат</w:t>
                  </w:r>
                </w:p>
              </w:tc>
              <w:tc>
                <w:tcPr>
                  <w:tcW w:w="1260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Кол-во</w:t>
                  </w:r>
                </w:p>
              </w:tc>
              <w:tc>
                <w:tcPr>
                  <w:tcW w:w="144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Формат</w:t>
                  </w:r>
                </w:p>
              </w:tc>
              <w:tc>
                <w:tcPr>
                  <w:tcW w:w="1254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kern w:val="2"/>
                      <w:sz w:val="20"/>
                      <w:szCs w:val="20"/>
                      <w14:ligatures w14:val="standardContextual"/>
                    </w:rPr>
                    <w:t>Кол-во</w:t>
                  </w:r>
                </w:p>
              </w:tc>
            </w:tr>
            <w:tr>
              <w:trPr>
                <w:trHeight w:val="428" w:hRule="atLeast"/>
              </w:trPr>
              <w:tc>
                <w:tcPr>
                  <w:tcW w:w="62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32"/>
                    </w:numPr>
                    <w:spacing w:before="60" w:after="60"/>
                    <w:ind w:left="0" w:hanging="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</w:r>
                </w:p>
              </w:tc>
              <w:tc>
                <w:tcPr>
                  <w:tcW w:w="4041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Текстовые документы</w:t>
                  </w:r>
                </w:p>
              </w:tc>
              <w:tc>
                <w:tcPr>
                  <w:tcW w:w="233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rPr>
                      <w:sz w:val="24"/>
                      <w:szCs w:val="24"/>
                      <w:lang w:val="en-US"/>
                    </w:rPr>
                  </w:pP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*.doc, *.doc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х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, *.txt, *.odt,</w:t>
                  </w:r>
                  <w:r>
                    <w:rPr>
                      <w:rFonts w:eastAsia="Calibri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 xml:space="preserve"> 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*.xodt, *.pdf</w:t>
                  </w:r>
                </w:p>
              </w:tc>
              <w:tc>
                <w:tcPr>
                  <w:tcW w:w="1260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44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А4</w:t>
                  </w:r>
                </w:p>
              </w:tc>
              <w:tc>
                <w:tcPr>
                  <w:tcW w:w="1254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>
              <w:trPr>
                <w:trHeight w:val="70" w:hRule="atLeast"/>
              </w:trPr>
              <w:tc>
                <w:tcPr>
                  <w:tcW w:w="62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32"/>
                    </w:numPr>
                    <w:spacing w:before="60" w:after="60"/>
                    <w:ind w:left="0" w:hanging="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</w:r>
                </w:p>
              </w:tc>
              <w:tc>
                <w:tcPr>
                  <w:tcW w:w="4041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Табличные формы</w:t>
                  </w:r>
                </w:p>
              </w:tc>
              <w:tc>
                <w:tcPr>
                  <w:tcW w:w="233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xls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xlsx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ods</w:t>
                  </w:r>
                </w:p>
              </w:tc>
              <w:tc>
                <w:tcPr>
                  <w:tcW w:w="1260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44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А4, А3</w:t>
                  </w:r>
                </w:p>
              </w:tc>
              <w:tc>
                <w:tcPr>
                  <w:tcW w:w="1254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>
              <w:trPr/>
              <w:tc>
                <w:tcPr>
                  <w:tcW w:w="62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32"/>
                    </w:numPr>
                    <w:spacing w:before="60" w:after="60"/>
                    <w:ind w:left="0" w:hanging="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</w:r>
                </w:p>
              </w:tc>
              <w:tc>
                <w:tcPr>
                  <w:tcW w:w="4041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Чертежи</w:t>
                  </w:r>
                </w:p>
              </w:tc>
              <w:tc>
                <w:tcPr>
                  <w:tcW w:w="233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*.dwg,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 xml:space="preserve"> 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vsd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pdf</w:t>
                  </w:r>
                </w:p>
              </w:tc>
              <w:tc>
                <w:tcPr>
                  <w:tcW w:w="1260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44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А4, А3, А2</w:t>
                  </w:r>
                </w:p>
              </w:tc>
              <w:tc>
                <w:tcPr>
                  <w:tcW w:w="1254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>
              <w:trPr/>
              <w:tc>
                <w:tcPr>
                  <w:tcW w:w="62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32"/>
                    </w:numPr>
                    <w:spacing w:before="60" w:after="60"/>
                    <w:ind w:left="0" w:hanging="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</w:r>
                </w:p>
              </w:tc>
              <w:tc>
                <w:tcPr>
                  <w:tcW w:w="4041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Презентационные материалы</w:t>
                  </w:r>
                </w:p>
              </w:tc>
              <w:tc>
                <w:tcPr>
                  <w:tcW w:w="233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rPr>
                      <w:sz w:val="24"/>
                      <w:szCs w:val="24"/>
                      <w:lang w:val="en-US"/>
                    </w:rPr>
                  </w:pP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*.pptx, *.ppsx, *.potm, *.potm, *.pptm</w:t>
                  </w:r>
                </w:p>
              </w:tc>
              <w:tc>
                <w:tcPr>
                  <w:tcW w:w="1260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44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А4</w:t>
                  </w:r>
                </w:p>
              </w:tc>
              <w:tc>
                <w:tcPr>
                  <w:tcW w:w="1254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  <w:tr>
              <w:trPr/>
              <w:tc>
                <w:tcPr>
                  <w:tcW w:w="62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numPr>
                      <w:ilvl w:val="0"/>
                      <w:numId w:val="32"/>
                    </w:numPr>
                    <w:spacing w:before="60" w:after="60"/>
                    <w:ind w:left="0" w:hanging="0"/>
                    <w:contextualSpacing/>
                    <w:jc w:val="both"/>
                    <w:rPr>
                      <w:kern w:val="2"/>
                      <w:sz w:val="24"/>
                      <w:szCs w:val="24"/>
                      <w14:ligatures w14:val="standardContextual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</w:r>
                </w:p>
              </w:tc>
              <w:tc>
                <w:tcPr>
                  <w:tcW w:w="4041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Графики</w:t>
                  </w:r>
                  <w:r>
                    <w:rPr>
                      <w:rStyle w:val="FootnoteReference"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footnoteReference w:id="3"/>
                  </w:r>
                </w:p>
              </w:tc>
              <w:tc>
                <w:tcPr>
                  <w:tcW w:w="2339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xer</w:t>
                  </w: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, *.</w:t>
                  </w:r>
                  <w:r>
                    <w:rPr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w:t>xml</w:t>
                  </w:r>
                </w:p>
              </w:tc>
              <w:tc>
                <w:tcPr>
                  <w:tcW w:w="1260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1 экз.</w:t>
                  </w:r>
                </w:p>
              </w:tc>
              <w:tc>
                <w:tcPr>
                  <w:tcW w:w="1442" w:type="dxa"/>
                  <w:tcBorders>
                    <w:left w:val="single" w:sz="4" w:space="0" w:color="000000"/>
                    <w:bottom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А4, А3</w:t>
                  </w:r>
                </w:p>
              </w:tc>
              <w:tc>
                <w:tcPr>
                  <w:tcW w:w="1254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996" w:leader="none"/>
                    </w:tabs>
                    <w:spacing w:before="60" w:after="60"/>
                    <w:contextualSpacing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kern w:val="2"/>
                      <w:sz w:val="24"/>
                      <w:szCs w:val="24"/>
                      <w14:ligatures w14:val="standardContextual"/>
                    </w:rPr>
                    <w:t>3 экз.</w:t>
                  </w:r>
                </w:p>
              </w:tc>
            </w:tr>
          </w:tbl>
          <w:p>
            <w:pPr>
              <w:pStyle w:val="Normal"/>
              <w:widowControl w:val="false"/>
              <w:numPr>
                <w:ilvl w:val="3"/>
                <w:numId w:val="33"/>
              </w:numPr>
              <w:suppressAutoHyphens w:val="false"/>
              <w:spacing w:before="60" w:after="60"/>
              <w:ind w:left="1418" w:hanging="567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Пофайловое разделение страниц отдельных томов (книг) документации в электронном виде документов не допускается.</w:t>
            </w:r>
          </w:p>
          <w:p>
            <w:pPr>
              <w:pStyle w:val="Normal"/>
              <w:widowControl w:val="false"/>
              <w:numPr>
                <w:ilvl w:val="3"/>
                <w:numId w:val="33"/>
              </w:numPr>
              <w:suppressAutoHyphens w:val="false"/>
              <w:spacing w:before="60" w:after="60"/>
              <w:ind w:left="1418" w:hanging="567"/>
              <w:jc w:val="both"/>
              <w:rPr>
                <w:sz w:val="24"/>
                <w:szCs w:val="24"/>
              </w:rPr>
            </w:pPr>
            <w:bookmarkStart w:id="30" w:name="_Toc207088713_Копия_7"/>
            <w:r>
              <w:rPr>
                <w:rFonts w:eastAsia="Calibri"/>
                <w:sz w:val="24"/>
                <w:szCs w:val="24"/>
              </w:rPr>
              <w:t>Твердая копия представляется сброшюрованном виде, оформленном в соответствии с требованиями пп. 4.1.4 и раздела 8 ГОСТ Р 21.1101-2013 «Основные требования к проектной и рабочей документации»</w:t>
            </w:r>
            <w:bookmarkEnd w:id="30"/>
            <w:r>
              <w:rPr>
                <w:rFonts w:eastAsia="Calibri"/>
                <w:sz w:val="24"/>
                <w:szCs w:val="24"/>
              </w:rPr>
              <w:t>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1"/>
                <w:numId w:val="26"/>
              </w:numPr>
              <w:suppressAutoHyphens w:val="false"/>
              <w:spacing w:before="60" w:after="60"/>
              <w:ind w:left="0" w:hanging="0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</w:r>
          </w:p>
        </w:tc>
        <w:tc>
          <w:tcPr>
            <w:tcW w:w="148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соблюдению положений нормативной и иной обязательной для подрядчика / исполнителя документации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Соответствие результатов работ нормам и правилам НТД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Результаты работ должны соответствовать требованиям действующей редакции следующих НТД: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Правила устройства электроустановок.</w:t>
            </w:r>
          </w:p>
          <w:p>
            <w:pPr>
              <w:pStyle w:val="Normal"/>
              <w:widowControl w:val="false"/>
              <w:numPr>
                <w:ilvl w:val="3"/>
                <w:numId w:val="26"/>
              </w:numPr>
              <w:suppressAutoHyphens w:val="false"/>
              <w:spacing w:before="60" w:after="60"/>
              <w:ind w:left="851" w:hanging="851"/>
              <w:jc w:val="both"/>
              <w:rPr/>
            </w:pPr>
            <w:r>
              <w:rPr>
                <w:rFonts w:eastAsia="Calibri"/>
                <w:sz w:val="24"/>
                <w:szCs w:val="24"/>
              </w:rPr>
              <w:t>Правила технической эксплуатации электрических станций и сетей.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26"/>
              </w:numPr>
              <w:suppressAutoHyphens w:val="false"/>
              <w:spacing w:before="60" w:after="60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148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Требования к ответственности, гарантиям и послегарантийному обслуживанию</w:t>
            </w:r>
          </w:p>
        </w:tc>
      </w:tr>
      <w:tr>
        <w:trPr/>
        <w:tc>
          <w:tcPr>
            <w:tcW w:w="85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numPr>
                <w:ilvl w:val="2"/>
                <w:numId w:val="26"/>
              </w:numPr>
              <w:suppressAutoHyphens w:val="false"/>
              <w:spacing w:before="60" w:after="60"/>
              <w:ind w:left="1247" w:hanging="1247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W w:w="27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Срок  гарантии на результат работ</w:t>
            </w:r>
          </w:p>
        </w:tc>
        <w:tc>
          <w:tcPr>
            <w:tcW w:w="12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false"/>
              <w:spacing w:before="60" w:after="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Срок гарантии на результат работ составляет не менее 36 месяцев с даты подписания Сторонами Акта приемки.</w:t>
            </w:r>
          </w:p>
        </w:tc>
      </w:tr>
    </w:tbl>
    <w:p>
      <w:pPr>
        <w:pStyle w:val="Heading3"/>
        <w:rPr/>
      </w:pPr>
      <w:bookmarkStart w:id="31" w:name="_Toc204763893_Копия_1"/>
      <w:r>
        <w:rPr/>
        <w:t>Требования к качеству продукции</w:t>
      </w:r>
      <w:bookmarkEnd w:id="31"/>
    </w:p>
    <w:p>
      <w:pPr>
        <w:pStyle w:val="Normal"/>
        <w:spacing w:before="60" w:after="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Наименование продукции (позиции № 1.3. Таблицы 2):</w:t>
      </w:r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60" w:after="60"/>
        <w:jc w:val="both"/>
        <w:rPr>
          <w:rFonts w:eastAsia="Calibri"/>
          <w:bCs/>
          <w:color w:val="000000"/>
          <w:sz w:val="24"/>
          <w:szCs w:val="24"/>
          <w:lang w:eastAsia="x-none"/>
        </w:rPr>
      </w:pPr>
      <w:r>
        <w:rPr>
          <w:rFonts w:eastAsia="Calibri"/>
          <w:bCs/>
          <w:iCs/>
          <w:caps/>
          <w:color w:val="000000"/>
          <w:kern w:val="2"/>
          <w:sz w:val="24"/>
          <w:szCs w:val="24"/>
          <w:lang w:eastAsia="zh-CN" w:bidi="hi-IN"/>
        </w:rPr>
        <w:t xml:space="preserve">ОКПД2 43.29.19 </w:t>
      </w:r>
      <w:r>
        <w:rPr>
          <w:rFonts w:eastAsia="Calibri"/>
          <w:bCs/>
          <w:iCs/>
          <w:color w:val="000000"/>
          <w:kern w:val="2"/>
          <w:sz w:val="24"/>
          <w:szCs w:val="24"/>
          <w:lang w:eastAsia="zh-CN" w:bidi="hi-IN"/>
        </w:rPr>
        <w:t>Выполнение проектных, строительно-монтажных и пусконаладочных работ, в том числе поставка оборудования резервной панели главного щита управления ГАЭС Каскада Кубанских ГЭС в с. Водораздельное Прикубанского района Карачаево-Черкесской Республики</w:t>
      </w:r>
      <w:r>
        <w:rPr>
          <w:rFonts w:eastAsia="Calibri"/>
          <w:bCs/>
          <w:iCs/>
          <w:sz w:val="24"/>
          <w:szCs w:val="24"/>
          <w:lang w:eastAsia="x-none"/>
        </w:rPr>
        <w:t xml:space="preserve"> </w:t>
      </w:r>
      <w:r>
        <w:rPr>
          <w:rFonts w:eastAsia="Calibri"/>
          <w:bCs/>
          <w:color w:val="000000"/>
          <w:sz w:val="24"/>
          <w:szCs w:val="24"/>
          <w:lang w:eastAsia="x-none"/>
        </w:rPr>
        <w:t>(</w:t>
      </w:r>
      <w:r>
        <w:rPr>
          <w:rFonts w:eastAsia="Calibri"/>
          <w:sz w:val="24"/>
          <w:szCs w:val="24"/>
        </w:rPr>
        <w:t xml:space="preserve">лот № </w:t>
      </w:r>
      <w:r>
        <w:rPr>
          <w:rFonts w:eastAsia="Calibri"/>
          <w:bCs/>
          <w:sz w:val="24"/>
          <w:szCs w:val="24"/>
        </w:rPr>
        <w:t>0030-КС ДОХ-2026-РГЦР</w:t>
      </w:r>
      <w:r>
        <w:rPr>
          <w:rFonts w:eastAsia="Calibri"/>
          <w:bCs/>
          <w:color w:val="000000"/>
          <w:sz w:val="24"/>
          <w:szCs w:val="24"/>
          <w:lang w:eastAsia="x-none"/>
        </w:rPr>
        <w:t>)</w:t>
      </w:r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60" w:after="60"/>
        <w:jc w:val="both"/>
        <w:rPr>
          <w:u w:val="single"/>
        </w:rPr>
      </w:pPr>
      <w:r>
        <w:rPr>
          <w:rFonts w:eastAsia="Calibri"/>
          <w:bCs/>
          <w:color w:val="000000"/>
          <w:sz w:val="24"/>
          <w:szCs w:val="24"/>
          <w:u w:val="single"/>
          <w:lang w:eastAsia="x-none"/>
        </w:rPr>
        <w:t xml:space="preserve">Стадия 1.3. </w:t>
      </w:r>
      <w:r>
        <w:rPr>
          <w:rFonts w:eastAsia="Calibri"/>
          <w:bCs/>
          <w:iCs/>
          <w:color w:val="000000"/>
          <w:sz w:val="24"/>
          <w:szCs w:val="24"/>
          <w:u w:val="single"/>
          <w:lang w:eastAsia="x-none"/>
        </w:rPr>
        <w:t xml:space="preserve">Поставка оборудования </w:t>
      </w:r>
      <w:r>
        <w:rPr>
          <w:rFonts w:eastAsia="Calibri"/>
          <w:bCs/>
          <w:iCs/>
          <w:color w:val="000000"/>
          <w:sz w:val="24"/>
          <w:szCs w:val="24"/>
          <w:u w:val="single"/>
          <w:lang w:eastAsia="x-none"/>
        </w:rPr>
        <w:t>Р</w:t>
      </w:r>
      <w:r>
        <w:rPr>
          <w:rFonts w:eastAsia="Calibri"/>
          <w:bCs/>
          <w:iCs/>
          <w:color w:val="000000"/>
          <w:sz w:val="24"/>
          <w:szCs w:val="24"/>
          <w:u w:val="single"/>
          <w:lang w:eastAsia="x-none"/>
        </w:rPr>
        <w:t>ЩУ</w:t>
      </w:r>
    </w:p>
    <w:p>
      <w:pPr>
        <w:pStyle w:val="Style38"/>
        <w:spacing w:before="120" w:after="60"/>
        <w:jc w:val="right"/>
        <w:rPr/>
      </w:pPr>
      <w:r>
        <w:rPr>
          <w:sz w:val="24"/>
          <w:szCs w:val="24"/>
        </w:rPr>
        <w:t>Таблица 4.</w:t>
      </w:r>
      <w:r>
        <w:rPr>
          <w:sz w:val="24"/>
          <w:szCs w:val="24"/>
        </w:rPr>
        <w:t>3</w:t>
      </w:r>
      <w:r>
        <w:rPr>
          <w:sz w:val="24"/>
          <w:szCs w:val="24"/>
        </w:rPr>
        <w:t xml:space="preserve"> Требования к качеству продукции</w:t>
      </w:r>
    </w:p>
    <w:tbl>
      <w:tblPr>
        <w:tblStyle w:val="affffd"/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885"/>
        <w:gridCol w:w="2532"/>
        <w:gridCol w:w="12287"/>
      </w:tblGrid>
      <w:tr>
        <w:trPr>
          <w:tblHeader w:val="true"/>
          <w:trHeight w:val="126" w:hRule="atLeast"/>
        </w:trPr>
        <w:tc>
          <w:tcPr>
            <w:tcW w:w="885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0"/>
                <w:szCs w:val="20"/>
                <w:lang w:val="ru-RU" w:eastAsia="ru-RU" w:bidi="ar-SA"/>
              </w:rPr>
              <w:t xml:space="preserve">№ </w:t>
            </w:r>
            <w:r>
              <w:rPr>
                <w:rFonts w:eastAsia="Times New Roman" w:cs="Times New Roman"/>
                <w:b/>
                <w:bCs/>
                <w:kern w:val="0"/>
                <w:sz w:val="20"/>
                <w:szCs w:val="20"/>
                <w:lang w:val="ru-RU" w:eastAsia="ru-RU" w:bidi="ar-SA"/>
              </w:rPr>
              <w:t>п/п</w:t>
            </w:r>
          </w:p>
        </w:tc>
        <w:tc>
          <w:tcPr>
            <w:tcW w:w="2532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0"/>
                <w:szCs w:val="20"/>
                <w:lang w:val="ru-RU" w:eastAsia="ru-RU" w:bidi="ar-SA"/>
              </w:rPr>
              <w:t>Наименование параметра</w:t>
            </w:r>
          </w:p>
        </w:tc>
        <w:tc>
          <w:tcPr>
            <w:tcW w:w="12287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0"/>
                <w:szCs w:val="20"/>
                <w:lang w:val="ru-RU" w:eastAsia="ru-RU" w:bidi="ar-SA"/>
              </w:rPr>
              <w:t>Требование Заказчика</w:t>
            </w:r>
          </w:p>
        </w:tc>
      </w:tr>
      <w:tr>
        <w:trPr>
          <w:tblHeader w:val="true"/>
        </w:trPr>
        <w:tc>
          <w:tcPr>
            <w:tcW w:w="885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rFonts w:eastAsia="Times New Roman" w:cs="Times New Roman"/>
                <w:b/>
                <w:kern w:val="0"/>
                <w:sz w:val="20"/>
                <w:szCs w:val="20"/>
                <w:lang w:val="ru-RU" w:eastAsia="ru-RU" w:bidi="ar-SA"/>
              </w:rPr>
              <w:t>1</w:t>
            </w:r>
          </w:p>
        </w:tc>
        <w:tc>
          <w:tcPr>
            <w:tcW w:w="253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rFonts w:eastAsia="Times New Roman" w:cs="Times New Roman"/>
                <w:b/>
                <w:kern w:val="0"/>
                <w:sz w:val="20"/>
                <w:szCs w:val="20"/>
                <w:lang w:val="ru-RU" w:eastAsia="ru-RU" w:bidi="ar-SA"/>
              </w:rPr>
              <w:t>2</w:t>
            </w:r>
          </w:p>
        </w:tc>
        <w:tc>
          <w:tcPr>
            <w:tcW w:w="12287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rFonts w:eastAsia="Times New Roman" w:cs="Times New Roman"/>
                <w:b/>
                <w:kern w:val="0"/>
                <w:sz w:val="20"/>
                <w:szCs w:val="20"/>
                <w:lang w:val="ru-RU" w:eastAsia="ru-RU" w:bidi="ar-SA"/>
              </w:rPr>
              <w:t>3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uppressAutoHyphens w:val="true"/>
              <w:spacing w:before="60" w:after="60"/>
              <w:ind w:left="24" w:right="32" w:hanging="0"/>
              <w:contextualSpacing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техническим и функциональным характеристикам (включая гарантируемые показатели)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jc w:val="left"/>
              <w:rPr>
                <w:color w:val="000000"/>
              </w:rPr>
            </w:pPr>
            <w:r>
              <w:rPr>
                <w:rFonts w:eastAsia="Times New Roman" w:cs="Times New Roman"/>
                <w:iCs/>
                <w:color w:val="000000"/>
                <w:kern w:val="0"/>
                <w:sz w:val="24"/>
                <w:szCs w:val="24"/>
                <w:lang w:val="ru-RU" w:eastAsia="ru-RU" w:bidi="ar-SA"/>
              </w:rPr>
              <w:t>Номенклатура и объем поставляемой продукции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851" w:hanging="851"/>
              <w:contextualSpacing w:val="false"/>
              <w:jc w:val="both"/>
              <w:rPr>
                <w:color w:val="000000"/>
              </w:rPr>
            </w:pPr>
            <w:r>
              <w:rPr>
                <w:rFonts w:cs="Times New Roman"/>
                <w:color w:val="000000"/>
                <w:kern w:val="0"/>
                <w:lang w:val="ru-RU" w:eastAsia="ru-RU" w:bidi="ar-SA"/>
              </w:rPr>
              <w:t xml:space="preserve">Поставляемое оборудование должно быть изготовлено Подрядчик в соответствии с разработанной и согласованной конструкторской документацией. 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851" w:hanging="851"/>
              <w:contextualSpacing w:val="false"/>
              <w:jc w:val="both"/>
              <w:rPr>
                <w:color w:val="000000"/>
              </w:rPr>
            </w:pPr>
            <w:r>
              <w:rPr>
                <w:rFonts w:cs="Times New Roman"/>
                <w:color w:val="000000"/>
                <w:kern w:val="0"/>
                <w:lang w:val="ru-RU" w:eastAsia="ru-RU" w:bidi="ar-SA"/>
              </w:rPr>
              <w:t>Используемые при изготовлении РЩУ материалы, компоненты и серийное оборудование могут быть заменены на эквивалентные, указанным в ЗЗИ, по техническим и функциональным характеристикам, не уступающим и/или превосходящим характеристики, заявленным в конструкторской документации, в том числе, по гарантийным срокам и срокам эксплуатации. При этом Подрядчик должен за счет собственных сил и средств внести изменения в конструкторскую документацию и проектные решения, вызванные применением эквивалентной продукции и перед началом фактической поставки осуществить согласование измененных документов с Заказчиком, экспертными, контролирующими и надзорными органами.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851" w:hanging="851"/>
              <w:contextualSpacing w:val="false"/>
              <w:jc w:val="both"/>
              <w:rPr>
                <w:color w:val="000000"/>
              </w:rPr>
            </w:pPr>
            <w:r>
              <w:rPr>
                <w:rFonts w:cs="Times New Roman"/>
                <w:color w:val="000000"/>
                <w:kern w:val="0"/>
                <w:lang w:val="ru-RU" w:eastAsia="ru-RU" w:bidi="ar-SA"/>
              </w:rPr>
              <w:t xml:space="preserve">Объем поставки должен соответствовать спецификации конструкторской документации. 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851" w:hanging="851"/>
              <w:contextualSpacing w:val="false"/>
              <w:jc w:val="both"/>
              <w:rPr>
                <w:color w:val="000000"/>
              </w:rPr>
            </w:pPr>
            <w:r>
              <w:rPr>
                <w:rFonts w:cs="Times New Roman"/>
                <w:color w:val="000000"/>
                <w:kern w:val="0"/>
                <w:lang w:val="ru-RU" w:eastAsia="ru-RU" w:bidi="ar-SA"/>
              </w:rPr>
              <w:t>Оборудование должно быть полностью готовым к монтажу и последующей эксплуатации.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iCs/>
                <w:kern w:val="0"/>
                <w:sz w:val="24"/>
                <w:szCs w:val="24"/>
                <w:lang w:val="ru-RU" w:eastAsia="ru-RU" w:bidi="ar-SA"/>
              </w:rPr>
              <w:t>Основные технические требования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851" w:hanging="851"/>
              <w:contextualSpacing w:val="false"/>
              <w:jc w:val="both"/>
              <w:rPr>
                <w:color w:val="000000"/>
              </w:rPr>
            </w:pPr>
            <w:r>
              <w:rPr>
                <w:rFonts w:cs="Times New Roman"/>
                <w:color w:val="000000"/>
                <w:kern w:val="0"/>
                <w:lang w:val="ru-RU" w:eastAsia="ru-RU" w:bidi="ar-SA"/>
              </w:rPr>
              <w:t>Оборудование должно быть изготовлено в соответствии со стандартами МЭК (IEC) и действующей редакцией следующей нормативно-технической документации:</w:t>
            </w:r>
          </w:p>
          <w:p>
            <w:pPr>
              <w:pStyle w:val="ListParagraph"/>
              <w:widowControl w:val="false"/>
              <w:numPr>
                <w:ilvl w:val="2"/>
                <w:numId w:val="13"/>
              </w:numPr>
              <w:suppressAutoHyphens w:val="false"/>
              <w:spacing w:before="60" w:after="60"/>
              <w:ind w:left="1418" w:hanging="567"/>
              <w:contextualSpacing w:val="false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 w:cs="Times New Roman"/>
                <w:iCs/>
                <w:kern w:val="0"/>
                <w:lang w:val="ru-RU" w:eastAsia="ru-RU" w:bidi="ar-SA"/>
              </w:rPr>
              <w:t xml:space="preserve">ГОСТ 12.2.049-80 «Оборудование производственное. Общие эргономические требования». </w:t>
            </w:r>
          </w:p>
          <w:p>
            <w:pPr>
              <w:pStyle w:val="ListParagraph"/>
              <w:widowControl w:val="false"/>
              <w:numPr>
                <w:ilvl w:val="2"/>
                <w:numId w:val="13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rFonts w:eastAsia="Times New Roman"/>
                <w:iCs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Приказ ФСТЭК России от 25.12.2017 №239 «Об утверждении Требований по обеспечению безопасности значимых объектов критической информационной инфраструктуры РФ».</w:t>
            </w:r>
          </w:p>
          <w:p>
            <w:pPr>
              <w:pStyle w:val="ListParagraph"/>
              <w:widowControl w:val="false"/>
              <w:numPr>
                <w:ilvl w:val="2"/>
                <w:numId w:val="13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rFonts w:eastAsia="Times New Roman"/>
                <w:iCs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Федеральный закон РФот 26.07.2017 №187-ФЗ «О безопасности критической информационной инфраструктуры РФ».</w:t>
            </w:r>
          </w:p>
          <w:p>
            <w:pPr>
              <w:pStyle w:val="ListParagraph"/>
              <w:widowControl w:val="false"/>
              <w:numPr>
                <w:ilvl w:val="2"/>
                <w:numId w:val="13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rFonts w:eastAsia="Times New Roman"/>
                <w:iCs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 xml:space="preserve">Указ Президента РФ от 30.03.2022 № 166 в части применяемого ПО верхнего уровня. </w:t>
            </w:r>
          </w:p>
          <w:p>
            <w:pPr>
              <w:pStyle w:val="ListParagraph"/>
              <w:widowControl w:val="false"/>
              <w:numPr>
                <w:ilvl w:val="2"/>
                <w:numId w:val="13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rFonts w:eastAsia="Times New Roman"/>
                <w:iCs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 xml:space="preserve">Постановление Правительства РФ от 17.07.2015 № 719 «О подтверждении производства промышленной продукции на территории РФ». </w:t>
            </w:r>
          </w:p>
          <w:p>
            <w:pPr>
              <w:pStyle w:val="ListParagraph"/>
              <w:widowControl w:val="false"/>
              <w:numPr>
                <w:ilvl w:val="2"/>
                <w:numId w:val="13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rFonts w:eastAsia="Times New Roman"/>
                <w:iCs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 xml:space="preserve"> </w:t>
            </w:r>
            <w:r>
              <w:rPr>
                <w:rFonts w:eastAsia="Times New Roman" w:cs="Times New Roman"/>
                <w:iCs/>
                <w:kern w:val="0"/>
                <w:lang w:val="ru-RU" w:eastAsia="ru-RU" w:bidi="ar-SA"/>
              </w:rPr>
              <w:t>«Временные методические указания АСУТП. Типовой перечень сигналов, регистрация, архивирование, отображение технологической информации. Типовые формы. Нормы и требования», утвержденные Распоряжением ПАО «РусГидро»» от 19.01.2017 № 17р (Приложение № 4 к Техническим требованиям).</w:t>
            </w:r>
          </w:p>
          <w:p>
            <w:pPr>
              <w:pStyle w:val="ListParagraph"/>
              <w:widowControl w:val="false"/>
              <w:numPr>
                <w:ilvl w:val="2"/>
                <w:numId w:val="13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 w:cs="Times New Roman"/>
                <w:iCs/>
                <w:kern w:val="0"/>
                <w:lang w:val="ru-RU" w:eastAsia="ru-RU" w:bidi="ar-SA"/>
              </w:rPr>
              <w:t>Правила устройства электроустановок (действующее издание).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eastAsia="Times New Roman"/>
                <w:iCs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Производство продукции на территории РФ должно подтверждаться наличием действующих записей в реестре российской промышленной продукции в государственной информационной системе промышленности Минпромторг России (https://gisp.gov.ru/) и/или Реестре радиоэлектронной продукции ПП РФ 878.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uppressAutoHyphens w:val="true"/>
              <w:spacing w:before="60" w:after="60"/>
              <w:ind w:left="24" w:right="32" w:hanging="0"/>
              <w:contextualSpacing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безопасности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Общие требования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Устройства РЩУ должны соответствовать требованиям безопасности персонала при монтаже, наладке, эксплуатации, обслуживании и ремонте технических средств, установленными действующей редакцией, следующих НТД:</w:t>
            </w:r>
          </w:p>
          <w:p>
            <w:pPr>
              <w:pStyle w:val="ListParagraph"/>
              <w:widowControl w:val="false"/>
              <w:numPr>
                <w:ilvl w:val="2"/>
                <w:numId w:val="19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12.1.004-91 Пожарная безопасность. Общие требования.</w:t>
            </w:r>
          </w:p>
          <w:p>
            <w:pPr>
              <w:pStyle w:val="ListParagraph"/>
              <w:widowControl w:val="false"/>
              <w:numPr>
                <w:ilvl w:val="2"/>
                <w:numId w:val="19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12.1.010-76 Система стандартов безопасности труда (ССБТ). Взрывобезопасность. Общие требования.</w:t>
            </w:r>
          </w:p>
          <w:p>
            <w:pPr>
              <w:pStyle w:val="ListParagraph"/>
              <w:widowControl w:val="false"/>
              <w:numPr>
                <w:ilvl w:val="2"/>
                <w:numId w:val="19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12.1.012-2004 Система стандартов безопасности труда (ССБТ). Вибрационная безопасность. Общие требования.</w:t>
            </w:r>
          </w:p>
          <w:p>
            <w:pPr>
              <w:pStyle w:val="ListParagraph"/>
              <w:widowControl w:val="false"/>
              <w:numPr>
                <w:ilvl w:val="2"/>
                <w:numId w:val="19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12.1.003 Шум. Общие требования безопасности.</w:t>
            </w:r>
          </w:p>
          <w:p>
            <w:pPr>
              <w:pStyle w:val="ListParagraph"/>
              <w:widowControl w:val="false"/>
              <w:numPr>
                <w:ilvl w:val="2"/>
                <w:numId w:val="19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26329-84 (СТ СЭВ 4292-83) Машины вычислительные и системы обработки данных. Допустимые уровни шума технических средств и методы их определения.</w:t>
            </w:r>
          </w:p>
          <w:p>
            <w:pPr>
              <w:pStyle w:val="ListParagraph"/>
              <w:widowControl w:val="false"/>
              <w:numPr>
                <w:ilvl w:val="2"/>
                <w:numId w:val="19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12.1.030-81 Электробезопасность. Защитное заземление, зануление.</w:t>
            </w:r>
          </w:p>
          <w:p>
            <w:pPr>
              <w:pStyle w:val="ListParagraph"/>
              <w:widowControl w:val="false"/>
              <w:numPr>
                <w:ilvl w:val="2"/>
                <w:numId w:val="19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14254-96 (МЭК 529-89) Степени защиты, обеспечиваемые оболочками (код IP).</w:t>
            </w:r>
          </w:p>
          <w:p>
            <w:pPr>
              <w:pStyle w:val="ListParagraph"/>
              <w:widowControl w:val="false"/>
              <w:numPr>
                <w:ilvl w:val="2"/>
                <w:numId w:val="19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Р 50462-2009 Идентификация проводников посредством цветов и буквенно-цифровых обозначений.</w:t>
            </w:r>
          </w:p>
          <w:p>
            <w:pPr>
              <w:pStyle w:val="ListParagraph"/>
              <w:widowControl w:val="false"/>
              <w:numPr>
                <w:ilvl w:val="2"/>
                <w:numId w:val="19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25861-83 Машины вычислительные и системы обработки данных. Требования по электрической и механической безопасности и методы испытаний.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При эксплуатации РЩУ программными и аппаратными средствами должно быть обеспечено надежное отключение оборудования при возникновении нештатных ситуаций.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При подготовке рабочего места, установке ПТК, проведении испытаний, наладочных и ремонтных работ должны быть соблюдены требования:</w:t>
            </w:r>
          </w:p>
          <w:p>
            <w:pPr>
              <w:pStyle w:val="ListParagraph"/>
              <w:widowControl w:val="false"/>
              <w:numPr>
                <w:ilvl w:val="2"/>
                <w:numId w:val="20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РД 153-34.0-03.301-00 Правила пожарной безопасности для энергетических предприятий Российской Федерации.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Оборудование ПТК должно иметь маркировку сигнальными цветами и знаками безопасности по ГОСТ 12.4.026-2015 «Межгосударственный стандарт. Система стандартов безопасности труда. Цвета сигнальные, знаки безопасности и разметка сигнальная. Назначение и правила применения. Общие технические требования и характеристики. Методы испытаний.»</w:t>
            </w:r>
          </w:p>
        </w:tc>
      </w:tr>
      <w:tr>
        <w:trPr/>
        <w:tc>
          <w:tcPr>
            <w:tcW w:w="885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Требования к электробезопасности</w:t>
            </w:r>
          </w:p>
        </w:tc>
        <w:tc>
          <w:tcPr>
            <w:tcW w:w="12287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По условиям электробезопасности РЩУ должны относиться к электроустановкам с напряжением до 1000 В.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В соответствии с ГОСТ 12.2.007.0-75 «Система стандартов безопасности труда. Изделия электротехнические. Общие требования безопасности.» ПТК должны относится к 1 классу по способу защиты человека от поражения электрическим током.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Все внешние элементы технических средств РЩУ, находящихся под напряжением, должны быть защищены от случайного прикосновения к ним обслуживающего персонала.</w:t>
            </w:r>
          </w:p>
        </w:tc>
      </w:tr>
      <w:tr>
        <w:trPr/>
        <w:tc>
          <w:tcPr>
            <w:tcW w:w="885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Требования к заземлению</w:t>
            </w:r>
          </w:p>
        </w:tc>
        <w:tc>
          <w:tcPr>
            <w:tcW w:w="12287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Все металлические части электроустановок, корпуса электрооборудования и металлоконструкций, которые могут оказаться под напряжением, подлежат заземлению. Устройства РЩУ должны иметь приспособления для подключения к заземляющему контуру (устройство защитного заземления, минимальный диаметр болта заземления – М5, минимальный диаметр площадки – 14 мм.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Сопротивление заземления средств вычислительной техники и промышленных контроллеров, относительно болта заземления, к которому подключается шина заземления, проложенная в помещении, не должно превышать 0,1 Ом.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Сопротивление изоляции цепей ПТК относительно корпуса и между собой должно выдерживать в течение одной минуты при нормальных условиях испытательное напряжение:</w:t>
            </w:r>
          </w:p>
          <w:p>
            <w:pPr>
              <w:pStyle w:val="ListParagraph"/>
              <w:widowControl w:val="false"/>
              <w:numPr>
                <w:ilvl w:val="2"/>
                <w:numId w:val="21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В цепях до 40 В - 250 В частоты 50 Гц.</w:t>
            </w:r>
          </w:p>
          <w:p>
            <w:pPr>
              <w:pStyle w:val="ListParagraph"/>
              <w:widowControl w:val="false"/>
              <w:numPr>
                <w:ilvl w:val="2"/>
                <w:numId w:val="21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В цепях свыше 100 В - 1000 В частоты 50 Гц.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Электрическое сопротивление изоляции цепей РЩУ относительно корпуса и друг друга при нормальных условиях должно быть не менее 100 МОм.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uppressAutoHyphens w:val="true"/>
              <w:spacing w:before="60" w:after="60"/>
              <w:ind w:left="24" w:right="32" w:hanging="0"/>
              <w:contextualSpacing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конструкции, изготовлению и материалам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iCs/>
                <w:kern w:val="0"/>
                <w:sz w:val="24"/>
                <w:szCs w:val="24"/>
                <w:lang w:val="ru-RU" w:eastAsia="ru-RU" w:bidi="ar-SA"/>
              </w:rPr>
              <w:t>Контроль качества используемых комплектующих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jc w:val="both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Подрядчик должен обеспечить входной контроль используемых материалов и запасных частей, включающий в себя проверку: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Наличия сертификатов для комплектующих, включенных в Единый перечень продукции, подлежащей обязательной сертификации или деклараций для комплектующих включенных в Единый перечень продукции, подлежащей декларированию соответствия, утвержденные Правительством Российской Федерации на период действия договора.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продукции.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Наличия маркировки, сохранности упаковки, наличия и сохранности защитных и окрасочных покрытий и т.п.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Комплектности поставляемых материалов.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Требования к используемым запасным частям и материалам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ListParagraph"/>
              <w:widowControl w:val="false"/>
              <w:tabs>
                <w:tab w:val="clear" w:pos="708"/>
                <w:tab w:val="left" w:pos="175" w:leader="none"/>
                <w:tab w:val="left" w:pos="1416" w:leader="none"/>
              </w:tabs>
              <w:suppressAutoHyphens w:val="true"/>
              <w:spacing w:before="60" w:after="60"/>
              <w:ind w:left="0" w:hanging="0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Все поставляемые и применяемые комплектующие, запасные части и материалы должны быть новыми и не использованными ранее.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Контроль качества используемых запасных частей и материалов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Подрядчик должен обеспечить входной контроль поступающих материалов и запасных частей, включающий в себя проверку: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продукции.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Наличия маркировки, сохранности упаковки, наличия и сохранности защитных и окрасочных покрытий и т.п.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Комплектности поставляемых материалов.</w:t>
            </w:r>
          </w:p>
        </w:tc>
      </w:tr>
      <w:tr>
        <w:trPr/>
        <w:tc>
          <w:tcPr>
            <w:tcW w:w="885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>
              <w:top w:val="nil"/>
            </w:tcBorders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iCs/>
                <w:kern w:val="0"/>
                <w:sz w:val="24"/>
                <w:szCs w:val="24"/>
                <w:lang w:val="ru-RU" w:eastAsia="ru-RU" w:bidi="ar-SA"/>
              </w:rPr>
              <w:t>Требования к маркировке электроустановочного оборудования</w:t>
            </w:r>
          </w:p>
        </w:tc>
        <w:tc>
          <w:tcPr>
            <w:tcW w:w="12287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На все установленное в РЩУ оборудование должна быть нанесена маркировка в соответствии с разработанной конструкторской документацией</w:t>
            </w:r>
            <w:r>
              <w:rPr>
                <w:rFonts w:cs="Times New Roman"/>
                <w:color w:val="FF0000"/>
                <w:kern w:val="0"/>
                <w:lang w:val="ru-RU" w:eastAsia="ru-RU" w:bidi="ar-SA"/>
              </w:rPr>
              <w:t>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Маркировка оборудования должна производится маркировочными приспособлениями. Рукописная маркировка зажимов не допускается.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uppressAutoHyphens w:val="true"/>
              <w:spacing w:before="60" w:after="60"/>
              <w:ind w:left="24" w:right="32" w:hanging="0"/>
              <w:contextualSpacing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климатическому исполнению и стойкости к воздействующим климатическим факторам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Общие требования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ГОСТ 15150-69 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Виды климатических исполнений и категорий размещения шкафов, предназначенных для районов с умеренным климатом — УХЛ3.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uppressAutoHyphens w:val="true"/>
              <w:spacing w:before="60" w:after="60"/>
              <w:ind w:left="24" w:right="32" w:hanging="0"/>
              <w:contextualSpacing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доставке, маркировке, упаковке, транспортировке, перемещению, условиям хранения, приемке</w:t>
            </w:r>
          </w:p>
        </w:tc>
      </w:tr>
      <w:tr>
        <w:trPr/>
        <w:tc>
          <w:tcPr>
            <w:tcW w:w="885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Место поставки</w:t>
            </w:r>
          </w:p>
        </w:tc>
        <w:tc>
          <w:tcPr>
            <w:tcW w:w="12287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 xml:space="preserve">Российская Федерация, </w:t>
            </w:r>
            <w:r>
              <w:rPr>
                <w:rFonts w:eastAsia="Calibri" w:cs="Times New Roman"/>
                <w:iCs/>
                <w:kern w:val="0"/>
                <w:sz w:val="24"/>
                <w:szCs w:val="24"/>
                <w:lang w:val="ru-RU" w:eastAsia="ru-RU" w:bidi="ar-SA"/>
              </w:rPr>
              <w:t xml:space="preserve">Карачаево-Черкесская Республика, Прикубанский район, с. Водораздельное </w:t>
            </w:r>
          </w:p>
        </w:tc>
      </w:tr>
      <w:tr>
        <w:trPr/>
        <w:tc>
          <w:tcPr>
            <w:tcW w:w="885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>
              <w:top w:val="nil"/>
              <w:right w:val="nil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Объем поставки оборудования</w:t>
            </w:r>
          </w:p>
        </w:tc>
        <w:tc>
          <w:tcPr>
            <w:tcW w:w="12287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color w:val="000000"/>
              </w:rPr>
            </w:pPr>
            <w:r>
              <w:rPr>
                <w:rFonts w:eastAsia="Calibri" w:cs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 соответствии с разработанной конструкторской документацией.</w:t>
            </w:r>
          </w:p>
        </w:tc>
      </w:tr>
      <w:tr>
        <w:trPr/>
        <w:tc>
          <w:tcPr>
            <w:tcW w:w="885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>
              <w:top w:val="nil"/>
              <w:right w:val="nil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Входной контроль при поставке</w:t>
            </w:r>
          </w:p>
        </w:tc>
        <w:tc>
          <w:tcPr>
            <w:tcW w:w="12287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Подрядчик обязан предварительно официальным письмом уведомить Заказчика о дате поставки и данных транспортного средства для организации допуска на территорию ГАЭС ККГЭС.</w:t>
            </w:r>
          </w:p>
        </w:tc>
      </w:tr>
      <w:tr>
        <w:trPr/>
        <w:tc>
          <w:tcPr>
            <w:tcW w:w="885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>
              <w:top w:val="nil"/>
              <w:right w:val="nil"/>
            </w:tcBorders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true"/>
              <w:spacing w:before="60" w:after="6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Условия доставки</w:t>
            </w:r>
          </w:p>
        </w:tc>
        <w:tc>
          <w:tcPr>
            <w:tcW w:w="12287" w:type="dxa"/>
            <w:tcBorders>
              <w:top w:val="nil"/>
            </w:tcBorders>
            <w:vAlign w:val="cente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Комплектация оборудования, транспортировка, контроль состояния продукции в процессе транспортировки, погрузка – разгрузка, контроль состояния продукции при погрузочно-разгрузочных работах, входной контроль при поставке, размещение на складе Заказчика выполняются силами и за счет средств Подрядчик.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Габаритный груз должен быть в заводской упаковке, без механического воздействия на упаковку.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uppressAutoHyphens w:val="true"/>
              <w:spacing w:before="60" w:after="60"/>
              <w:ind w:left="24" w:right="32" w:hanging="0"/>
              <w:contextualSpacing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эксплуатации, обеспечению и утилизации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Назначенный срок службы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Должен составлять не менее 10 лет.</w:t>
            </w:r>
          </w:p>
        </w:tc>
      </w:tr>
      <w:tr>
        <w:trPr/>
        <w:tc>
          <w:tcPr>
            <w:tcW w:w="885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>
              <w:top w:val="nil"/>
            </w:tcBorders>
            <w:shd w:color="auto" w:fill="auto" w:val="clear"/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Требования к техническому обеспечению</w:t>
            </w:r>
          </w:p>
        </w:tc>
        <w:tc>
          <w:tcPr>
            <w:tcW w:w="12287" w:type="dxa"/>
            <w:tcBorders>
              <w:top w:val="nil"/>
            </w:tcBorders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ind w:left="885" w:hanging="885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Подвод кабелей осуществляется с нижней части шкафа через сальниковые вводы с подключением жил на клеммные ряды зажимов.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ind w:left="885" w:hanging="885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Внутренняя кабельная разводка в шкафах проходит по желобам обеспечивая легкий доступ к ней.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ind w:left="885" w:hanging="885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Сечение и цвет используемых проводов должен соответствовать действующим нормам и ГОСТ Р 50462 «Идентификация проводников по цветам или цифровым обозначениям».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ind w:left="885" w:hanging="885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Внутренняя кабельная разводка должна иметь маркировку термоусадочными трубками с печатной буквенной и цифровой информацией.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tabs>
                <w:tab w:val="clear" w:pos="708"/>
                <w:tab w:val="left" w:pos="426" w:leader="none"/>
              </w:tabs>
              <w:suppressAutoHyphens w:val="false"/>
              <w:spacing w:before="60" w:after="60"/>
              <w:ind w:left="885" w:hanging="885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  <w:t>Обозначение монтажных элементов должно производиться посредством наклеивания бирок на акриловой основе.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uppressAutoHyphens w:val="true"/>
              <w:spacing w:before="60" w:after="60"/>
              <w:ind w:left="24" w:right="32" w:hanging="0"/>
              <w:contextualSpacing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гарантиям, гарантийному и послегарантийному обслуживанию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Сроки гарантии</w:t>
            </w:r>
          </w:p>
        </w:tc>
        <w:tc>
          <w:tcPr>
            <w:tcW w:w="12287" w:type="dxa"/>
            <w:tcBorders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Гарантийные обязательства на все поставляемое оборудование действуют в течение 36 месяца с даты ввода оборудования в промышленную эксплуатацию, но не более 48 месяцев с даты поставки оборудования.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Срок использования программного продукта и сертификатов технической поддержки должен соответствовать рабочей документации.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uppressAutoHyphens w:val="true"/>
              <w:spacing w:before="60" w:after="60"/>
              <w:ind w:left="24" w:right="32" w:hanging="0"/>
              <w:contextualSpacing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Требования к комплектации и документам, поставляемым вместе с продукцией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Документы, передаваемые вместе с оборудованием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Подрядчик обязан одновременно с передачей оборудования передать Заказчику в следующих формах:</w:t>
            </w:r>
          </w:p>
          <w:tbl>
            <w:tblPr>
              <w:tblStyle w:val="affffd"/>
              <w:tblW w:w="11178" w:type="dxa"/>
              <w:jc w:val="left"/>
              <w:tblInd w:w="765" w:type="dxa"/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  <w:tblLook w:val="04a0" w:noHBand="0" w:noVBand="1" w:firstColumn="1" w:lastRow="0" w:lastColumn="0" w:firstRow="1"/>
            </w:tblPr>
            <w:tblGrid>
              <w:gridCol w:w="545"/>
              <w:gridCol w:w="4071"/>
              <w:gridCol w:w="3321"/>
              <w:gridCol w:w="1063"/>
              <w:gridCol w:w="1281"/>
              <w:gridCol w:w="896"/>
            </w:tblGrid>
            <w:tr>
              <w:trPr/>
              <w:tc>
                <w:tcPr>
                  <w:tcW w:w="545" w:type="dxa"/>
                  <w:vMerge w:val="restart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rFonts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 xml:space="preserve">№ </w:t>
                  </w:r>
                  <w:r>
                    <w:rPr>
                      <w:rFonts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п/п</w:t>
                  </w:r>
                </w:p>
              </w:tc>
              <w:tc>
                <w:tcPr>
                  <w:tcW w:w="4071" w:type="dxa"/>
                  <w:vMerge w:val="restart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rFonts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Вид документа</w:t>
                  </w:r>
                </w:p>
              </w:tc>
              <w:tc>
                <w:tcPr>
                  <w:tcW w:w="6561" w:type="dxa"/>
                  <w:gridSpan w:val="4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rFonts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Форма</w:t>
                  </w:r>
                </w:p>
              </w:tc>
            </w:tr>
            <w:tr>
              <w:trPr/>
              <w:tc>
                <w:tcPr>
                  <w:tcW w:w="545" w:type="dxa"/>
                  <w:vMerge w:val="continue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</w:r>
                </w:p>
              </w:tc>
              <w:tc>
                <w:tcPr>
                  <w:tcW w:w="4071" w:type="dxa"/>
                  <w:vMerge w:val="continue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</w:r>
                </w:p>
              </w:tc>
              <w:tc>
                <w:tcPr>
                  <w:tcW w:w="4384" w:type="dxa"/>
                  <w:gridSpan w:val="2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rFonts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Электронный вид</w:t>
                    <w:br/>
                    <w:t>на CD</w:t>
                  </w:r>
                </w:p>
              </w:tc>
              <w:tc>
                <w:tcPr>
                  <w:tcW w:w="2177" w:type="dxa"/>
                  <w:gridSpan w:val="2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rFonts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Бумажный вид</w:t>
                    <w:br/>
                    <w:t>в твердой копия</w:t>
                  </w:r>
                </w:p>
              </w:tc>
            </w:tr>
            <w:tr>
              <w:trPr>
                <w:trHeight w:val="64" w:hRule="atLeast"/>
              </w:trPr>
              <w:tc>
                <w:tcPr>
                  <w:tcW w:w="545" w:type="dxa"/>
                  <w:vMerge w:val="continue"/>
                  <w:tcBorders/>
                </w:tcPr>
                <w:p>
                  <w:pPr>
                    <w:pStyle w:val="Normal"/>
                    <w:widowControl w:val="false"/>
                    <w:tabs>
                      <w:tab w:val="clear" w:pos="708"/>
                      <w:tab w:val="left" w:pos="0" w:leader="none"/>
                    </w:tabs>
                    <w:suppressAutoHyphens w:val="true"/>
                    <w:spacing w:before="60" w:after="60"/>
                    <w:jc w:val="left"/>
                    <w:rPr>
                      <w:b/>
                    </w:rPr>
                  </w:pPr>
                  <w:r>
                    <w:rPr>
                      <w:b/>
                    </w:rPr>
                  </w:r>
                </w:p>
              </w:tc>
              <w:tc>
                <w:tcPr>
                  <w:tcW w:w="4071" w:type="dxa"/>
                  <w:vMerge w:val="continue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</w:r>
                </w:p>
              </w:tc>
              <w:tc>
                <w:tcPr>
                  <w:tcW w:w="332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rFonts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Формат</w:t>
                  </w:r>
                </w:p>
              </w:tc>
              <w:tc>
                <w:tcPr>
                  <w:tcW w:w="1063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rFonts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Кол-во</w:t>
                  </w:r>
                </w:p>
              </w:tc>
              <w:tc>
                <w:tcPr>
                  <w:tcW w:w="128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rFonts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Формат</w:t>
                  </w:r>
                </w:p>
              </w:tc>
              <w:tc>
                <w:tcPr>
                  <w:tcW w:w="896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rFonts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Кол-во</w:t>
                  </w:r>
                </w:p>
              </w:tc>
            </w:tr>
            <w:tr>
              <w:trPr>
                <w:trHeight w:val="428" w:hRule="atLeast"/>
              </w:trPr>
              <w:tc>
                <w:tcPr>
                  <w:tcW w:w="545" w:type="dxa"/>
                  <w:tcBorders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7"/>
                    </w:numPr>
                    <w:tabs>
                      <w:tab w:val="clear" w:pos="708"/>
                      <w:tab w:val="left" w:pos="0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</w:tc>
              <w:tc>
                <w:tcPr>
                  <w:tcW w:w="407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Текстовые документы</w:t>
                  </w:r>
                </w:p>
              </w:tc>
              <w:tc>
                <w:tcPr>
                  <w:tcW w:w="332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t>*.doc, *.doc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х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t>, *.txt, *.odt,</w:t>
                  </w:r>
                  <w:r>
                    <w:rPr>
                      <w:rFonts w:eastAsia="Calibri" w:cs="Times New Roman" w:eastAsiaTheme="minorHAnsi"/>
                      <w:kern w:val="0"/>
                      <w:sz w:val="22"/>
                      <w:szCs w:val="22"/>
                      <w:lang w:val="en-US" w:eastAsia="en-US" w:bidi="ar-SA"/>
                    </w:rPr>
                    <w:t xml:space="preserve"> 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t>*.xodt, *.pdf</w:t>
                  </w:r>
                </w:p>
              </w:tc>
              <w:tc>
                <w:tcPr>
                  <w:tcW w:w="1063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1 экз.</w:t>
                  </w:r>
                </w:p>
              </w:tc>
              <w:tc>
                <w:tcPr>
                  <w:tcW w:w="128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А4</w:t>
                  </w:r>
                </w:p>
              </w:tc>
              <w:tc>
                <w:tcPr>
                  <w:tcW w:w="896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3 экз.</w:t>
                  </w:r>
                </w:p>
              </w:tc>
            </w:tr>
            <w:tr>
              <w:trPr>
                <w:trHeight w:val="70" w:hRule="atLeast"/>
              </w:trPr>
              <w:tc>
                <w:tcPr>
                  <w:tcW w:w="545" w:type="dxa"/>
                  <w:tcBorders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7"/>
                    </w:numPr>
                    <w:tabs>
                      <w:tab w:val="clear" w:pos="708"/>
                      <w:tab w:val="left" w:pos="0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</w:tc>
              <w:tc>
                <w:tcPr>
                  <w:tcW w:w="407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Табличные формы</w:t>
                  </w:r>
                </w:p>
              </w:tc>
              <w:tc>
                <w:tcPr>
                  <w:tcW w:w="332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 xml:space="preserve">*. 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t>xls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 xml:space="preserve">, *. 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t>xlsx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 xml:space="preserve">, *. 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t>ods</w:t>
                  </w:r>
                </w:p>
              </w:tc>
              <w:tc>
                <w:tcPr>
                  <w:tcW w:w="1063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1 экз.</w:t>
                  </w:r>
                </w:p>
              </w:tc>
              <w:tc>
                <w:tcPr>
                  <w:tcW w:w="128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А4, А3</w:t>
                  </w:r>
                </w:p>
              </w:tc>
              <w:tc>
                <w:tcPr>
                  <w:tcW w:w="896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3 экз.</w:t>
                  </w:r>
                </w:p>
              </w:tc>
            </w:tr>
            <w:tr>
              <w:trPr/>
              <w:tc>
                <w:tcPr>
                  <w:tcW w:w="545" w:type="dxa"/>
                  <w:tcBorders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7"/>
                    </w:numPr>
                    <w:tabs>
                      <w:tab w:val="clear" w:pos="708"/>
                      <w:tab w:val="left" w:pos="0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</w:tc>
              <w:tc>
                <w:tcPr>
                  <w:tcW w:w="407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Чертежи</w:t>
                  </w:r>
                </w:p>
              </w:tc>
              <w:tc>
                <w:tcPr>
                  <w:tcW w:w="332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*. dwg, *.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t>pdf</w:t>
                  </w:r>
                </w:p>
              </w:tc>
              <w:tc>
                <w:tcPr>
                  <w:tcW w:w="1063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1 экз.</w:t>
                  </w:r>
                </w:p>
              </w:tc>
              <w:tc>
                <w:tcPr>
                  <w:tcW w:w="128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А4, А3, А2</w:t>
                  </w:r>
                </w:p>
              </w:tc>
              <w:tc>
                <w:tcPr>
                  <w:tcW w:w="896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3 экз.</w:t>
                  </w:r>
                </w:p>
              </w:tc>
            </w:tr>
            <w:tr>
              <w:trPr/>
              <w:tc>
                <w:tcPr>
                  <w:tcW w:w="545" w:type="dxa"/>
                  <w:tcBorders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7"/>
                    </w:numPr>
                    <w:tabs>
                      <w:tab w:val="clear" w:pos="708"/>
                      <w:tab w:val="left" w:pos="0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</w:tc>
              <w:tc>
                <w:tcPr>
                  <w:tcW w:w="407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Презентационные материалы</w:t>
                  </w:r>
                </w:p>
              </w:tc>
              <w:tc>
                <w:tcPr>
                  <w:tcW w:w="332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t>*.pptx, *.ppsx, *.potm, *.potm, *.pptm</w:t>
                  </w:r>
                </w:p>
              </w:tc>
              <w:tc>
                <w:tcPr>
                  <w:tcW w:w="1063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1 экз.</w:t>
                  </w:r>
                </w:p>
              </w:tc>
              <w:tc>
                <w:tcPr>
                  <w:tcW w:w="128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А4</w:t>
                  </w:r>
                </w:p>
              </w:tc>
              <w:tc>
                <w:tcPr>
                  <w:tcW w:w="896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3 экз.</w:t>
                  </w:r>
                </w:p>
              </w:tc>
            </w:tr>
            <w:tr>
              <w:trPr/>
              <w:tc>
                <w:tcPr>
                  <w:tcW w:w="545" w:type="dxa"/>
                  <w:tcBorders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7"/>
                    </w:numPr>
                    <w:tabs>
                      <w:tab w:val="clear" w:pos="708"/>
                      <w:tab w:val="left" w:pos="0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</w:r>
                </w:p>
              </w:tc>
              <w:tc>
                <w:tcPr>
                  <w:tcW w:w="407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both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Графики выполнения мероприятий</w:t>
                  </w:r>
                  <w:r>
                    <w:rPr>
                      <w:rStyle w:val="FootnoteReference"/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footnoteReference w:id="4"/>
                  </w:r>
                </w:p>
              </w:tc>
              <w:tc>
                <w:tcPr>
                  <w:tcW w:w="332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*.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t>xer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, *.</w:t>
                  </w:r>
                  <w:r>
                    <w:rPr>
                      <w:rFonts w:cs="Times New Roman"/>
                      <w:kern w:val="0"/>
                      <w:sz w:val="22"/>
                      <w:szCs w:val="22"/>
                      <w:lang w:val="en-US" w:eastAsia="ru-RU" w:bidi="ar-SA"/>
                    </w:rPr>
                    <w:t>xml</w:t>
                  </w:r>
                </w:p>
              </w:tc>
              <w:tc>
                <w:tcPr>
                  <w:tcW w:w="1063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1 экз.</w:t>
                  </w:r>
                </w:p>
              </w:tc>
              <w:tc>
                <w:tcPr>
                  <w:tcW w:w="1281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А4, А3</w:t>
                  </w:r>
                </w:p>
              </w:tc>
              <w:tc>
                <w:tcPr>
                  <w:tcW w:w="896" w:type="dxa"/>
                  <w:tcBorders/>
                </w:tcPr>
                <w:p>
                  <w:pPr>
                    <w:pStyle w:val="ListParagraph"/>
                    <w:widowControl w:val="false"/>
                    <w:tabs>
                      <w:tab w:val="clear" w:pos="708"/>
                      <w:tab w:val="left" w:pos="996" w:leader="none"/>
                    </w:tabs>
                    <w:suppressAutoHyphens w:val="true"/>
                    <w:spacing w:before="60" w:after="60"/>
                    <w:ind w:left="0" w:hanging="0"/>
                    <w:contextualSpacing w:val="false"/>
                    <w:jc w:val="left"/>
                    <w:rPr>
                      <w:sz w:val="22"/>
                      <w:szCs w:val="22"/>
                    </w:rPr>
                  </w:pPr>
                  <w:r>
                    <w:rPr>
                      <w:rFonts w:cs="Times New Roman"/>
                      <w:kern w:val="0"/>
                      <w:sz w:val="22"/>
                      <w:szCs w:val="22"/>
                      <w:lang w:val="ru-RU" w:eastAsia="ru-RU" w:bidi="ar-SA"/>
                    </w:rPr>
                    <w:t>3 экз.</w:t>
                  </w:r>
                </w:p>
              </w:tc>
            </w:tr>
          </w:tbl>
          <w:p>
            <w:pPr>
              <w:pStyle w:val="Normal"/>
              <w:widowControl w:val="false"/>
              <w:numPr>
                <w:ilvl w:val="3"/>
                <w:numId w:val="18"/>
              </w:numPr>
              <w:suppressAutoHyphens w:val="false"/>
              <w:spacing w:before="60" w:after="60"/>
              <w:ind w:left="2011" w:hanging="540"/>
              <w:jc w:val="both"/>
              <w:rPr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Пофайловое разделение страниц отдельных томов (книг) документации в электронном виде документов не допускается.</w:t>
            </w:r>
          </w:p>
          <w:p>
            <w:pPr>
              <w:pStyle w:val="Normal"/>
              <w:widowControl w:val="false"/>
              <w:numPr>
                <w:ilvl w:val="3"/>
                <w:numId w:val="18"/>
              </w:numPr>
              <w:suppressAutoHyphens w:val="false"/>
              <w:spacing w:before="60" w:after="60"/>
              <w:ind w:left="2011" w:hanging="540"/>
              <w:jc w:val="both"/>
              <w:rPr>
                <w:rFonts w:eastAsia="Calibri"/>
                <w:sz w:val="24"/>
                <w:szCs w:val="24"/>
              </w:rPr>
            </w:pPr>
            <w:bookmarkStart w:id="32" w:name="_Toc207088713"/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Твердая копия представляется сброшюрованном виде, оформленном в соответствии с требованиями раздела 8 ГОСТ Р 21.1101-2013 «Основные требования к проектной и рабочей документации»</w:t>
            </w:r>
            <w:bookmarkEnd w:id="32"/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.</w:t>
            </w:r>
          </w:p>
          <w:p>
            <w:pPr>
              <w:pStyle w:val="Normal"/>
              <w:widowControl w:val="false"/>
              <w:suppressAutoHyphens w:val="false"/>
              <w:spacing w:before="60" w:after="60"/>
              <w:ind w:left="851" w:hanging="0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 w:cs="Times New Roman"/>
                <w:kern w:val="0"/>
                <w:sz w:val="24"/>
                <w:szCs w:val="24"/>
                <w:lang w:val="ru-RU" w:eastAsia="ru-RU" w:bidi="ar-SA"/>
              </w:rPr>
              <w:t>относящиеся к оборудованию, оформленные надлежащим образом на русском языке следующие документы:</w:t>
            </w:r>
          </w:p>
          <w:tbl>
            <w:tblPr>
              <w:tblStyle w:val="affffd"/>
              <w:tblW w:w="11234" w:type="dxa"/>
              <w:jc w:val="left"/>
              <w:tblInd w:w="709" w:type="dxa"/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  <w:tblLook w:val="04a0" w:noHBand="0" w:noVBand="1" w:firstColumn="1" w:lastRow="0" w:lastColumn="0" w:firstRow="1"/>
            </w:tblPr>
            <w:tblGrid>
              <w:gridCol w:w="614"/>
              <w:gridCol w:w="10619"/>
            </w:tblGrid>
            <w:tr>
              <w:trPr/>
              <w:tc>
                <w:tcPr>
                  <w:tcW w:w="614" w:type="dxa"/>
                  <w:tcBorders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center"/>
                    <w:rPr>
                      <w:rFonts w:eastAsia="Calibri"/>
                      <w:b/>
                      <w:sz w:val="20"/>
                      <w:szCs w:val="20"/>
                    </w:rPr>
                  </w:pPr>
                  <w:r>
                    <w:rPr>
                      <w:rFonts w:eastAsia="Times New Roman"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 xml:space="preserve">№ </w:t>
                  </w:r>
                  <w:r>
                    <w:rPr>
                      <w:rFonts w:eastAsia="Times New Roman"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п/п</w:t>
                  </w:r>
                </w:p>
              </w:tc>
              <w:tc>
                <w:tcPr>
                  <w:tcW w:w="10619" w:type="dxa"/>
                  <w:tcBorders/>
                  <w:shd w:color="auto" w:fill="auto" w:val="clear"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center"/>
                    <w:rPr>
                      <w:rFonts w:eastAsia="Calibri"/>
                      <w:b/>
                      <w:sz w:val="20"/>
                      <w:szCs w:val="20"/>
                    </w:rPr>
                  </w:pPr>
                  <w:r>
                    <w:rPr>
                      <w:rFonts w:eastAsia="Calibri" w:cs="Times New Roman"/>
                      <w:b/>
                      <w:kern w:val="0"/>
                      <w:sz w:val="20"/>
                      <w:szCs w:val="20"/>
                      <w:lang w:val="ru-RU" w:eastAsia="ru-RU" w:bidi="ar-SA"/>
                    </w:rPr>
                    <w:t>Наименование документа</w:t>
                  </w:r>
                </w:p>
              </w:tc>
            </w:tr>
            <w:tr>
              <w:trPr/>
              <w:tc>
                <w:tcPr>
                  <w:tcW w:w="614" w:type="dxa"/>
                  <w:tcBorders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6"/>
                    </w:numPr>
                    <w:tabs>
                      <w:tab w:val="clear" w:pos="708"/>
                      <w:tab w:val="left" w:pos="305" w:leader="none"/>
                    </w:tabs>
                    <w:suppressAutoHyphens w:val="false"/>
                    <w:spacing w:before="60" w:after="60"/>
                    <w:ind w:left="720" w:hanging="120"/>
                    <w:contextualSpacing w:val="false"/>
                    <w:jc w:val="center"/>
                    <w:rPr>
                      <w:rFonts w:ascii="Times New Roman" w:hAnsi="Times New Roman" w:cs="Times New Roman"/>
                      <w:kern w:val="0"/>
                      <w:lang w:val="ru-RU" w:eastAsia="ru-RU" w:bidi="ar-SA"/>
                    </w:rPr>
                  </w:pPr>
                  <w:r>
                    <w:rPr>
                      <w:rFonts w:cs="Times New Roman"/>
                      <w:kern w:val="0"/>
                      <w:lang w:val="ru-RU" w:eastAsia="ru-RU" w:bidi="ar-SA"/>
                    </w:rPr>
                  </w:r>
                </w:p>
              </w:tc>
              <w:tc>
                <w:tcPr>
                  <w:tcW w:w="10619" w:type="dxa"/>
                  <w:tcBorders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both"/>
                    <w:rPr>
                      <w:rFonts w:eastAsia="Calibri"/>
                      <w:sz w:val="24"/>
                      <w:szCs w:val="24"/>
                    </w:rPr>
                  </w:pPr>
                  <w:r>
                    <w:rPr>
                      <w:rFonts w:eastAsia="Times New Roman" w:cs="Times New Roman"/>
                      <w:bCs/>
                      <w:kern w:val="0"/>
                      <w:sz w:val="24"/>
                      <w:szCs w:val="24"/>
                      <w:lang w:val="ru-RU" w:eastAsia="ru-RU" w:bidi="ar-SA"/>
                    </w:rPr>
                    <w:t>Сертификаты качества</w:t>
                  </w: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ru-RU" w:bidi="ar-SA"/>
                    </w:rPr>
                    <w:t xml:space="preserve"> на компоненты</w:t>
                  </w:r>
                </w:p>
              </w:tc>
            </w:tr>
            <w:tr>
              <w:trPr/>
              <w:tc>
                <w:tcPr>
                  <w:tcW w:w="6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6"/>
                    </w:numPr>
                    <w:tabs>
                      <w:tab w:val="clear" w:pos="708"/>
                      <w:tab w:val="left" w:pos="305" w:leader="none"/>
                    </w:tabs>
                    <w:suppressAutoHyphens w:val="false"/>
                    <w:spacing w:before="60" w:after="60"/>
                    <w:ind w:left="720" w:hanging="120"/>
                    <w:contextualSpacing w:val="false"/>
                    <w:jc w:val="center"/>
                    <w:rPr>
                      <w:rFonts w:ascii="Times New Roman" w:hAnsi="Times New Roman" w:cs="Times New Roman"/>
                      <w:kern w:val="0"/>
                      <w:lang w:val="ru-RU" w:eastAsia="ru-RU" w:bidi="ar-SA"/>
                    </w:rPr>
                  </w:pPr>
                  <w:r>
                    <w:rPr>
                      <w:rFonts w:cs="Times New Roman"/>
                      <w:kern w:val="0"/>
                      <w:lang w:val="ru-RU" w:eastAsia="ru-RU" w:bidi="ar-SA"/>
                    </w:rPr>
                  </w:r>
                </w:p>
              </w:tc>
              <w:tc>
                <w:tcPr>
                  <w:tcW w:w="106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both"/>
                    <w:rPr>
                      <w:rFonts w:eastAsia="Calibri"/>
                      <w:sz w:val="24"/>
                      <w:szCs w:val="24"/>
                    </w:rPr>
                  </w:pP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ru-RU" w:bidi="ar-SA"/>
                    </w:rPr>
                    <w:t>Технические паспорта на компоненты и изделия на русском языке</w:t>
                  </w:r>
                </w:p>
              </w:tc>
            </w:tr>
            <w:tr>
              <w:trPr/>
              <w:tc>
                <w:tcPr>
                  <w:tcW w:w="6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6"/>
                    </w:numPr>
                    <w:tabs>
                      <w:tab w:val="clear" w:pos="708"/>
                      <w:tab w:val="left" w:pos="305" w:leader="none"/>
                    </w:tabs>
                    <w:suppressAutoHyphens w:val="false"/>
                    <w:spacing w:before="60" w:after="60"/>
                    <w:ind w:left="720" w:hanging="120"/>
                    <w:contextualSpacing w:val="false"/>
                    <w:jc w:val="center"/>
                    <w:rPr>
                      <w:rFonts w:ascii="Times New Roman" w:hAnsi="Times New Roman" w:cs="Times New Roman"/>
                      <w:kern w:val="0"/>
                      <w:lang w:val="ru-RU" w:eastAsia="ru-RU" w:bidi="ar-SA"/>
                    </w:rPr>
                  </w:pPr>
                  <w:r>
                    <w:rPr>
                      <w:rFonts w:cs="Times New Roman"/>
                      <w:kern w:val="0"/>
                      <w:lang w:val="ru-RU" w:eastAsia="ru-RU" w:bidi="ar-SA"/>
                    </w:rPr>
                  </w:r>
                </w:p>
              </w:tc>
              <w:tc>
                <w:tcPr>
                  <w:tcW w:w="106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both"/>
                    <w:rPr>
                      <w:rFonts w:eastAsia="Calibri"/>
                      <w:sz w:val="24"/>
                      <w:szCs w:val="24"/>
                    </w:rPr>
                  </w:pP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ru-RU" w:bidi="ar-SA"/>
                    </w:rPr>
                    <w:t>Инструкция по эксплуатации на русском языке</w:t>
                  </w:r>
                </w:p>
              </w:tc>
            </w:tr>
            <w:tr>
              <w:trPr/>
              <w:tc>
                <w:tcPr>
                  <w:tcW w:w="6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6"/>
                    </w:numPr>
                    <w:tabs>
                      <w:tab w:val="clear" w:pos="708"/>
                      <w:tab w:val="left" w:pos="305" w:leader="none"/>
                    </w:tabs>
                    <w:suppressAutoHyphens w:val="false"/>
                    <w:spacing w:before="60" w:after="60"/>
                    <w:ind w:left="720" w:hanging="120"/>
                    <w:contextualSpacing w:val="false"/>
                    <w:jc w:val="center"/>
                    <w:rPr>
                      <w:rFonts w:ascii="Times New Roman" w:hAnsi="Times New Roman" w:cs="Times New Roman"/>
                      <w:kern w:val="0"/>
                      <w:lang w:val="ru-RU" w:eastAsia="ru-RU" w:bidi="ar-SA"/>
                    </w:rPr>
                  </w:pPr>
                  <w:r>
                    <w:rPr>
                      <w:rFonts w:cs="Times New Roman"/>
                      <w:kern w:val="0"/>
                      <w:lang w:val="ru-RU" w:eastAsia="ru-RU" w:bidi="ar-SA"/>
                    </w:rPr>
                  </w:r>
                </w:p>
              </w:tc>
              <w:tc>
                <w:tcPr>
                  <w:tcW w:w="106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both"/>
                    <w:rPr>
                      <w:rFonts w:eastAsia="Calibri"/>
                      <w:sz w:val="24"/>
                      <w:szCs w:val="24"/>
                    </w:rPr>
                  </w:pP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ru-RU" w:bidi="ar-SA"/>
                    </w:rPr>
                    <w:t>Инструкция по монтажу</w:t>
                  </w:r>
                </w:p>
              </w:tc>
            </w:tr>
            <w:tr>
              <w:trPr/>
              <w:tc>
                <w:tcPr>
                  <w:tcW w:w="6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6"/>
                    </w:numPr>
                    <w:tabs>
                      <w:tab w:val="clear" w:pos="708"/>
                      <w:tab w:val="left" w:pos="305" w:leader="none"/>
                    </w:tabs>
                    <w:suppressAutoHyphens w:val="false"/>
                    <w:spacing w:before="60" w:after="60"/>
                    <w:ind w:left="720" w:hanging="120"/>
                    <w:contextualSpacing w:val="false"/>
                    <w:jc w:val="center"/>
                    <w:rPr>
                      <w:rFonts w:ascii="Times New Roman" w:hAnsi="Times New Roman" w:cs="Times New Roman"/>
                      <w:kern w:val="0"/>
                      <w:lang w:val="ru-RU" w:eastAsia="ru-RU" w:bidi="ar-SA"/>
                    </w:rPr>
                  </w:pPr>
                  <w:r>
                    <w:rPr>
                      <w:rFonts w:cs="Times New Roman"/>
                      <w:kern w:val="0"/>
                      <w:lang w:val="ru-RU" w:eastAsia="ru-RU" w:bidi="ar-SA"/>
                    </w:rPr>
                  </w:r>
                </w:p>
              </w:tc>
              <w:tc>
                <w:tcPr>
                  <w:tcW w:w="106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both"/>
                    <w:rPr>
                      <w:rFonts w:eastAsia="Calibri"/>
                      <w:sz w:val="24"/>
                      <w:szCs w:val="24"/>
                    </w:rPr>
                  </w:pP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ru-RU" w:bidi="ar-SA"/>
                    </w:rPr>
                    <w:t>Упаковочные листы</w:t>
                  </w:r>
                </w:p>
              </w:tc>
            </w:tr>
            <w:tr>
              <w:trPr/>
              <w:tc>
                <w:tcPr>
                  <w:tcW w:w="6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6"/>
                    </w:numPr>
                    <w:tabs>
                      <w:tab w:val="clear" w:pos="708"/>
                      <w:tab w:val="left" w:pos="305" w:leader="none"/>
                    </w:tabs>
                    <w:suppressAutoHyphens w:val="false"/>
                    <w:spacing w:before="60" w:after="60"/>
                    <w:ind w:left="720" w:hanging="120"/>
                    <w:contextualSpacing w:val="false"/>
                    <w:jc w:val="center"/>
                    <w:rPr>
                      <w:rFonts w:ascii="Times New Roman" w:hAnsi="Times New Roman" w:cs="Times New Roman"/>
                      <w:kern w:val="0"/>
                      <w:lang w:val="ru-RU" w:eastAsia="ru-RU" w:bidi="ar-SA"/>
                    </w:rPr>
                  </w:pPr>
                  <w:r>
                    <w:rPr>
                      <w:rFonts w:cs="Times New Roman"/>
                      <w:kern w:val="0"/>
                      <w:lang w:val="ru-RU" w:eastAsia="ru-RU" w:bidi="ar-SA"/>
                    </w:rPr>
                  </w:r>
                </w:p>
              </w:tc>
              <w:tc>
                <w:tcPr>
                  <w:tcW w:w="106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both"/>
                    <w:rPr>
                      <w:rFonts w:eastAsia="Calibri"/>
                      <w:sz w:val="24"/>
                      <w:szCs w:val="24"/>
                    </w:rPr>
                  </w:pP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ru-RU" w:bidi="ar-SA"/>
                    </w:rPr>
                    <w:t>Упаковочные ярлыки</w:t>
                  </w:r>
                </w:p>
              </w:tc>
            </w:tr>
            <w:tr>
              <w:trPr/>
              <w:tc>
                <w:tcPr>
                  <w:tcW w:w="6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6"/>
                    </w:numPr>
                    <w:tabs>
                      <w:tab w:val="clear" w:pos="708"/>
                      <w:tab w:val="left" w:pos="305" w:leader="none"/>
                    </w:tabs>
                    <w:suppressAutoHyphens w:val="false"/>
                    <w:spacing w:before="60" w:after="60"/>
                    <w:ind w:left="720" w:hanging="120"/>
                    <w:contextualSpacing w:val="false"/>
                    <w:jc w:val="center"/>
                    <w:rPr>
                      <w:rFonts w:ascii="Times New Roman" w:hAnsi="Times New Roman" w:cs="Times New Roman"/>
                      <w:kern w:val="0"/>
                      <w:lang w:val="ru-RU" w:eastAsia="ru-RU" w:bidi="ar-SA"/>
                    </w:rPr>
                  </w:pPr>
                  <w:r>
                    <w:rPr>
                      <w:rFonts w:cs="Times New Roman"/>
                      <w:kern w:val="0"/>
                      <w:lang w:val="ru-RU" w:eastAsia="ru-RU" w:bidi="ar-SA"/>
                    </w:rPr>
                  </w:r>
                </w:p>
              </w:tc>
              <w:tc>
                <w:tcPr>
                  <w:tcW w:w="106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both"/>
                    <w:rPr>
                      <w:rFonts w:eastAsia="Calibri"/>
                      <w:sz w:val="24"/>
                      <w:szCs w:val="24"/>
                    </w:rPr>
                  </w:pP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ru-RU" w:bidi="ar-SA"/>
                    </w:rPr>
                    <w:t>Товарно-транспортные накладные формы № 1-Т</w:t>
                  </w:r>
                </w:p>
              </w:tc>
            </w:tr>
            <w:tr>
              <w:trPr/>
              <w:tc>
                <w:tcPr>
                  <w:tcW w:w="6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6"/>
                    </w:numPr>
                    <w:tabs>
                      <w:tab w:val="clear" w:pos="708"/>
                      <w:tab w:val="left" w:pos="305" w:leader="none"/>
                    </w:tabs>
                    <w:suppressAutoHyphens w:val="false"/>
                    <w:spacing w:before="60" w:after="60"/>
                    <w:ind w:left="720" w:hanging="120"/>
                    <w:contextualSpacing w:val="false"/>
                    <w:jc w:val="center"/>
                    <w:rPr>
                      <w:rFonts w:ascii="Times New Roman" w:hAnsi="Times New Roman" w:cs="Times New Roman"/>
                      <w:kern w:val="0"/>
                      <w:lang w:val="ru-RU" w:eastAsia="ru-RU" w:bidi="ar-SA"/>
                    </w:rPr>
                  </w:pPr>
                  <w:r>
                    <w:rPr>
                      <w:rFonts w:cs="Times New Roman"/>
                      <w:kern w:val="0"/>
                      <w:lang w:val="ru-RU" w:eastAsia="ru-RU" w:bidi="ar-SA"/>
                    </w:rPr>
                  </w:r>
                </w:p>
              </w:tc>
              <w:tc>
                <w:tcPr>
                  <w:tcW w:w="106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both"/>
                    <w:rPr>
                      <w:rFonts w:eastAsia="Calibri"/>
                      <w:sz w:val="24"/>
                      <w:szCs w:val="24"/>
                    </w:rPr>
                  </w:pP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ru-RU" w:bidi="ar-SA"/>
                    </w:rPr>
                    <w:t>Товарные накладные унифицированной формы ТОРГ-12</w:t>
                  </w: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en-US" w:bidi="ar-SA"/>
                    </w:rPr>
                    <w:t xml:space="preserve"> </w:t>
                  </w: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ru-RU" w:bidi="ar-SA"/>
                    </w:rPr>
                    <w:t>или универсальный передаточный документ (УПД)</w:t>
                  </w:r>
                </w:p>
              </w:tc>
            </w:tr>
            <w:tr>
              <w:trPr/>
              <w:tc>
                <w:tcPr>
                  <w:tcW w:w="61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ListParagraph"/>
                    <w:widowControl w:val="false"/>
                    <w:numPr>
                      <w:ilvl w:val="0"/>
                      <w:numId w:val="16"/>
                    </w:numPr>
                    <w:tabs>
                      <w:tab w:val="clear" w:pos="708"/>
                      <w:tab w:val="left" w:pos="305" w:leader="none"/>
                    </w:tabs>
                    <w:suppressAutoHyphens w:val="false"/>
                    <w:spacing w:before="60" w:after="60"/>
                    <w:ind w:left="720" w:hanging="120"/>
                    <w:contextualSpacing w:val="false"/>
                    <w:jc w:val="center"/>
                    <w:rPr>
                      <w:rFonts w:ascii="Times New Roman" w:hAnsi="Times New Roman" w:cs="Times New Roman"/>
                      <w:kern w:val="0"/>
                      <w:lang w:val="ru-RU" w:eastAsia="ru-RU" w:bidi="ar-SA"/>
                    </w:rPr>
                  </w:pPr>
                  <w:r>
                    <w:rPr>
                      <w:rFonts w:cs="Times New Roman"/>
                      <w:kern w:val="0"/>
                      <w:lang w:val="ru-RU" w:eastAsia="ru-RU" w:bidi="ar-SA"/>
                    </w:rPr>
                  </w:r>
                </w:p>
              </w:tc>
              <w:tc>
                <w:tcPr>
                  <w:tcW w:w="106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color="auto" w:fill="auto" w:val="clear"/>
                </w:tcPr>
                <w:p>
                  <w:pPr>
                    <w:pStyle w:val="Normal"/>
                    <w:widowControl w:val="false"/>
                    <w:suppressAutoHyphens w:val="false"/>
                    <w:spacing w:before="60" w:after="60"/>
                    <w:jc w:val="both"/>
                    <w:rPr>
                      <w:rFonts w:eastAsia="Calibri"/>
                      <w:sz w:val="24"/>
                      <w:szCs w:val="24"/>
                    </w:rPr>
                  </w:pPr>
                  <w:r>
                    <w:rPr>
                      <w:rFonts w:eastAsia="Calibri" w:cs="Times New Roman"/>
                      <w:kern w:val="0"/>
                      <w:sz w:val="24"/>
                      <w:szCs w:val="24"/>
                      <w:lang w:val="ru-RU" w:eastAsia="ru-RU" w:bidi="ar-SA"/>
                    </w:rPr>
                    <w:t>Комплект рабочей документации.</w:t>
                  </w:r>
                </w:p>
              </w:tc>
            </w:tr>
          </w:tbl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Форматы предоставления документации и информации в электронном виде должны поддерживать работу в российской операционной системе «Alter OS» и офисном пакете «Alter Office» (программы AText, ACell, AConcept.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bCs/>
                <w:kern w:val="0"/>
                <w:sz w:val="24"/>
                <w:szCs w:val="24"/>
                <w:lang w:val="ru-RU" w:eastAsia="ru-RU" w:bidi="ar-SA"/>
              </w:rPr>
              <w:t>Наличие сертификатов соответствия ГОСТ на поставляемое оборудование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Поставляемое оборудование должно быть сертифицировано.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Подрядчик обязан одновременно с передачей оборудования передать Заказчику относящиеся к нему, оформленные надлежащим образом следующие документы:</w:t>
            </w:r>
          </w:p>
          <w:p>
            <w:pPr>
              <w:pStyle w:val="ListParagraph"/>
              <w:widowControl w:val="false"/>
              <w:numPr>
                <w:ilvl w:val="2"/>
                <w:numId w:val="14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Сертификат происхождения.</w:t>
            </w:r>
          </w:p>
          <w:p>
            <w:pPr>
              <w:pStyle w:val="ListParagraph"/>
              <w:widowControl w:val="false"/>
              <w:numPr>
                <w:ilvl w:val="2"/>
                <w:numId w:val="14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Сертификат качества.</w:t>
            </w:r>
          </w:p>
          <w:p>
            <w:pPr>
              <w:pStyle w:val="ListParagraph"/>
              <w:widowControl w:val="false"/>
              <w:numPr>
                <w:ilvl w:val="2"/>
                <w:numId w:val="14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Сертификаты соответствия для оборудования, включенного в Единый перечень продукции, подлежащей обязательной сертификации, утвержденный Правительства РФ на период действия договора.</w:t>
            </w:r>
          </w:p>
        </w:tc>
      </w:tr>
      <w:tr>
        <w:trPr>
          <w:trHeight w:val="50" w:hRule="atLeast"/>
        </w:trPr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uppressAutoHyphens w:val="true"/>
              <w:spacing w:before="60" w:after="60"/>
              <w:ind w:left="24" w:right="32" w:hanging="0"/>
              <w:contextualSpacing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соблюдению положений нормативной и иной обязательной для подрядчика документации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  <w:shd w:color="auto" w:fill="auto" w:val="clea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Соответствие продукции нормативно-техническим документам</w:t>
            </w:r>
          </w:p>
        </w:tc>
        <w:tc>
          <w:tcPr>
            <w:tcW w:w="12287" w:type="dxa"/>
            <w:tcBorders/>
            <w:shd w:color="auto" w:fill="auto" w:val="clear"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Подрядчик должен руководствоваться действующей редакцией следующих национальных, отраслевых</w:t>
              <w:br/>
              <w:t>и корпоративных нормативно-технических документов (НТД):</w:t>
            </w:r>
          </w:p>
          <w:p>
            <w:pPr>
              <w:pStyle w:val="ListParagraph"/>
              <w:widowControl w:val="false"/>
              <w:numPr>
                <w:ilvl w:val="2"/>
                <w:numId w:val="22"/>
              </w:numPr>
              <w:suppressAutoHyphens w:val="false"/>
              <w:spacing w:before="60" w:after="60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СТО РусГидро 02.02.060-2011 «Гидроэлектростанции. Технические и автоматизированные системы. Условия поставки. Нормы и требования» (с учетом изменений, внесённых приказом № 515 от 18.07.2018).</w:t>
            </w:r>
          </w:p>
          <w:p>
            <w:pPr>
              <w:pStyle w:val="ListParagraph"/>
              <w:widowControl w:val="false"/>
              <w:numPr>
                <w:ilvl w:val="2"/>
                <w:numId w:val="22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Правила устройства электроустановок (действующее издание).</w:t>
            </w:r>
          </w:p>
          <w:p>
            <w:pPr>
              <w:pStyle w:val="ListParagraph"/>
              <w:widowControl w:val="false"/>
              <w:numPr>
                <w:ilvl w:val="2"/>
                <w:numId w:val="22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РД 34.35.310-97 «Общие технические требования к микропроцессорным устройствам защиты и автоматики энергосистем» (с Изменениями № 1).</w:t>
            </w:r>
          </w:p>
          <w:p>
            <w:pPr>
              <w:pStyle w:val="ListParagraph"/>
              <w:widowControl w:val="false"/>
              <w:numPr>
                <w:ilvl w:val="2"/>
                <w:numId w:val="22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РД 34.45-51.300-97 «Объем и нормы испытаний электрооборудования», 6-е издание (с изменениями</w:t>
              <w:br/>
              <w:t>и дополнениями по состоянию на 01.10.2006).</w:t>
            </w:r>
          </w:p>
          <w:p>
            <w:pPr>
              <w:pStyle w:val="ListParagraph"/>
              <w:widowControl w:val="false"/>
              <w:numPr>
                <w:ilvl w:val="2"/>
                <w:numId w:val="22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14254-215 «Степени защиты, обеспечиваемые оболочками (Код IP)».</w:t>
            </w:r>
          </w:p>
          <w:p>
            <w:pPr>
              <w:pStyle w:val="ListParagraph"/>
              <w:widowControl w:val="false"/>
              <w:numPr>
                <w:ilvl w:val="2"/>
                <w:numId w:val="22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8865-93 «Системы электрической изоляции. Оценка на нагревостойкости и классификация».</w:t>
            </w:r>
          </w:p>
          <w:p>
            <w:pPr>
              <w:pStyle w:val="ListParagraph"/>
              <w:widowControl w:val="false"/>
              <w:numPr>
                <w:ilvl w:val="2"/>
                <w:numId w:val="22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color w:val="000000" w:themeColor="text1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15150-69 «Машины,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среды» (С изменениями №№ 1, 2, 3, 4, 5).</w:t>
            </w:r>
          </w:p>
          <w:p>
            <w:pPr>
              <w:pStyle w:val="ListParagraph"/>
              <w:widowControl w:val="false"/>
              <w:numPr>
                <w:ilvl w:val="2"/>
                <w:numId w:val="22"/>
              </w:numPr>
              <w:suppressAutoHyphens w:val="false"/>
              <w:spacing w:before="60" w:after="60"/>
              <w:ind w:left="1276" w:hanging="567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cs="Times New Roman"/>
                <w:color w:val="000000" w:themeColor="text1"/>
                <w:kern w:val="0"/>
                <w:lang w:val="ru-RU" w:eastAsia="ru-RU" w:bidi="ar-SA"/>
              </w:rPr>
              <w:t>ГОСТ Р 58604-2019 «Единая энергетическая система и изолированно работающие энергосистемы. Тепловые электрические станции. Автоматизированные системы управления технологическими процессами. Условия создания. Нормы и требования».</w:t>
            </w:r>
          </w:p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709" w:hanging="709"/>
              <w:contextualSpacing w:val="false"/>
              <w:jc w:val="both"/>
              <w:rPr>
                <w:rFonts w:eastAsia="Times New Roman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  <w:t>В случае если какой-либо из указанных в Технических требованиях стандартов, ГОСТов или нормативных документов был заменен/отменен в процессе проведения закупки и/или в период исполнения договора в связи с выпуском новой редакции, то Подрядчику необходимо применять стандарт, ГОСТ или нормативный документ, принятый в его развитие.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0"/>
                <w:numId w:val="15"/>
              </w:numPr>
              <w:suppressAutoHyphens w:val="true"/>
              <w:spacing w:before="60" w:after="60"/>
              <w:ind w:left="24" w:right="32" w:hanging="0"/>
              <w:contextualSpacing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>Требования к результатам выпол</w:t>
            </w: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нения договора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1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14819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4"/>
                <w:szCs w:val="24"/>
                <w:lang w:val="ru-RU" w:eastAsia="ru-RU" w:bidi="ar-SA"/>
              </w:rPr>
              <w:t xml:space="preserve">Требования к порядку приемки результатов </w:t>
            </w:r>
            <w:r>
              <w:rPr>
                <w:rFonts w:eastAsia="Times New Roman" w:cs="Times New Roman"/>
                <w:b/>
                <w:kern w:val="0"/>
                <w:sz w:val="24"/>
                <w:szCs w:val="24"/>
                <w:lang w:val="ru-RU" w:eastAsia="ru-RU" w:bidi="ar-SA"/>
              </w:rPr>
              <w:t>выполнения договора</w:t>
            </w:r>
          </w:p>
        </w:tc>
      </w:tr>
      <w:tr>
        <w:trPr/>
        <w:tc>
          <w:tcPr>
            <w:tcW w:w="885" w:type="dxa"/>
            <w:tcBorders/>
          </w:tcPr>
          <w:p>
            <w:pPr>
              <w:pStyle w:val="ListParagraph"/>
              <w:widowControl w:val="false"/>
              <w:numPr>
                <w:ilvl w:val="2"/>
                <w:numId w:val="15"/>
              </w:numPr>
              <w:suppressAutoHyphens w:val="true"/>
              <w:spacing w:before="60" w:after="60"/>
              <w:ind w:left="0" w:hanging="0"/>
              <w:contextualSpacing w:val="false"/>
              <w:jc w:val="center"/>
              <w:rPr>
                <w:rFonts w:ascii="Times New Roman" w:hAnsi="Times New Roman" w:cs="Times New Roman"/>
                <w:kern w:val="0"/>
                <w:lang w:val="ru-RU" w:eastAsia="ru-RU" w:bidi="ar-SA"/>
              </w:rPr>
            </w:pPr>
            <w:r>
              <w:rPr>
                <w:rFonts w:cs="Times New Roman"/>
                <w:kern w:val="0"/>
                <w:lang w:val="ru-RU" w:eastAsia="ru-RU" w:bidi="ar-SA"/>
              </w:rPr>
            </w:r>
          </w:p>
        </w:tc>
        <w:tc>
          <w:tcPr>
            <w:tcW w:w="2532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true"/>
              <w:spacing w:before="60" w:after="60"/>
              <w:jc w:val="left"/>
              <w:rPr>
                <w:sz w:val="24"/>
                <w:szCs w:val="24"/>
              </w:rPr>
            </w:pPr>
            <w:r>
              <w:rPr>
                <w:rFonts w:eastAsia="Times New Roman" w:cs="Times New Roman"/>
                <w:kern w:val="0"/>
                <w:sz w:val="24"/>
                <w:szCs w:val="24"/>
                <w:lang w:val="ru-RU" w:eastAsia="ru-RU" w:bidi="ar-SA"/>
              </w:rPr>
              <w:t>Приемка оборудования на объекте</w:t>
            </w:r>
          </w:p>
        </w:tc>
        <w:tc>
          <w:tcPr>
            <w:tcW w:w="12287" w:type="dxa"/>
            <w:tcBorders/>
          </w:tcPr>
          <w:p>
            <w:pPr>
              <w:pStyle w:val="Normal"/>
              <w:widowControl w:val="false"/>
              <w:tabs>
                <w:tab w:val="clear" w:pos="708"/>
                <w:tab w:val="center" w:pos="7639" w:leader="none"/>
              </w:tabs>
              <w:suppressAutoHyphens w:val="false"/>
              <w:spacing w:before="60" w:after="60"/>
              <w:jc w:val="left"/>
              <w:rPr>
                <w:bCs/>
                <w:sz w:val="24"/>
                <w:szCs w:val="24"/>
              </w:rPr>
            </w:pPr>
            <w:r>
              <w:rPr>
                <w:rFonts w:eastAsia="Calibri" w:cs="Times New Roman"/>
                <w:bCs/>
                <w:kern w:val="0"/>
                <w:sz w:val="24"/>
                <w:szCs w:val="24"/>
                <w:lang w:val="ru-RU" w:eastAsia="ru-RU" w:bidi="ar-SA"/>
              </w:rPr>
              <w:t>Приемка оборудования оформляется подписанием сторонами Акта входного контроля поставляемого оборудования</w:t>
              <w:br/>
              <w:t>и унифицированной формы ТОРГ-12 «Товарная накладная».</w:t>
            </w:r>
          </w:p>
        </w:tc>
      </w:tr>
    </w:tbl>
    <w:p>
      <w:pPr>
        <w:sectPr>
          <w:headerReference w:type="default" r:id="rId7"/>
          <w:headerReference w:type="first" r:id="rId8"/>
          <w:footerReference w:type="default" r:id="rId9"/>
          <w:footerReference w:type="first" r:id="rId10"/>
          <w:footnotePr>
            <w:numFmt w:val="decimal"/>
          </w:footnotePr>
          <w:type w:val="nextPage"/>
          <w:pgSz w:orient="landscape" w:w="16838" w:h="11906"/>
          <w:pgMar w:left="567" w:right="567" w:gutter="0" w:header="0" w:top="1418" w:footer="283" w:bottom="709"/>
          <w:pgNumType w:start="16" w:fmt="decimal"/>
          <w:formProt w:val="false"/>
          <w:textDirection w:val="lrTb"/>
          <w:docGrid w:type="default" w:linePitch="381" w:charSpace="0"/>
        </w:sectPr>
      </w:pPr>
    </w:p>
    <w:p>
      <w:pPr>
        <w:pStyle w:val="Heading1"/>
        <w:jc w:val="center"/>
        <w:rPr/>
      </w:pPr>
      <w:bookmarkStart w:id="33" w:name="_Toc54646412"/>
      <w:bookmarkStart w:id="34" w:name="_Toc189058332"/>
      <w:bookmarkStart w:id="35" w:name="_Toc204763894"/>
      <w:bookmarkStart w:id="36" w:name="_Toc172732543"/>
      <w:r>
        <w:rPr/>
        <w:t>Требования к документации по ценообразованию на этапе закупки</w:t>
      </w:r>
      <w:bookmarkEnd w:id="33"/>
      <w:bookmarkEnd w:id="34"/>
      <w:bookmarkEnd w:id="35"/>
      <w:bookmarkEnd w:id="36"/>
    </w:p>
    <w:p>
      <w:pPr>
        <w:pStyle w:val="ListParagraph"/>
        <w:numPr>
          <w:ilvl w:val="1"/>
          <w:numId w:val="9"/>
        </w:numPr>
        <w:spacing w:before="60" w:after="60"/>
        <w:ind w:left="709" w:hanging="709"/>
        <w:contextualSpacing w:val="false"/>
        <w:jc w:val="both"/>
        <w:rPr/>
      </w:pPr>
      <w:r>
        <w:rPr>
          <w:bCs/>
          <w:iCs/>
          <w:lang w:eastAsia="x-none"/>
        </w:rPr>
        <w:t>В рамках исполнения договора разработка сметной документации осуществляется в соответствии с Требованиями к оформлению и составлению сметной документации (Приложени</w:t>
      </w:r>
      <w:r>
        <w:rPr>
          <w:bCs/>
          <w:iCs/>
          <w:color w:val="000000"/>
          <w:lang w:eastAsia="x-none"/>
        </w:rPr>
        <w:t>я № 5,6 к Техни</w:t>
      </w:r>
      <w:r>
        <w:rPr>
          <w:bCs/>
          <w:iCs/>
          <w:lang w:eastAsia="x-none"/>
        </w:rPr>
        <w:t>ческим требованиям).</w:t>
      </w:r>
      <w:r>
        <w:rPr/>
        <w:t>.</w:t>
      </w:r>
    </w:p>
    <w:p>
      <w:pPr>
        <w:pStyle w:val="ListParagraph"/>
        <w:numPr>
          <w:ilvl w:val="1"/>
          <w:numId w:val="9"/>
        </w:numPr>
        <w:spacing w:before="60" w:after="60"/>
        <w:ind w:left="709" w:hanging="709"/>
        <w:contextualSpacing w:val="false"/>
        <w:jc w:val="both"/>
        <w:rPr/>
      </w:pPr>
      <w:bookmarkStart w:id="37" w:name="_Hlk88327292"/>
      <w:r>
        <w:rPr/>
        <w:t>Дополнительные документы по ценообразованию</w:t>
      </w:r>
      <w:bookmarkEnd w:id="37"/>
      <w:r>
        <w:rPr/>
        <w:t xml:space="preserve"> в состав заявки не включаются.</w:t>
      </w:r>
    </w:p>
    <w:p>
      <w:pPr>
        <w:pStyle w:val="ListParagraph"/>
        <w:spacing w:before="60" w:after="60"/>
        <w:ind w:left="709" w:hanging="0"/>
        <w:contextualSpacing w:val="false"/>
        <w:jc w:val="both"/>
        <w:rPr/>
      </w:pPr>
      <w:r>
        <w:rPr/>
      </w:r>
    </w:p>
    <w:p>
      <w:pPr>
        <w:pStyle w:val="Heading1"/>
        <w:jc w:val="center"/>
        <w:rPr/>
      </w:pPr>
      <w:bookmarkStart w:id="38" w:name="_Toc212029623"/>
      <w:r>
        <w:rPr>
          <w:sz w:val="24"/>
          <w:szCs w:val="24"/>
        </w:rPr>
        <w:t>Требования к документации по ценообразованию на этапе заключения (исполнения) договора</w:t>
      </w:r>
      <w:bookmarkEnd w:id="38"/>
    </w:p>
    <w:p>
      <w:pPr>
        <w:pStyle w:val="ListParagraph"/>
        <w:numPr>
          <w:ilvl w:val="1"/>
          <w:numId w:val="34"/>
        </w:numPr>
        <w:spacing w:before="60" w:after="60"/>
        <w:ind w:left="709" w:hanging="709"/>
        <w:contextualSpacing w:val="false"/>
        <w:jc w:val="both"/>
        <w:rPr>
          <w:bCs/>
          <w:iCs/>
          <w:lang w:eastAsia="x-none"/>
        </w:rPr>
      </w:pPr>
      <w:r>
        <w:rPr>
          <w:bCs/>
          <w:iCs/>
          <w:lang w:eastAsia="x-none"/>
        </w:rPr>
        <w:t>По результатам настоящей закупки заключается договор с предельной ценой.</w:t>
      </w:r>
    </w:p>
    <w:p>
      <w:pPr>
        <w:pStyle w:val="ListParagraph"/>
        <w:numPr>
          <w:ilvl w:val="1"/>
          <w:numId w:val="34"/>
        </w:numPr>
        <w:spacing w:before="60" w:after="60"/>
        <w:ind w:left="709" w:hanging="709"/>
        <w:contextualSpacing w:val="false"/>
        <w:jc w:val="both"/>
        <w:rPr>
          <w:bCs/>
          <w:iCs/>
          <w:lang w:eastAsia="x-none"/>
        </w:rPr>
      </w:pPr>
      <w:r>
        <w:rPr>
          <w:bCs/>
          <w:iCs/>
          <w:lang w:eastAsia="x-none"/>
        </w:rPr>
        <w:t>В рамках исполнения договора разработка сметной документации осуществляется в соответствии с Требованиями к оформлению и составлению сметной документации (Приложение № 5,6 к Техническим требованиям).</w:t>
      </w:r>
    </w:p>
    <w:p>
      <w:pPr>
        <w:pStyle w:val="ListParagraph"/>
        <w:numPr>
          <w:ilvl w:val="1"/>
          <w:numId w:val="34"/>
        </w:numPr>
        <w:spacing w:before="60" w:after="60"/>
        <w:ind w:left="709" w:hanging="709"/>
        <w:contextualSpacing w:val="false"/>
        <w:jc w:val="both"/>
        <w:rPr>
          <w:bCs/>
          <w:iCs/>
          <w:lang w:eastAsia="x-none"/>
        </w:rPr>
      </w:pPr>
      <w:r>
        <w:rPr>
          <w:bCs/>
          <w:iCs/>
          <w:lang w:eastAsia="x-none"/>
        </w:rPr>
        <w:t>В случае если стоимость по смете, разработанной Подрядчиком, будет превышать стоимость, указанную в Коммерческом предложении, в ходе исполнения договора Подрядчику необходимо применить соответствующий дополнительный понижающий коэффициент и откорректировать стоимость в сторону ее уменьшения.</w:t>
      </w:r>
    </w:p>
    <w:p>
      <w:pPr>
        <w:pStyle w:val="ListParagraph"/>
        <w:numPr>
          <w:ilvl w:val="1"/>
          <w:numId w:val="34"/>
        </w:numPr>
        <w:spacing w:before="60" w:after="60"/>
        <w:ind w:left="709" w:hanging="709"/>
        <w:contextualSpacing w:val="false"/>
        <w:jc w:val="both"/>
        <w:rPr>
          <w:bCs/>
          <w:iCs/>
          <w:lang w:eastAsia="x-none"/>
        </w:rPr>
      </w:pPr>
      <w:r>
        <w:rPr>
          <w:bCs/>
          <w:iCs/>
          <w:lang w:eastAsia="x-none"/>
        </w:rPr>
        <w:t>В случае если стоимость по смете составленной Подрядчиком, будет ниже стоимости, указанной в Коммерческом предложении, взаиморасчеты будут осуществляться по данной смете без увеличения до стоимости, указанной в коммерческом предложении.</w:t>
      </w:r>
    </w:p>
    <w:p>
      <w:pPr>
        <w:pStyle w:val="Heading1"/>
        <w:jc w:val="center"/>
        <w:rPr/>
      </w:pPr>
      <w:bookmarkStart w:id="39" w:name="_Toc51339699_Копия_2"/>
      <w:bookmarkStart w:id="40" w:name="_Toc46743519_Копия_2"/>
      <w:bookmarkStart w:id="41" w:name="_Toc204763895"/>
      <w:bookmarkStart w:id="42" w:name="_Toc54646413_Копия_2"/>
      <w:bookmarkStart w:id="43" w:name="_Toc196484366_Копия_2"/>
      <w:r>
        <w:rPr/>
        <w:t>Приложения</w:t>
      </w:r>
      <w:bookmarkEnd w:id="39"/>
      <w:bookmarkEnd w:id="40"/>
      <w:bookmarkEnd w:id="41"/>
      <w:bookmarkEnd w:id="42"/>
      <w:bookmarkEnd w:id="43"/>
    </w:p>
    <w:p>
      <w:pPr>
        <w:pStyle w:val="Normal"/>
        <w:jc w:val="center"/>
        <w:rPr/>
      </w:pPr>
      <w:r>
        <w:rPr/>
        <w:t xml:space="preserve"> </w:t>
      </w:r>
      <w:r>
        <w:rPr>
          <w:b/>
          <w:color w:val="2F5496" w:themeColor="accent1" w:themeShade="bf"/>
          <w:sz w:val="24"/>
          <w:szCs w:val="24"/>
        </w:rPr>
        <w:t>(Каждое приложение доступно к открытию путем двойного клика по значку, содержащему ссылку)</w:t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839"/>
        <w:gridCol w:w="2411"/>
        <w:gridCol w:w="6671"/>
      </w:tblGrid>
      <w:tr>
        <w:trPr/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60" w:after="6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№ </w:t>
            </w:r>
            <w:r>
              <w:rPr>
                <w:rFonts w:eastAsia="Calibri"/>
                <w:sz w:val="24"/>
                <w:szCs w:val="24"/>
              </w:rPr>
              <w:t>п/п.</w:t>
            </w:r>
          </w:p>
        </w:tc>
        <w:tc>
          <w:tcPr>
            <w:tcW w:w="2411" w:type="dxa"/>
            <w:tcBorders/>
          </w:tcPr>
          <w:p>
            <w:pPr>
              <w:pStyle w:val="Normal"/>
              <w:keepNext w:val="true"/>
              <w:widowControl w:val="false"/>
              <w:suppressAutoHyphens w:val="false"/>
              <w:spacing w:before="60" w:after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Ссылки на документ</w:t>
            </w:r>
          </w:p>
        </w:tc>
        <w:tc>
          <w:tcPr>
            <w:tcW w:w="6671" w:type="dxa"/>
            <w:tcBorders/>
          </w:tcPr>
          <w:p>
            <w:pPr>
              <w:pStyle w:val="Normal"/>
              <w:keepNext w:val="true"/>
              <w:widowControl w:val="false"/>
              <w:suppressAutoHyphens w:val="false"/>
              <w:spacing w:before="60" w:after="6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Наименование документа</w:t>
            </w:r>
          </w:p>
        </w:tc>
      </w:tr>
      <w:tr>
        <w:trPr/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contextualSpacing/>
              <w:jc w:val="both"/>
              <w:rPr>
                <w:rFonts w:eastAsia="Calibri"/>
                <w:sz w:val="22"/>
                <w:szCs w:val="24"/>
              </w:rPr>
            </w:pPr>
            <w:r>
              <w:rPr>
                <w:rFonts w:eastAsia="Calibri"/>
                <w:sz w:val="22"/>
                <w:szCs w:val="24"/>
                <w:lang w:val="en-US"/>
              </w:rPr>
              <w:t>1</w:t>
            </w:r>
            <w:bookmarkStart w:id="44" w:name="_MON_1841329497"/>
            <w:bookmarkStart w:id="45" w:name="_MON_1808631448"/>
            <w:bookmarkStart w:id="46" w:name="_MON_1808903631"/>
            <w:bookmarkStart w:id="47" w:name="_MON_1844515975"/>
            <w:bookmarkStart w:id="48" w:name="_MON_1810977377"/>
            <w:bookmarkEnd w:id="44"/>
            <w:bookmarkEnd w:id="45"/>
            <w:bookmarkEnd w:id="46"/>
            <w:bookmarkEnd w:id="47"/>
            <w:bookmarkEnd w:id="48"/>
          </w:p>
        </w:tc>
        <w:tc>
          <w:tcPr>
            <w:tcW w:w="2411" w:type="dxa"/>
            <w:tcBorders/>
          </w:tcPr>
          <w:p>
            <w:pPr>
              <w:pStyle w:val="Normal"/>
              <w:keepNext w:val="true"/>
              <w:widowControl w:val="false"/>
              <w:suppressAutoHyphens w:val="false"/>
              <w:spacing w:before="120" w:after="120"/>
              <w:jc w:val="center"/>
              <w:rPr/>
            </w:pPr>
            <w:r>
              <w:rPr/>
              <mc:AlternateContent>
                <mc:Choice Requires="wps">
                  <w:drawing>
                    <wp:anchor behindDoc="0" distT="0" distB="0" distL="635" distR="0" simplePos="0" locked="0" layoutInCell="0" allowOverlap="1" relativeHeight="3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3" name="_x0000_tole_rId11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/>
                              <a:fillRef idx="0"/>
                              <a:effectRef idx="0"/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shape_0" ID="_x0000_tole_rId11" path="m0,0l-2147483645,0l-2147483645,-2147483646l0,-2147483646xe" stroked="f" o:allowincell="f" style="position:absolute;margin-left:0.05pt;margin-top:0.05pt;width:49.95pt;height:49.95pt;mso-wrap-style:none;v-text-anchor:middle">
                      <v:fill o:detectmouseclick="t" on="false"/>
                      <v:stroke color="#3465a4" joinstyle="round" endcap="flat"/>
                      <w10:wrap type="none"/>
                    </v:rect>
                  </w:pict>
                </mc:Fallback>
              </mc:AlternateContent>
              <mc:AlternateContent>
                <mc:Choice Requires="wps">
                  <w:drawing>
                    <wp:anchor behindDoc="0" distT="0" distB="0" distL="635" distR="0" simplePos="0" locked="0" layoutInCell="0" allowOverlap="1" relativeHeight="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4" name="_x0000_tole_rId11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/>
                              <a:fillRef idx="0"/>
                              <a:effectRef idx="0"/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shape_0" ID="_x0000_tole_rId11" path="m0,0l-2147483645,0l-2147483645,-2147483646l0,-2147483646xe" stroked="f" o:allowincell="f" style="position:absolute;margin-left:0.05pt;margin-top:0.05pt;width:49.95pt;height:49.95pt;mso-wrap-style:none;v-text-anchor:middle">
                      <v:fill o:detectmouseclick="t" on="false"/>
                      <v:stroke color="#3465a4" joinstyle="round" endcap="flat"/>
                      <w10:wrap type="none"/>
                    </v:rect>
                  </w:pict>
                </mc:Fallback>
              </mc:AlternateContent>
              <w:object>
                <v:shapetype id="_x0000_tole_rId11" coordsize="21600,21600" o:spt="ole_rId11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11" type="_x0000_tole_rId11" style="width:76.75pt;height:49.7pt;mso-wrap-distance-right:0pt;mso-wrap-distance-bottom:6pt" filled="f" o:ole="">
                  <v:imagedata r:id="rId12" o:title=""/>
                </v:shape>
                <o:OLEObject Type="Embed" ProgID="Excel.Sheet.12" ShapeID="ole_rId11" DrawAspect="Icon" ObjectID="_1713261713" r:id="rId11"/>
              </w:object>
            </w:r>
          </w:p>
        </w:tc>
        <w:tc>
          <w:tcPr>
            <w:tcW w:w="6671" w:type="dxa"/>
            <w:tcBorders/>
          </w:tcPr>
          <w:p>
            <w:pPr>
              <w:pStyle w:val="Normal"/>
              <w:widowControl w:val="false"/>
              <w:suppressAutoHyphens w:val="false"/>
              <w:spacing w:lineRule="auto" w:line="259" w:before="120" w:after="0"/>
              <w:jc w:val="both"/>
              <w:rPr>
                <w:sz w:val="24"/>
                <w:szCs w:val="24"/>
              </w:rPr>
            </w:pPr>
            <w:r>
              <w:rPr>
                <w:caps/>
                <w:sz w:val="24"/>
                <w:szCs w:val="24"/>
              </w:rPr>
              <w:t>ПРИЛОЖЕНИЕ 1. ФОРМА Спецификации поставляемого оборудования</w:t>
            </w:r>
          </w:p>
        </w:tc>
      </w:tr>
      <w:tr>
        <w:trPr/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contextualSpacing/>
              <w:jc w:val="both"/>
              <w:rPr>
                <w:rFonts w:eastAsia="Calibri"/>
                <w:sz w:val="22"/>
                <w:szCs w:val="24"/>
                <w:lang w:val="en-US"/>
              </w:rPr>
            </w:pPr>
            <w:r>
              <w:rPr>
                <w:rFonts w:eastAsia="Calibri"/>
                <w:sz w:val="22"/>
                <w:szCs w:val="24"/>
                <w:lang w:val="en-US"/>
              </w:rPr>
              <w:t>‍</w:t>
            </w:r>
            <w:r>
              <w:rPr>
                <w:rFonts w:eastAsia="Calibri"/>
                <w:sz w:val="22"/>
                <w:szCs w:val="24"/>
                <w:lang w:val="en-US"/>
              </w:rPr>
              <w:t>2</w:t>
            </w:r>
            <w:bookmarkStart w:id="49" w:name="_MON_1844833410"/>
            <w:bookmarkEnd w:id="49"/>
          </w:p>
        </w:tc>
        <w:tc>
          <w:tcPr>
            <w:tcW w:w="2411" w:type="dxa"/>
            <w:tcBorders/>
          </w:tcPr>
          <w:p>
            <w:pPr>
              <w:pStyle w:val="Normal"/>
              <w:keepNext w:val="true"/>
              <w:widowControl w:val="false"/>
              <w:suppressAutoHyphens w:val="false"/>
              <w:spacing w:before="120" w:after="120"/>
              <w:jc w:val="center"/>
              <w:rPr/>
            </w:pPr>
            <w:r>
              <w:rPr/>
              <w:object>
                <v:shapetype id="_x0000_tole_rId13" coordsize="21600,21600" o:spt="ole_rId13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13" type="_x0000_tole_rId13" style="width:76.75pt;height:49.7pt;mso-wrap-distance-right:0pt;mso-wrap-distance-bottom:6pt" filled="f" o:ole="">
                  <v:imagedata r:id="rId14" o:title=""/>
                </v:shape>
                <o:OLEObject Type="Embed" ProgID="Word.Document.12" ShapeID="ole_rId13" DrawAspect="Icon" ObjectID="_1978096718" r:id="rId13"/>
              </w:object>
            </w:r>
          </w:p>
        </w:tc>
        <w:tc>
          <w:tcPr>
            <w:tcW w:w="6671" w:type="dxa"/>
            <w:tcBorders/>
          </w:tcPr>
          <w:p>
            <w:pPr>
              <w:pStyle w:val="Normal"/>
              <w:keepNext w:val="true"/>
              <w:widowControl w:val="false"/>
              <w:suppressAutoHyphens w:val="false"/>
              <w:spacing w:before="120" w:after="12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ПРИЛОЖЕНИЕ 2. </w:t>
            </w:r>
            <w:r>
              <w:rPr>
                <w:rFonts w:eastAsia="Calibri"/>
                <w:kern w:val="2"/>
                <w:sz w:val="24"/>
                <w:szCs w:val="24"/>
              </w:rPr>
              <w:t>РЕГЛАМЕНТ ПРОЦЕССА_ДОПУСК ПЕРСОНАЛА ПОДРЯДНЫХ ОРГАНИЗАЦИЙ НА ОБЪЕКТЫ ПАО РУСГИДРО+МЕТОДИКА</w:t>
            </w:r>
          </w:p>
        </w:tc>
      </w:tr>
      <w:tr>
        <w:trPr/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contextualSpacing/>
              <w:jc w:val="both"/>
              <w:rPr>
                <w:rFonts w:eastAsia="Calibri"/>
                <w:sz w:val="22"/>
                <w:szCs w:val="24"/>
                <w:lang w:val="en-US"/>
              </w:rPr>
            </w:pPr>
            <w:r>
              <w:rPr>
                <w:rFonts w:eastAsia="Calibri"/>
                <w:sz w:val="22"/>
                <w:szCs w:val="24"/>
                <w:lang w:val="en-US"/>
              </w:rPr>
              <w:t>‍</w:t>
            </w:r>
            <w:r>
              <w:rPr>
                <w:rFonts w:eastAsia="Calibri"/>
                <w:sz w:val="22"/>
                <w:szCs w:val="24"/>
                <w:lang w:val="en-US"/>
              </w:rPr>
              <w:t>3</w:t>
            </w:r>
          </w:p>
        </w:tc>
        <w:tc>
          <w:tcPr>
            <w:tcW w:w="2411" w:type="dxa"/>
            <w:tcBorders/>
          </w:tcPr>
          <w:p>
            <w:pPr>
              <w:pStyle w:val="Normal"/>
              <w:keepNext w:val="true"/>
              <w:widowControl w:val="false"/>
              <w:suppressAutoHyphens w:val="false"/>
              <w:spacing w:before="120" w:after="120"/>
              <w:jc w:val="center"/>
              <w:rPr/>
            </w:pPr>
            <w:r>
              <w:rPr/>
              <w:object>
                <v:shapetype id="_x0000_tole_rId15" coordsize="21600,21600" o:spt="ole_rId1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15" type="_x0000_tole_rId15" style="width:96.65pt;height:62.55pt;mso-wrap-distance-right:0pt;mso-wrap-distance-bottom:6pt" filled="f" o:ole="">
                  <v:imagedata r:id="rId16" o:title=""/>
                </v:shape>
                <o:OLEObject Type="Embed" ProgID="AcroExch.Document.DC" ShapeID="ole_rId15" DrawAspect="Icon" ObjectID="_973539655" r:id="rId15"/>
              </w:object>
            </w:r>
          </w:p>
        </w:tc>
        <w:tc>
          <w:tcPr>
            <w:tcW w:w="6671" w:type="dxa"/>
            <w:tcBorders/>
          </w:tcPr>
          <w:p>
            <w:pPr>
              <w:pStyle w:val="Normal"/>
              <w:keepNext w:val="true"/>
              <w:widowControl w:val="false"/>
              <w:spacing w:before="60" w:after="60"/>
              <w:contextualSpacing/>
              <w:rPr>
                <w:sz w:val="24"/>
                <w:szCs w:val="24"/>
              </w:rPr>
            </w:pPr>
            <w:r>
              <w:rPr>
                <w:iCs/>
                <w:color w:val="000000"/>
                <w:sz w:val="24"/>
                <w:szCs w:val="24"/>
              </w:rPr>
              <w:t>ПРИЛОЖЕНИЕ № 3. ТЕХНИЧЕСКАЯ ПОЛИТИКА ПАО «РУСГИДРО</w:t>
            </w:r>
            <w:r>
              <w:rPr>
                <w:rFonts w:eastAsia="Calibri"/>
                <w:iCs/>
                <w:color w:val="000000"/>
                <w:sz w:val="24"/>
                <w:szCs w:val="24"/>
              </w:rPr>
              <w:t>»</w:t>
            </w:r>
          </w:p>
        </w:tc>
      </w:tr>
      <w:tr>
        <w:trPr/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contextualSpacing/>
              <w:jc w:val="both"/>
              <w:rPr>
                <w:rFonts w:eastAsia="Calibri"/>
                <w:sz w:val="22"/>
                <w:szCs w:val="24"/>
                <w:lang w:val="en-US"/>
              </w:rPr>
            </w:pPr>
            <w:r>
              <w:rPr>
                <w:rFonts w:eastAsia="Calibri"/>
                <w:sz w:val="22"/>
                <w:szCs w:val="24"/>
                <w:lang w:val="en-US"/>
              </w:rPr>
              <w:t>4</w:t>
            </w:r>
          </w:p>
        </w:tc>
        <w:tc>
          <w:tcPr>
            <w:tcW w:w="2411" w:type="dxa"/>
            <w:tcBorders/>
          </w:tcPr>
          <w:p>
            <w:pPr>
              <w:pStyle w:val="Normal"/>
              <w:keepNext w:val="true"/>
              <w:widowControl w:val="false"/>
              <w:suppressAutoHyphens w:val="false"/>
              <w:spacing w:before="120" w:after="120"/>
              <w:jc w:val="center"/>
              <w:rPr/>
            </w:pPr>
            <w:r>
              <w:rPr/>
              <w:object>
                <v:shapetype id="_x0000_tole_rId17" coordsize="21600,21600" o:spt="ole_rId17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17" type="_x0000_tole_rId17" style="width:96.65pt;height:62.55pt;mso-wrap-distance-right:0pt;mso-wrap-distance-bottom:6pt" filled="f" o:ole="">
                  <v:imagedata r:id="rId18" o:title=""/>
                </v:shape>
                <o:OLEObject Type="Embed" ProgID="AcroExch.Document.DC" ShapeID="ole_rId17" DrawAspect="Icon" ObjectID="_280980757" r:id="rId17"/>
              </w:object>
            </w:r>
          </w:p>
        </w:tc>
        <w:tc>
          <w:tcPr>
            <w:tcW w:w="6671" w:type="dxa"/>
            <w:tcBorders/>
          </w:tcPr>
          <w:p>
            <w:pPr>
              <w:pStyle w:val="Normal"/>
              <w:widowControl w:val="false"/>
              <w:suppressAutoHyphens w:val="false"/>
              <w:spacing w:before="60" w:after="60"/>
              <w:jc w:val="both"/>
              <w:rPr>
                <w:sz w:val="24"/>
                <w:szCs w:val="24"/>
              </w:rPr>
            </w:pPr>
            <w:r>
              <w:rPr>
                <w:iCs/>
                <w:color w:val="000000"/>
                <w:sz w:val="24"/>
                <w:szCs w:val="24"/>
              </w:rPr>
              <w:t>ПРИЛОЖЕНИЕ № 4. ВРЕМЕННЫЕ МЕТОДИЧЕСКИЕ УКАЗАНИЯ АСУТП, ТИПОВОЙ ПЕРЕЧЕНЬ СИГНАЛОВ, РЕГИСТРАЦИЯ, АРХИВИРОВАНИЕ, ОТОБРАЖЕНИЕ ТЕХНОЛОГИЧЕСКОЙ ИНФОРМАЦИИ. ТИПОВЫЕ ФОРМЫ. НОРМЫ И ТРЕБОВАНИЯ</w:t>
            </w:r>
            <w:r>
              <w:rPr>
                <w:iCs/>
                <w:sz w:val="24"/>
                <w:szCs w:val="24"/>
              </w:rPr>
              <w:t>, УТВЕРЖДЕННЫЕ РАСПОРЯЖЕНИЕМ ПАО «РУСГИДРО» от 19.01.2017 № 17р.</w:t>
            </w:r>
          </w:p>
        </w:tc>
      </w:tr>
      <w:tr>
        <w:trPr/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contextualSpacing/>
              <w:jc w:val="both"/>
              <w:rPr>
                <w:rFonts w:eastAsia="Calibri"/>
                <w:sz w:val="22"/>
                <w:szCs w:val="24"/>
                <w:lang w:val="en-US"/>
              </w:rPr>
            </w:pPr>
            <w:r>
              <w:rPr>
                <w:rFonts w:eastAsia="Calibri"/>
                <w:sz w:val="22"/>
                <w:szCs w:val="24"/>
                <w:lang w:val="en-US"/>
              </w:rPr>
              <w:t>‍</w:t>
            </w:r>
            <w:r>
              <w:rPr>
                <w:rFonts w:eastAsia="Calibri"/>
                <w:sz w:val="22"/>
                <w:szCs w:val="24"/>
                <w:lang w:val="en-US"/>
              </w:rPr>
              <w:t>5</w:t>
            </w:r>
            <w:bookmarkStart w:id="50" w:name="_MON_1844833445"/>
            <w:bookmarkEnd w:id="50"/>
          </w:p>
        </w:tc>
        <w:tc>
          <w:tcPr>
            <w:tcW w:w="2411" w:type="dxa"/>
            <w:tcBorders/>
          </w:tcPr>
          <w:p>
            <w:pPr>
              <w:pStyle w:val="Normal"/>
              <w:keepNext w:val="true"/>
              <w:widowControl w:val="false"/>
              <w:suppressAutoHyphens w:val="false"/>
              <w:spacing w:before="120" w:after="120"/>
              <w:jc w:val="center"/>
              <w:rPr/>
            </w:pPr>
            <w:r>
              <w:rPr/>
              <w:object>
                <v:shapetype id="_x0000_tole_rId19" coordsize="21600,21600" o:spt="ole_rId19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19" type="_x0000_tole_rId19" style="width:76.75pt;height:49.7pt;mso-wrap-distance-right:0pt;mso-wrap-distance-bottom:6pt" filled="f" o:ole="">
                  <v:imagedata r:id="rId20" o:title=""/>
                </v:shape>
                <o:OLEObject Type="Embed" ProgID="Word.OpenDocumentText.12" ShapeID="ole_rId19" DrawAspect="Icon" ObjectID="_2005482750" r:id="rId19"/>
              </w:object>
            </w:r>
          </w:p>
        </w:tc>
        <w:tc>
          <w:tcPr>
            <w:tcW w:w="6671" w:type="dxa"/>
            <w:tcBorders/>
          </w:tcPr>
          <w:p>
            <w:pPr>
              <w:pStyle w:val="Normal"/>
              <w:keepNext w:val="true"/>
              <w:widowControl w:val="false"/>
              <w:spacing w:before="60" w:after="60"/>
              <w:contextualSpacing/>
              <w:rPr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>ПРИЛОЖЕНИЕ № 5. ТРЕБОВАНИЯ К ОФОРМЛЕНИЮ И СОСТАВЛЕНИЮ СМЕТНОЙ ДОКУМЕНТАЦИИ НА ВЫПОЛНЕНИЕ ПРОЕКТНЫХ РАБОТ</w:t>
            </w:r>
          </w:p>
        </w:tc>
      </w:tr>
      <w:tr>
        <w:trPr/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contextualSpacing/>
              <w:jc w:val="both"/>
              <w:rPr>
                <w:rFonts w:eastAsia="Calibri"/>
                <w:sz w:val="22"/>
                <w:szCs w:val="24"/>
                <w:lang w:val="en-US"/>
              </w:rPr>
            </w:pPr>
            <w:r>
              <w:rPr>
                <w:rFonts w:eastAsia="Calibri"/>
                <w:sz w:val="22"/>
                <w:szCs w:val="24"/>
                <w:lang w:val="en-US"/>
              </w:rPr>
              <w:t>‍</w:t>
            </w:r>
            <w:r>
              <w:rPr>
                <w:rFonts w:eastAsia="Calibri"/>
                <w:sz w:val="22"/>
                <w:szCs w:val="24"/>
                <w:lang w:val="en-US"/>
              </w:rPr>
              <w:t>6</w:t>
            </w:r>
            <w:bookmarkStart w:id="51" w:name="_MON_1844833453"/>
            <w:bookmarkEnd w:id="51"/>
          </w:p>
        </w:tc>
        <w:tc>
          <w:tcPr>
            <w:tcW w:w="2411" w:type="dxa"/>
            <w:tcBorders/>
          </w:tcPr>
          <w:p>
            <w:pPr>
              <w:pStyle w:val="Normal"/>
              <w:keepNext w:val="true"/>
              <w:widowControl w:val="false"/>
              <w:suppressAutoHyphens w:val="false"/>
              <w:spacing w:before="120" w:after="120"/>
              <w:jc w:val="center"/>
              <w:rPr/>
            </w:pPr>
            <w:r>
              <w:rPr/>
              <w:object>
                <v:shapetype id="_x0000_tole_rId21" coordsize="21600,21600" o:spt="ole_rId21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21" type="_x0000_tole_rId21" style="width:76.75pt;height:49.7pt;mso-wrap-distance-right:0pt;mso-wrap-distance-bottom:6pt" filled="f" o:ole="">
                  <v:imagedata r:id="rId22" o:title=""/>
                </v:shape>
                <o:OLEObject Type="Embed" ProgID="Word.Document.12" ShapeID="ole_rId21" DrawAspect="Icon" ObjectID="_1455470495" r:id="rId21"/>
              </w:object>
            </w:r>
          </w:p>
        </w:tc>
        <w:tc>
          <w:tcPr>
            <w:tcW w:w="6671" w:type="dxa"/>
            <w:tcBorders/>
          </w:tcPr>
          <w:p>
            <w:pPr>
              <w:pStyle w:val="Normal"/>
              <w:keepNext w:val="true"/>
              <w:widowControl w:val="false"/>
              <w:spacing w:before="60" w:after="60"/>
              <w:contextualSpacing/>
              <w:rPr>
                <w:sz w:val="24"/>
                <w:szCs w:val="24"/>
              </w:rPr>
            </w:pPr>
            <w:r>
              <w:rPr>
                <w:iCs/>
                <w:color w:val="000000"/>
                <w:sz w:val="24"/>
                <w:szCs w:val="24"/>
              </w:rPr>
              <w:t>ПРИЛОЖЕНИЕ № 6. ТРЕБОВАНИЯ К ОФОРМЛЕНИЮ И СОСТАВЛЕНИЮ СМЕТНОЙ ДОКУМЕНТАЦИИ НА РАБОТЫ ПО ПРОГРАММЕ РЕМОНТОВ, РЕКОНСТРУКЦИИ И ТЕХНИЧЕСКОМУ ПЕРЕВООРУЖЕНИЮ</w:t>
            </w:r>
          </w:p>
        </w:tc>
      </w:tr>
      <w:tr>
        <w:trPr>
          <w:trHeight w:val="604" w:hRule="atLeast"/>
        </w:trPr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contextualSpacing/>
              <w:jc w:val="both"/>
              <w:rPr>
                <w:rFonts w:eastAsia="Calibri"/>
                <w:sz w:val="22"/>
                <w:szCs w:val="24"/>
                <w:lang w:val="en-US"/>
              </w:rPr>
            </w:pPr>
            <w:r>
              <w:rPr>
                <w:rFonts w:eastAsia="Calibri"/>
                <w:sz w:val="22"/>
                <w:szCs w:val="24"/>
                <w:lang w:val="en-US"/>
              </w:rPr>
              <w:t>7</w:t>
            </w:r>
          </w:p>
        </w:tc>
        <w:tc>
          <w:tcPr>
            <w:tcW w:w="2411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jc w:val="center"/>
              <w:rPr/>
            </w:pPr>
            <w:r>
              <w:rPr/>
              <mc:AlternateContent>
                <mc:Choice Requires="wps">
                  <w:drawing>
                    <wp:anchor behindDoc="0" distT="0" distB="0" distL="635" distR="0" simplePos="0" locked="0" layoutInCell="0" allowOverlap="1" relativeHeight="4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5" name="_x0000_tole_rId15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/>
                              <a:fillRef idx="0"/>
                              <a:effectRef idx="0"/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shape_0" ID="_x0000_tole_rId15" path="m0,0l-2147483645,0l-2147483645,-2147483646l0,-2147483646xe" stroked="f" o:allowincell="f" style="position:absolute;margin-left:0.05pt;margin-top:0.05pt;width:49.95pt;height:49.95pt;mso-wrap-style:none;v-text-anchor:middle">
                      <v:fill o:detectmouseclick="t" on="false"/>
                      <v:stroke color="#3465a4" joinstyle="round" endcap="flat"/>
                      <w10:wrap type="none"/>
                    </v:rect>
                  </w:pict>
                </mc:Fallback>
              </mc:AlternateContent>
              <mc:AlternateContent>
                <mc:Choice Requires="wps">
                  <w:drawing>
                    <wp:anchor behindDoc="0" distT="0" distB="0" distL="635" distR="0" simplePos="0" locked="0" layoutInCell="0" allowOverlap="1" relativeHeight="8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6" name="_x0000_tole_rId13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/>
                              <a:fillRef idx="0"/>
                              <a:effectRef idx="0"/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shape_0" ID="_x0000_tole_rId13" path="m0,0l-2147483645,0l-2147483645,-2147483646l0,-2147483646xe" stroked="f" o:allowincell="f" style="position:absolute;margin-left:0.05pt;margin-top:0.05pt;width:49.95pt;height:49.95pt;mso-wrap-style:none;v-text-anchor:middle">
                      <v:fill o:detectmouseclick="t" on="false"/>
                      <v:stroke color="#3465a4" joinstyle="round" endcap="flat"/>
                      <w10:wrap type="none"/>
                    </v:rect>
                  </w:pict>
                </mc:Fallback>
              </mc:AlternateContent>
              <w:object>
                <v:shapetype id="_x0000_tole_rId23" coordsize="21600,21600" o:spt="ole_rId23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23" type="_x0000_tole_rId23" style="width:68.25pt;height:43.5pt;mso-wrap-distance-right:0pt;mso-wrap-distance-bottom:6pt" filled="f" o:ole="">
                  <v:imagedata r:id="rId24" o:title=""/>
                </v:shape>
                <o:OLEObject Type="Embed" ProgID="Word.Document.12" ShapeID="ole_rId23" DrawAspect="Icon" ObjectID="_436488315" r:id="rId23"/>
              </w:object>
            </w:r>
          </w:p>
        </w:tc>
        <w:tc>
          <w:tcPr>
            <w:tcW w:w="6671" w:type="dxa"/>
            <w:tcBorders/>
          </w:tcPr>
          <w:p>
            <w:pPr>
              <w:pStyle w:val="Normal"/>
              <w:widowControl w:val="false"/>
              <w:suppressAutoHyphens w:val="false"/>
              <w:spacing w:lineRule="auto" w:line="259" w:before="120" w:after="0"/>
              <w:jc w:val="both"/>
              <w:rPr>
                <w:caps/>
                <w:sz w:val="24"/>
                <w:szCs w:val="24"/>
              </w:rPr>
            </w:pPr>
            <w:r>
              <w:rPr>
                <w:caps/>
                <w:sz w:val="24"/>
                <w:szCs w:val="24"/>
              </w:rPr>
              <w:t>ПРИЛОЖЕНИЕ 7. УСЛОВИЯ ПОСТАВКИ, МАРКИРОВКА И РЕКВИЗИТЫ</w:t>
            </w:r>
          </w:p>
        </w:tc>
      </w:tr>
      <w:tr>
        <w:trPr>
          <w:trHeight w:val="604" w:hRule="atLeast"/>
        </w:trPr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contextualSpacing/>
              <w:jc w:val="both"/>
              <w:rPr>
                <w:rFonts w:eastAsia="Calibri"/>
                <w:sz w:val="22"/>
                <w:szCs w:val="24"/>
                <w:lang w:val="en-US"/>
              </w:rPr>
            </w:pPr>
            <w:r>
              <w:rPr>
                <w:rFonts w:eastAsia="Calibri"/>
                <w:sz w:val="22"/>
                <w:szCs w:val="24"/>
                <w:lang w:val="en-US"/>
              </w:rPr>
              <w:t>8</w:t>
            </w:r>
          </w:p>
        </w:tc>
        <w:tc>
          <w:tcPr>
            <w:tcW w:w="2411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jc w:val="center"/>
              <w:rPr/>
            </w:pPr>
            <w:r>
              <w:rPr/>
              <mc:AlternateContent>
                <mc:Choice Requires="wps">
                  <w:drawing>
                    <wp:anchor behindDoc="0" distT="0" distB="0" distL="635" distR="0" simplePos="0" locked="0" layoutInCell="0" allowOverlap="1" relativeHeight="5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7" name="_x0000_tole_rId17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/>
                              <a:fillRef idx="0"/>
                              <a:effectRef idx="0"/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shape_0" ID="_x0000_tole_rId17" path="m0,0l-2147483645,0l-2147483645,-2147483646l0,-2147483646xe" stroked="f" o:allowincell="f" style="position:absolute;margin-left:0.05pt;margin-top:0.05pt;width:49.95pt;height:49.95pt;mso-wrap-style:none;v-text-anchor:middle">
                      <v:fill o:detectmouseclick="t" on="false"/>
                      <v:stroke color="#3465a4" joinstyle="round" endcap="flat"/>
                      <w10:wrap type="none"/>
                    </v:rect>
                  </w:pict>
                </mc:Fallback>
              </mc:AlternateContent>
              <mc:AlternateContent>
                <mc:Choice Requires="wps">
                  <w:drawing>
                    <wp:anchor behindDoc="0" distT="0" distB="0" distL="635" distR="0" simplePos="0" locked="0" layoutInCell="0" allowOverlap="1" relativeHeight="9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8" name="_x0000_tole_rId15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/>
                              <a:fillRef idx="0"/>
                              <a:effectRef idx="0"/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shape_0" ID="_x0000_tole_rId15" path="m0,0l-2147483645,0l-2147483645,-2147483646l0,-2147483646xe" stroked="f" o:allowincell="f" style="position:absolute;margin-left:0.05pt;margin-top:0.05pt;width:49.95pt;height:49.95pt;mso-wrap-style:none;v-text-anchor:middle">
                      <v:fill o:detectmouseclick="t" on="false"/>
                      <v:stroke color="#3465a4" joinstyle="round" endcap="flat"/>
                      <w10:wrap type="none"/>
                    </v:rect>
                  </w:pict>
                </mc:Fallback>
              </mc:AlternateContent>
              <w:object>
                <v:shapetype id="_x0000_tole_rId25" coordsize="21600,21600" o:spt="ole_rId2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25" type="_x0000_tole_rId25" style="width:77.25pt;height:49.5pt;mso-wrap-distance-right:0pt;mso-wrap-distance-bottom:6pt" filled="f" o:ole="">
                  <v:imagedata r:id="rId26" o:title=""/>
                </v:shape>
                <o:OLEObject Type="Embed" ProgID="Word.Document.12" ShapeID="ole_rId25" DrawAspect="Icon" ObjectID="_1613789890" r:id="rId25"/>
              </w:object>
            </w:r>
          </w:p>
        </w:tc>
        <w:tc>
          <w:tcPr>
            <w:tcW w:w="6671" w:type="dxa"/>
            <w:tcBorders/>
          </w:tcPr>
          <w:p>
            <w:pPr>
              <w:pStyle w:val="Normal"/>
              <w:widowControl w:val="false"/>
              <w:suppressAutoHyphens w:val="false"/>
              <w:spacing w:lineRule="auto" w:line="259" w:before="120" w:after="0"/>
              <w:jc w:val="both"/>
              <w:rPr>
                <w:caps/>
                <w:sz w:val="24"/>
                <w:szCs w:val="24"/>
              </w:rPr>
            </w:pPr>
            <w:r>
              <w:rPr>
                <w:caps/>
                <w:sz w:val="24"/>
                <w:szCs w:val="24"/>
              </w:rPr>
              <w:t>ПРИЛОЖЕНИЕ 8. ФОРМА СПЕЦИФИКАЦИИ ОТГРУЗОЧНЫХ МЕСТ</w:t>
            </w:r>
          </w:p>
        </w:tc>
      </w:tr>
      <w:tr>
        <w:trPr>
          <w:trHeight w:val="604" w:hRule="atLeast"/>
        </w:trPr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contextualSpacing/>
              <w:jc w:val="both"/>
              <w:rPr>
                <w:rFonts w:eastAsia="Calibri"/>
                <w:sz w:val="22"/>
                <w:szCs w:val="24"/>
                <w:lang w:val="en-US"/>
              </w:rPr>
            </w:pPr>
            <w:r>
              <w:rPr>
                <w:rFonts w:eastAsia="Calibri"/>
                <w:sz w:val="22"/>
                <w:szCs w:val="24"/>
                <w:lang w:val="en-US"/>
              </w:rPr>
              <w:t>9</w:t>
            </w:r>
          </w:p>
        </w:tc>
        <w:tc>
          <w:tcPr>
            <w:tcW w:w="2411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jc w:val="center"/>
              <w:rPr/>
            </w:pPr>
            <w:r>
              <w:rPr/>
              <mc:AlternateContent>
                <mc:Choice Requires="wps">
                  <w:drawing>
                    <wp:anchor behindDoc="0" distT="0" distB="0" distL="635" distR="0" simplePos="0" locked="0" layoutInCell="0" allowOverlap="1" relativeHeight="6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9" name="_x0000_tole_rId19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/>
                              <a:fillRef idx="0"/>
                              <a:effectRef idx="0"/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shape_0" ID="_x0000_tole_rId19" path="m0,0l-2147483645,0l-2147483645,-2147483646l0,-2147483646xe" stroked="f" o:allowincell="f" style="position:absolute;margin-left:0.05pt;margin-top:0.05pt;width:49.95pt;height:49.95pt;mso-wrap-style:none;v-text-anchor:middle">
                      <v:fill o:detectmouseclick="t" on="false"/>
                      <v:stroke color="#3465a4" joinstyle="round" endcap="flat"/>
                      <w10:wrap type="none"/>
                    </v:rect>
                  </w:pict>
                </mc:Fallback>
              </mc:AlternateContent>
              <mc:AlternateContent>
                <mc:Choice Requires="wps">
                  <w:drawing>
                    <wp:anchor behindDoc="0" distT="0" distB="0" distL="635" distR="0" simplePos="0" locked="0" layoutInCell="0" allowOverlap="1" relativeHeight="10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10" name="_x0000_tole_rId17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/>
                              <a:fillRef idx="0"/>
                              <a:effectRef idx="0"/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shape_0" ID="_x0000_tole_rId17" path="m0,0l-2147483645,0l-2147483645,-2147483646l0,-2147483646xe" stroked="f" o:allowincell="f" style="position:absolute;margin-left:0.05pt;margin-top:0.05pt;width:49.95pt;height:49.95pt;mso-wrap-style:none;v-text-anchor:middle">
                      <v:fill o:detectmouseclick="t" on="false"/>
                      <v:stroke color="#3465a4" joinstyle="round" endcap="flat"/>
                      <w10:wrap type="none"/>
                    </v:rect>
                  </w:pict>
                </mc:Fallback>
              </mc:AlternateContent>
              <w:object>
                <v:shapetype id="_x0000_tole_rId27" coordsize="21600,21600" o:spt="ole_rId27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27" type="_x0000_tole_rId27" style="width:68.3pt;height:43.5pt;mso-wrap-distance-right:0pt;mso-wrap-distance-bottom:6pt" filled="f" o:ole="">
                  <v:imagedata r:id="rId28" o:title=""/>
                </v:shape>
                <o:OLEObject Type="Embed" ProgID="Word.Document.12" ShapeID="ole_rId27" DrawAspect="Icon" ObjectID="_1047632189" r:id="rId27"/>
              </w:object>
            </w:r>
          </w:p>
        </w:tc>
        <w:tc>
          <w:tcPr>
            <w:tcW w:w="6671" w:type="dxa"/>
            <w:tcBorders/>
          </w:tcPr>
          <w:p>
            <w:pPr>
              <w:pStyle w:val="Normal"/>
              <w:widowControl w:val="false"/>
              <w:suppressAutoHyphens w:val="false"/>
              <w:spacing w:lineRule="auto" w:line="259" w:before="120" w:after="0"/>
              <w:jc w:val="both"/>
              <w:rPr>
                <w:sz w:val="24"/>
                <w:szCs w:val="24"/>
              </w:rPr>
            </w:pPr>
            <w:r>
              <w:rPr>
                <w:caps/>
                <w:sz w:val="24"/>
                <w:szCs w:val="24"/>
              </w:rPr>
              <w:t>ПРИЛОЖЕНИЕ 9. ФОРМА АКТА О ВЫЯВЛЕННЫХ НЕДОСТАТКАХ</w:t>
            </w:r>
          </w:p>
        </w:tc>
      </w:tr>
      <w:tr>
        <w:trPr>
          <w:trHeight w:val="604" w:hRule="atLeast"/>
        </w:trPr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contextualSpacing/>
              <w:jc w:val="both"/>
              <w:rPr>
                <w:rFonts w:eastAsia="Calibri"/>
                <w:sz w:val="22"/>
                <w:szCs w:val="24"/>
                <w:lang w:val="en-US"/>
              </w:rPr>
            </w:pPr>
            <w:r>
              <w:rPr>
                <w:rFonts w:eastAsia="Calibri"/>
                <w:sz w:val="22"/>
                <w:szCs w:val="24"/>
                <w:lang w:val="en-US"/>
              </w:rPr>
              <w:t>10</w:t>
            </w:r>
            <w:bookmarkStart w:id="52" w:name="_GoBack"/>
          </w:p>
        </w:tc>
        <w:tc>
          <w:tcPr>
            <w:tcW w:w="2411" w:type="dxa"/>
            <w:tcBorders/>
          </w:tcPr>
          <w:p>
            <w:pPr>
              <w:pStyle w:val="Normal"/>
              <w:widowControl w:val="false"/>
              <w:suppressAutoHyphens w:val="false"/>
              <w:spacing w:before="120" w:after="120"/>
              <w:jc w:val="center"/>
              <w:rPr/>
            </w:pPr>
            <w:bookmarkEnd w:id="52"/>
            <w:r>
              <w:rPr/>
              <w:object>
                <v:shapetype id="_x0000_tole_rId29" coordsize="21600,21600" o:spt="ole_rId29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29" type="_x0000_tole_rId29" style="width:76.75pt;height:49.7pt;mso-wrap-distance-right:0pt;mso-wrap-distance-bottom:6pt" filled="f" o:ole="">
                  <v:imagedata r:id="rId30" o:title=""/>
                </v:shape>
                <o:OLEObject Type="Embed" ProgID="Package" ShapeID="ole_rId29" DrawAspect="Icon" ObjectID="_294039613" r:id="rId29"/>
              </w:object>
            </w:r>
          </w:p>
        </w:tc>
        <w:tc>
          <w:tcPr>
            <w:tcW w:w="6671" w:type="dxa"/>
            <w:tcBorders/>
          </w:tcPr>
          <w:p>
            <w:pPr>
              <w:pStyle w:val="Normal"/>
              <w:widowControl w:val="false"/>
              <w:suppressAutoHyphens w:val="false"/>
              <w:spacing w:lineRule="auto" w:line="259" w:before="120" w:after="0"/>
              <w:jc w:val="both"/>
              <w:rPr>
                <w:sz w:val="24"/>
                <w:szCs w:val="24"/>
              </w:rPr>
            </w:pPr>
            <w:r>
              <w:rPr>
                <w:caps/>
                <w:sz w:val="24"/>
                <w:szCs w:val="24"/>
              </w:rPr>
              <w:t>ПРИЛОЖЕНИЕ 10. Исходные данные для создания РЩУ ГАЭС ККГЭС.</w:t>
            </w:r>
          </w:p>
        </w:tc>
      </w:tr>
    </w:tbl>
    <w:p>
      <w:pPr>
        <w:pStyle w:val="Normal"/>
        <w:rPr/>
      </w:pPr>
      <w:r>
        <w:rPr/>
        <w:tab/>
      </w:r>
    </w:p>
    <w:sectPr>
      <w:headerReference w:type="default" r:id="rId31"/>
      <w:headerReference w:type="first" r:id="rId32"/>
      <w:footerReference w:type="default" r:id="rId33"/>
      <w:footerReference w:type="first" r:id="rId34"/>
      <w:footnotePr>
        <w:numFmt w:val="decimal"/>
      </w:footnotePr>
      <w:type w:val="nextPage"/>
      <w:pgSz w:w="11906" w:h="16838"/>
      <w:pgMar w:left="1418" w:right="567" w:gutter="0" w:header="0" w:top="567" w:footer="284" w:bottom="709"/>
      <w:pgNumType w:start="26" w:fmt="decimal"/>
      <w:formProt w:val="false"/>
      <w:titlePg/>
      <w:textDirection w:val="lrTb"/>
      <w:docGrid w:type="default" w:linePitch="381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Cambria">
    <w:charset w:val="01"/>
    <w:family w:val="roman"/>
    <w:pitch w:val="variable"/>
  </w:font>
  <w:font w:name="Arial">
    <w:charset w:val="01"/>
    <w:family w:val="roman"/>
    <w:pitch w:val="variable"/>
  </w:font>
  <w:font w:name="Calibri">
    <w:charset w:val="01"/>
    <w:family w:val="roman"/>
    <w:pitch w:val="variable"/>
  </w:font>
  <w:font w:name="OpenSymbol">
    <w:altName w:val="Arial Unicode MS"/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Tahoma">
    <w:charset w:val="01"/>
    <w:family w:val="roman"/>
    <w:pitch w:val="variable"/>
  </w:font>
  <w:font w:name="Arial Unicode MS">
    <w:charset w:val="01"/>
    <w:family w:val="roman"/>
    <w:pitch w:val="variable"/>
  </w:font>
  <w:font w:name="Verdana">
    <w:charset w:val="01"/>
    <w:family w:val="roman"/>
    <w:pitch w:val="variable"/>
  </w:font>
  <w:font w:name="Garamond">
    <w:charset w:val="01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default"/>
  </w:font>
  <w:font w:name="Symbol">
    <w:charset w:val="02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sdt>
    <w:sdtPr>
      <w:docPartObj>
        <w:docPartGallery w:val="Page Numbers (Bottom of Page)"/>
        <w:docPartUnique w:val="true"/>
      </w:docPartObj>
      <w:id w:val="1797599320"/>
    </w:sdtPr>
    <w:sdtContent>
      <w:p>
        <w:pPr>
          <w:pStyle w:val="Footer"/>
          <w:jc w:val="right"/>
          <w:rPr>
            <w:sz w:val="24"/>
            <w:szCs w:val="24"/>
          </w:rPr>
        </w:pPr>
        <w:r>
          <w:rPr/>
          <w:fldChar w:fldCharType="begin"/>
        </w:r>
        <w:r>
          <w:rPr/>
          <w:instrText xml:space="preserve"> PAGE </w:instrText>
        </w:r>
        <w:r>
          <w:rPr/>
          <w:fldChar w:fldCharType="separate"/>
        </w:r>
        <w:r>
          <w:rPr/>
          <w:t>5</w:t>
        </w:r>
        <w:r>
          <w:rPr/>
          <w:fldChar w:fldCharType="end"/>
        </w:r>
      </w:p>
    </w:sdtContent>
  </w:sdt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sdt>
    <w:sdtPr>
      <w:docPartObj>
        <w:docPartGallery w:val="Page Numbers (Bottom of Page)"/>
        <w:docPartUnique w:val="true"/>
      </w:docPartObj>
      <w:id w:val="1347034436"/>
    </w:sdtPr>
    <w:sdtContent>
      <w:p>
        <w:pPr>
          <w:pStyle w:val="Footer"/>
          <w:tabs>
            <w:tab w:val="clear" w:pos="9355"/>
            <w:tab w:val="right" w:pos="0" w:leader="none"/>
            <w:tab w:val="center" w:pos="4677" w:leader="none"/>
          </w:tabs>
          <w:jc w:val="right"/>
          <w:rPr/>
        </w:pPr>
        <w:r>
          <w:rPr/>
          <w:fldChar w:fldCharType="begin"/>
        </w:r>
        <w:r>
          <w:rPr/>
          <w:instrText xml:space="preserve"> PAGE </w:instrText>
        </w:r>
        <w:r>
          <w:rPr/>
          <w:fldChar w:fldCharType="separate"/>
        </w:r>
        <w:r>
          <w:rPr/>
          <w:t>1</w:t>
        </w:r>
        <w:r>
          <w:rPr/>
          <w:fldChar w:fldCharType="end"/>
        </w:r>
      </w:p>
    </w:sdtContent>
  </w:sdt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sdt>
    <w:sdtPr>
      <w:docPartObj>
        <w:docPartGallery w:val="Page Numbers (Bottom of Page)"/>
        <w:docPartUnique w:val="true"/>
      </w:docPartObj>
      <w:id w:val="982235678"/>
    </w:sdtPr>
    <w:sdtContent>
      <w:p>
        <w:pPr>
          <w:pStyle w:val="Footer"/>
          <w:jc w:val="right"/>
          <w:rPr>
            <w:sz w:val="24"/>
            <w:szCs w:val="24"/>
          </w:rPr>
        </w:pPr>
        <w:r>
          <w:rPr/>
          <w:fldChar w:fldCharType="begin"/>
        </w:r>
        <w:r>
          <w:rPr/>
          <w:instrText xml:space="preserve"> PAGE </w:instrText>
        </w:r>
        <w:r>
          <w:rPr/>
          <w:fldChar w:fldCharType="separate"/>
        </w:r>
        <w:r>
          <w:rPr/>
          <w:t>35</w:t>
        </w:r>
        <w:r>
          <w:rPr/>
          <w:fldChar w:fldCharType="end"/>
        </w:r>
      </w:p>
    </w:sdtContent>
  </w:sdt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sdt>
    <w:sdtPr>
      <w:docPartObj>
        <w:docPartGallery w:val="Page Numbers (Bottom of Page)"/>
        <w:docPartUnique w:val="true"/>
      </w:docPartObj>
      <w:id w:val="905312316"/>
    </w:sdtPr>
    <w:sdtContent>
      <w:p>
        <w:pPr>
          <w:pStyle w:val="Footer"/>
          <w:jc w:val="right"/>
          <w:rPr>
            <w:sz w:val="24"/>
            <w:szCs w:val="24"/>
          </w:rPr>
        </w:pPr>
        <w:r>
          <w:rPr/>
          <w:fldChar w:fldCharType="begin"/>
        </w:r>
        <w:r>
          <w:rPr/>
          <w:instrText xml:space="preserve"> PAGE </w:instrText>
        </w:r>
        <w:r>
          <w:rPr/>
          <w:fldChar w:fldCharType="separate"/>
        </w:r>
        <w:r>
          <w:rPr/>
          <w:t>27</w:t>
        </w:r>
        <w:r>
          <w:rPr/>
          <w:fldChar w:fldCharType="end"/>
        </w:r>
      </w:p>
    </w:sdtContent>
  </w:sdt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rPr/>
    </w:pPr>
    <w:r>
      <w:rPr/>
    </w:r>
  </w:p>
</w:ftr>
</file>

<file path=word/footnotes.xml><?xml version="1.0" encoding="utf-8"?>
<w:footnotes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footnote w:id="0" w:type="separator">
    <w:p>
      <w:pPr>
        <w:rPr>
          <w:sz w:val="12"/>
        </w:rPr>
      </w:pPr>
      <w:r>
        <w:separator/>
      </w:r>
    </w:p>
  </w:footnote>
  <w:footnote w:id="1" w:type="continuationSeparator">
    <w:p>
      <w:pPr>
        <w:rPr>
          <w:sz w:val="12"/>
        </w:rPr>
      </w:pPr>
      <w:r>
        <w:continuationSeparator/>
      </w:r>
    </w:p>
  </w:footnote>
  <w:footnote w:id="2">
    <w:p>
      <w:pPr>
        <w:pStyle w:val="FootnoteText"/>
        <w:widowControl w:val="false"/>
        <w:rPr>
          <w:rFonts w:eastAsia="Calibri"/>
        </w:rPr>
      </w:pPr>
      <w:r>
        <w:rPr>
          <w:rStyle w:val="Style"/>
        </w:rPr>
        <w:footnoteRef/>
      </w:r>
      <w:r>
        <w:rPr/>
      </w:r>
    </w:p>
  </w:footnote>
  <w:footnote w:id="3">
    <w:p>
      <w:pPr>
        <w:pStyle w:val="FootnoteText"/>
        <w:widowControl w:val="false"/>
        <w:rPr/>
      </w:pPr>
      <w:r>
        <w:rPr>
          <w:rStyle w:val="Style"/>
        </w:rPr>
        <w:footnoteRef/>
      </w:r>
      <w:r>
        <w:rPr/>
      </w:r>
    </w:p>
  </w:footnote>
  <w:footnote w:id="4">
    <w:p>
      <w:pPr>
        <w:pStyle w:val="FootnoteText"/>
        <w:widowControl w:val="false"/>
        <w:rPr/>
      </w:pPr>
      <w:r>
        <w:rPr>
          <w:rStyle w:val="Style"/>
        </w:rPr>
        <w:footnoteRef/>
      </w:r>
      <w:r>
        <w:rPr/>
      </w:r>
    </w:p>
  </w:footnote>
</w:footnote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  <mc:AlternateContent>
        <mc:Choice Requires="wps">
          <w:drawing>
            <wp:anchor behindDoc="0" distT="0" distB="0" distL="0" distR="0" simplePos="0" locked="0" layoutInCell="0" allowOverlap="1" relativeHeight="2" wp14:anchorId="3E0C1969">
              <wp:simplePos x="0" y="0"/>
              <wp:positionH relativeFrom="margin">
                <wp:align>center</wp:align>
              </wp:positionH>
              <wp:positionV relativeFrom="paragraph">
                <wp:posOffset>635</wp:posOffset>
              </wp:positionV>
              <wp:extent cx="14605" cy="14605"/>
              <wp:effectExtent l="0" t="0" r="0" b="0"/>
              <wp:wrapSquare wrapText="bothSides"/>
              <wp:docPr id="1" name="Врезка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760" cy="1476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Header"/>
                            <w:rPr>
                              <w:rStyle w:val="Pagenumber"/>
                            </w:rPr>
                          </w:pPr>
                          <w:r>
                            <w:rPr>
                              <w:rStyle w:val="Pagenumber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t>0</w: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1" path="m0,0l-2147483645,0l-2147483645,-2147483646l0,-2147483646xe" stroked="f" o:allowincell="f" style="position:absolute;margin-left:0pt;margin-top:0.05pt;width:1.1pt;height:1.1pt;mso-wrap-style:square;v-text-anchor:top;mso-position-horizontal:center;mso-position-horizontal-relative:margin" wp14:anchorId="3E0C1969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Header"/>
                      <w:rPr>
                        <w:rStyle w:val="Pagenumber"/>
                      </w:rPr>
                    </w:pPr>
                    <w:r>
                      <w:rPr>
                        <w:rStyle w:val="Pagenumber"/>
                        <w:color w:val="000000"/>
                      </w:rPr>
                      <w:fldChar w:fldCharType="begin"/>
                    </w:r>
                    <w:r>
                      <w:rPr>
                        <w:rStyle w:val="Pagenumber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Pagenumber"/>
                        <w:color w:val="000000"/>
                      </w:rPr>
                      <w:fldChar w:fldCharType="separate"/>
                    </w:r>
                    <w:r>
                      <w:rPr>
                        <w:rStyle w:val="Pagenumber"/>
                        <w:color w:val="000000"/>
                      </w:rPr>
                      <w:t>0</w:t>
                    </w:r>
                    <w:r>
                      <w:rPr>
                        <w:rStyle w:val="Pagenumber"/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27</w:t>
    </w:r>
    <w:r>
      <w:rPr/>
      <w:fldChar w:fldCharType="end"/>
    </w:r>
  </w:p>
</w:hdr>
</file>

<file path=word/header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pStyle w:val="Heading1"/>
      <w:numFmt w:val="decimal"/>
      <w:lvlText w:val="%1"/>
      <w:lvlJc w:val="left"/>
      <w:pPr>
        <w:tabs>
          <w:tab w:val="num" w:pos="0"/>
        </w:tabs>
        <w:ind w:left="432" w:hanging="432"/>
      </w:pPr>
      <w:rPr/>
    </w:lvl>
    <w:lvl w:ilvl="1">
      <w:start w:val="1"/>
      <w:pStyle w:val="Heading2"/>
      <w:numFmt w:val="decimal"/>
      <w:lvlText w:val="%1.%2"/>
      <w:lvlJc w:val="left"/>
      <w:pPr>
        <w:tabs>
          <w:tab w:val="num" w:pos="0"/>
        </w:tabs>
        <w:ind w:left="576" w:hanging="576"/>
      </w:pPr>
      <w:rPr/>
    </w:lvl>
    <w:lvl w:ilvl="2">
      <w:start w:val="1"/>
      <w:pStyle w:val="Heading3"/>
      <w:numFmt w:val="decimal"/>
      <w:lvlText w:val="%1.%2.%3"/>
      <w:lvlJc w:val="left"/>
      <w:pPr>
        <w:tabs>
          <w:tab w:val="num" w:pos="0"/>
        </w:tabs>
        <w:ind w:left="720" w:hanging="720"/>
      </w:pPr>
      <w:rPr/>
    </w:lvl>
    <w:lvl w:ilvl="3">
      <w:start w:val="1"/>
      <w:pStyle w:val="Heading4"/>
      <w:numFmt w:val="decimal"/>
      <w:lvlText w:val="%1.%2.%3.%4"/>
      <w:lvlJc w:val="left"/>
      <w:pPr>
        <w:tabs>
          <w:tab w:val="num" w:pos="0"/>
        </w:tabs>
        <w:ind w:left="864" w:hanging="864"/>
      </w:pPr>
      <w:rPr/>
    </w:lvl>
    <w:lvl w:ilvl="4">
      <w:start w:val="1"/>
      <w:pStyle w:val="Heading5"/>
      <w:numFmt w:val="decimal"/>
      <w:lvlText w:val="%1.%2.%3.%4.%5"/>
      <w:lvlJc w:val="left"/>
      <w:pPr>
        <w:tabs>
          <w:tab w:val="num" w:pos="0"/>
        </w:tabs>
        <w:ind w:left="1008" w:hanging="1008"/>
      </w:pPr>
      <w:rPr/>
    </w:lvl>
    <w:lvl w:ilvl="5">
      <w:start w:val="1"/>
      <w:pStyle w:val="Heading6"/>
      <w:numFmt w:val="decimal"/>
      <w:lvlText w:val="%1.%2.%3.%4.%5.%6"/>
      <w:lvlJc w:val="left"/>
      <w:pPr>
        <w:tabs>
          <w:tab w:val="num" w:pos="0"/>
        </w:tabs>
        <w:ind w:left="1152" w:hanging="1152"/>
      </w:pPr>
      <w:rPr/>
    </w:lvl>
    <w:lvl w:ilvl="6">
      <w:start w:val="1"/>
      <w:pStyle w:val="Heading7"/>
      <w:numFmt w:val="decimal"/>
      <w:lvlText w:val="%1.%2.%3.%4.%5.%6.%7"/>
      <w:lvlJc w:val="left"/>
      <w:pPr>
        <w:tabs>
          <w:tab w:val="num" w:pos="0"/>
        </w:tabs>
        <w:ind w:left="1296" w:hanging="1296"/>
      </w:pPr>
      <w:rPr/>
    </w:lvl>
    <w:lvl w:ilvl="7">
      <w:start w:val="1"/>
      <w:pStyle w:val="Heading8"/>
      <w:numFmt w:val="decimal"/>
      <w:lvlText w:val="%1.%2.%3.%4.%5.%6.%7.%8"/>
      <w:lvlJc w:val="left"/>
      <w:pPr>
        <w:tabs>
          <w:tab w:val="num" w:pos="0"/>
        </w:tabs>
        <w:ind w:left="1440" w:hanging="1440"/>
      </w:pPr>
      <w:rPr/>
    </w:lvl>
    <w:lvl w:ilvl="8">
      <w:start w:val="1"/>
      <w:pStyle w:val="Heading9"/>
      <w:numFmt w:val="decimal"/>
      <w:lvlText w:val="%1.%2.%3.%4.%5.%6.%7.%8.%9"/>
      <w:lvlJc w:val="left"/>
      <w:pPr>
        <w:tabs>
          <w:tab w:val="num" w:pos="0"/>
        </w:tabs>
        <w:ind w:left="1584" w:hanging="1584"/>
      </w:pPr>
      <w:rPr/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/>
    </w:lvl>
    <w:lvl w:ilvl="1">
      <w:start w:val="1"/>
      <w:numFmt w:val="decimal"/>
      <w:lvlText w:val="%1.%2."/>
      <w:lvlJc w:val="left"/>
      <w:pPr>
        <w:tabs>
          <w:tab w:val="num" w:pos="357"/>
        </w:tabs>
        <w:ind w:left="0" w:hanging="0"/>
      </w:pPr>
      <w:rPr/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hanging="0"/>
      </w:pPr>
      <w:rPr/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hanging="0"/>
      </w:pPr>
      <w:rPr/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hanging="0"/>
      </w:pPr>
      <w:rPr/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hanging="0"/>
      </w:pPr>
      <w:rPr/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hanging="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hanging="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hanging="0"/>
      </w:pPr>
      <w:rPr/>
    </w:lvl>
  </w:abstractNum>
  <w:abstractNum w:abstractNumId="3">
    <w:lvl w:ilvl="0">
      <w:start w:val="4"/>
      <w:numFmt w:val="bullet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4">
    <w:lvl w:ilvl="0">
      <w:start w:val="1"/>
      <w:numFmt w:val="decimal"/>
      <w:lvlText w:val="%1."/>
      <w:lvlJc w:val="left"/>
      <w:pPr>
        <w:tabs>
          <w:tab w:val="num" w:pos="0"/>
        </w:tabs>
        <w:ind w:left="1134" w:hanging="1134"/>
      </w:pPr>
      <w:rPr/>
    </w:lvl>
    <w:lvl w:ilvl="1">
      <w:start w:val="1"/>
      <w:numFmt w:val="decimal"/>
      <w:lvlText w:val="%1.%2."/>
      <w:lvlJc w:val="left"/>
      <w:pPr>
        <w:tabs>
          <w:tab w:val="num" w:pos="0"/>
        </w:tabs>
        <w:ind w:left="1134" w:hanging="1134"/>
      </w:pPr>
      <w:rPr/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34" w:hanging="1134"/>
      </w:pPr>
      <w:rPr/>
    </w:lvl>
    <w:lvl w:ilvl="3">
      <w:start w:val="1"/>
      <w:numFmt w:val="russianLower"/>
      <w:lvlText w:val="(%4)"/>
      <w:lvlJc w:val="left"/>
      <w:pPr>
        <w:tabs>
          <w:tab w:val="num" w:pos="0"/>
        </w:tabs>
        <w:ind w:left="1985" w:hanging="567"/>
      </w:pPr>
      <w:rPr/>
    </w:lvl>
    <w:lvl w:ilvl="4">
      <w:start w:val="1"/>
      <w:numFmt w:val="bullet"/>
      <w:lvlText w:val="–"/>
      <w:lvlJc w:val="left"/>
      <w:pPr>
        <w:tabs>
          <w:tab w:val="num" w:pos="0"/>
        </w:tabs>
        <w:ind w:left="2268" w:hanging="567"/>
      </w:pPr>
      <w:rPr>
        <w:rFonts w:ascii="Times New Roman" w:hAnsi="Times New Roman" w:cs="Times New Roman" w:hint="default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34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701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134" w:hanging="0"/>
      </w:pPr>
      <w:rPr/>
    </w:lvl>
  </w:abstractNum>
  <w:abstractNum w:abstractNumId="5">
    <w:lvl w:ilvl="0">
      <w:start w:val="1"/>
      <w:numFmt w:val="decimal"/>
      <w:lvlText w:val="1.%1"/>
      <w:lvlJc w:val="left"/>
      <w:pPr>
        <w:tabs>
          <w:tab w:val="num" w:pos="0"/>
        </w:tabs>
        <w:ind w:left="1429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  <w:rPr/>
    </w:lvl>
  </w:abstractNum>
  <w:abstractNum w:abstractNumId="6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/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/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7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 w:val="fals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8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/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/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9">
    <w:lvl w:ilvl="0">
      <w:start w:val="3"/>
      <w:numFmt w:val="decimal"/>
      <w:lvlText w:val="%1."/>
      <w:lvlJc w:val="left"/>
      <w:pPr>
        <w:tabs>
          <w:tab w:val="num" w:pos="0"/>
        </w:tabs>
        <w:ind w:left="1080" w:hanging="360"/>
      </w:pPr>
      <w:rPr/>
    </w:lvl>
    <w:lvl w:ilvl="1">
      <w:start w:val="1"/>
      <w:numFmt w:val="decimal"/>
      <w:lvlText w:val="%1.%2."/>
      <w:lvlJc w:val="left"/>
      <w:pPr>
        <w:tabs>
          <w:tab w:val="num" w:pos="0"/>
        </w:tabs>
        <w:ind w:left="1140" w:hanging="420"/>
      </w:pPr>
      <w:rPr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40" w:hanging="720"/>
      </w:pPr>
      <w:rPr>
        <w:b w:val="false"/>
        <w:bCs w:val="false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720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800" w:hanging="1080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080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44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1800"/>
      </w:pPr>
      <w:rPr/>
    </w:lvl>
  </w:abstractNum>
  <w:abstractNum w:abstractNumId="10">
    <w:lvl w:ilvl="0">
      <w:start w:val="1"/>
      <w:numFmt w:val="decimal"/>
      <w:lvlText w:val="%1."/>
      <w:lvlJc w:val="left"/>
      <w:pPr>
        <w:tabs>
          <w:tab w:val="num" w:pos="0"/>
        </w:tabs>
        <w:ind w:left="1904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2624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3344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4064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4784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5504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6224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6944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7664" w:hanging="180"/>
      </w:pPr>
      <w:rPr/>
    </w:lvl>
  </w:abstractNum>
  <w:abstractNum w:abstractNumId="11">
    <w:lvl w:ilvl="0">
      <w:start w:val="1"/>
      <w:numFmt w:val="russianLower"/>
      <w:lvlText w:val="%1)"/>
      <w:lvlJc w:val="left"/>
      <w:pPr>
        <w:tabs>
          <w:tab w:val="num" w:pos="0"/>
        </w:tabs>
        <w:ind w:left="1627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  <w:rPr/>
    </w:lvl>
  </w:abstractNum>
  <w:abstractNum w:abstractNumId="12">
    <w:lvl w:ilvl="0">
      <w:start w:val="1"/>
      <w:numFmt w:val="bullet"/>
      <w:lvlText w:val=""/>
      <w:lvlJc w:val="left"/>
      <w:pPr>
        <w:tabs>
          <w:tab w:val="num" w:pos="0"/>
        </w:tabs>
        <w:ind w:left="1288" w:hanging="295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29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01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73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45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17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89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61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339" w:hanging="360"/>
      </w:pPr>
      <w:rPr>
        <w:rFonts w:ascii="Wingdings" w:hAnsi="Wingdings" w:cs="Wingdings" w:hint="default"/>
      </w:rPr>
    </w:lvl>
  </w:abstractNum>
  <w:abstractNum w:abstractNumId="13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sz w:val="24"/>
        <w:b/>
        <w:szCs w:val="24"/>
        <w:bCs w:val="fals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sz w:val="24"/>
        <w:b w:val="false"/>
        <w:szCs w:val="24"/>
        <w:bCs/>
      </w:r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  <w:rPr>
        <w:sz w:val="24"/>
        <w:i w:val="false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14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sz w:val="24"/>
        <w:b/>
        <w:szCs w:val="24"/>
        <w:bCs w:val="fals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sz w:val="24"/>
        <w:b w:val="false"/>
        <w:szCs w:val="24"/>
        <w:bCs/>
      </w:r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  <w:rPr>
        <w:sz w:val="24"/>
        <w:i w:val="false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15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sz w:val="24"/>
        <w:b/>
        <w:szCs w:val="24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/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16">
    <w:lvl w:ilvl="0">
      <w:start w:val="1"/>
      <w:numFmt w:val="decimal"/>
      <w:lvlText w:val="%1)"/>
      <w:lvlJc w:val="left"/>
      <w:pPr>
        <w:tabs>
          <w:tab w:val="num" w:pos="0"/>
        </w:tabs>
        <w:ind w:left="0" w:hanging="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0" w:hanging="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0" w:hanging="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hanging="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0" w:hanging="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0" w:hanging="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hanging="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0" w:hanging="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0" w:hanging="0"/>
      </w:pPr>
      <w:rPr>
        <w:rFonts w:cs="Times New Roman"/>
      </w:rPr>
    </w:lvl>
  </w:abstractNum>
  <w:abstractNum w:abstractNumId="17"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8"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hanging="0"/>
      </w:pPr>
      <w:rPr>
        <w:sz w:val="24"/>
        <w:b w:val="false"/>
        <w:szCs w:val="24"/>
      </w:r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hanging="0"/>
      </w:pPr>
      <w:rPr>
        <w:sz w:val="24"/>
        <w:b w:val="false"/>
        <w:szCs w:val="20"/>
      </w:rPr>
    </w:lvl>
    <w:lvl w:ilvl="2">
      <w:start w:val="1"/>
      <w:numFmt w:val="decimal"/>
      <w:lvlText w:val="%1.%2.%3."/>
      <w:lvlJc w:val="left"/>
      <w:pPr>
        <w:tabs>
          <w:tab w:val="num" w:pos="141"/>
        </w:tabs>
        <w:ind w:left="0" w:hanging="0"/>
      </w:pPr>
      <w:rPr>
        <w:sz w:val="24"/>
        <w:b w:val="false"/>
        <w:szCs w:val="24"/>
      </w:rPr>
    </w:lvl>
    <w:lvl w:ilvl="3">
      <w:start w:val="1"/>
      <w:numFmt w:val="russianLower"/>
      <w:lvlText w:val="%4)"/>
      <w:lvlJc w:val="left"/>
      <w:pPr>
        <w:tabs>
          <w:tab w:val="num" w:pos="0"/>
        </w:tabs>
        <w:ind w:left="0" w:hanging="0"/>
      </w:pPr>
      <w:rPr>
        <w:sz w:val="24"/>
        <w:b w:val="false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hanging="0"/>
      </w:pPr>
      <w:rPr/>
    </w:lvl>
  </w:abstractNum>
  <w:abstractNum w:abstractNumId="19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sz w:val="24"/>
        <w:b/>
        <w:szCs w:val="24"/>
        <w:bCs w:val="fals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sz w:val="24"/>
        <w:b w:val="false"/>
        <w:szCs w:val="24"/>
        <w:bCs/>
      </w:r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  <w:rPr>
        <w:sz w:val="24"/>
        <w:i w:val="false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0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sz w:val="24"/>
        <w:b/>
        <w:szCs w:val="24"/>
        <w:bCs w:val="fals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sz w:val="24"/>
        <w:b w:val="false"/>
        <w:szCs w:val="24"/>
        <w:bCs/>
      </w:r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  <w:rPr>
        <w:sz w:val="24"/>
        <w:i w:val="false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1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sz w:val="24"/>
        <w:b/>
        <w:szCs w:val="24"/>
        <w:bCs w:val="fals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sz w:val="24"/>
        <w:b w:val="false"/>
        <w:szCs w:val="24"/>
        <w:bCs/>
      </w:r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  <w:rPr>
        <w:sz w:val="24"/>
        <w:i w:val="false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2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sz w:val="24"/>
        <w:b/>
        <w:szCs w:val="24"/>
        <w:bCs w:val="fals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sz w:val="24"/>
        <w:b w:val="false"/>
        <w:szCs w:val="24"/>
        <w:bCs/>
      </w:r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  <w:rPr>
        <w:sz w:val="24"/>
        <w:i w:val="false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3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4)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4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4)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5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4)"/>
      <w:lvlJc w:val="left"/>
      <w:pPr>
        <w:tabs>
          <w:tab w:val="num" w:pos="0"/>
        </w:tabs>
        <w:ind w:left="1728" w:hanging="648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6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/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7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4)"/>
      <w:lvlJc w:val="left"/>
      <w:pPr>
        <w:tabs>
          <w:tab w:val="num" w:pos="0"/>
        </w:tabs>
        <w:ind w:left="1728" w:hanging="648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8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4)"/>
      <w:lvlJc w:val="left"/>
      <w:pPr>
        <w:tabs>
          <w:tab w:val="num" w:pos="0"/>
        </w:tabs>
        <w:ind w:left="1728" w:hanging="648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29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4)"/>
      <w:lvlJc w:val="left"/>
      <w:pPr>
        <w:tabs>
          <w:tab w:val="num" w:pos="0"/>
        </w:tabs>
        <w:ind w:left="1728" w:hanging="648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30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4)"/>
      <w:lvlJc w:val="left"/>
      <w:pPr>
        <w:tabs>
          <w:tab w:val="num" w:pos="0"/>
        </w:tabs>
        <w:ind w:left="1728" w:hanging="648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31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4)"/>
      <w:lvlJc w:val="left"/>
      <w:pPr>
        <w:tabs>
          <w:tab w:val="num" w:pos="0"/>
        </w:tabs>
        <w:ind w:left="1728" w:hanging="648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32">
    <w:lvl w:ilvl="0">
      <w:start w:val="1"/>
      <w:numFmt w:val="decimal"/>
      <w:lvlText w:val="%1."/>
      <w:lvlJc w:val="left"/>
      <w:pPr>
        <w:tabs>
          <w:tab w:val="num" w:pos="0"/>
        </w:tabs>
        <w:ind w:left="1904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2624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3344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4064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4784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5504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6224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6944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7664" w:hanging="180"/>
      </w:pPr>
      <w:rPr/>
    </w:lvl>
  </w:abstractNum>
  <w:abstractNum w:abstractNumId="33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4)"/>
      <w:lvlJc w:val="left"/>
      <w:pPr>
        <w:tabs>
          <w:tab w:val="num" w:pos="0"/>
        </w:tabs>
        <w:ind w:left="1728" w:hanging="648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34">
    <w:lvl w:ilvl="0">
      <w:start w:val="4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/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35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 w:val="fals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36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 w:val="fals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b w:val="fals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  <w:num w:numId="27">
    <w:abstractNumId w:val="27"/>
  </w:num>
  <w:num w:numId="28">
    <w:abstractNumId w:val="28"/>
  </w:num>
  <w:num w:numId="29">
    <w:abstractNumId w:val="29"/>
  </w:num>
  <w:num w:numId="30">
    <w:abstractNumId w:val="30"/>
  </w:num>
  <w:num w:numId="31">
    <w:abstractNumId w:val="31"/>
  </w:num>
  <w:num w:numId="32">
    <w:abstractNumId w:val="32"/>
  </w:num>
  <w:num w:numId="33">
    <w:abstractNumId w:val="33"/>
  </w:num>
  <w:num w:numId="34">
    <w:abstractNumId w:val="34"/>
  </w:num>
  <w:num w:numId="35">
    <w:abstractNumId w:val="35"/>
  </w:num>
  <w:num w:numId="36">
    <w:abstractNumId w:val="36"/>
  </w:num>
  <w:num w:numId="37">
    <w:abstractNumId w:val="7"/>
    <w:lvlOverride w:ilvl="0">
      <w:startOverride w:val="1"/>
    </w:lvlOverride>
  </w:num>
  <w:num w:numId="38">
    <w:abstractNumId w:val="7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footnotePr>
    <w:numFmt w:val="decimal"/>
    <w:footnote w:id="0"/>
    <w:footnote w:id="1"/>
  </w:foot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uiPriority="99" w:semiHidden="1" w:unhideWhenUsed="1"/>
    <w:lsdException w:name="annotation text" w:semiHidden="1" w:unhideWhenUsed="1" w:qFormat="1"/>
    <w:lsdException w:name="header" w:semiHidden="1" w:unhideWhenUsed="1"/>
    <w:lsdException w:name="footer" w:uiPriority="99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iPriority="99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uiPriority="99" w:semiHidden="1" w:unhideWhenUsed="1"/>
    <w:lsdException w:name="HTML Top of Form" w:semiHidden="1" w:unhideWhenUsed="1"/>
    <w:lsdException w:name="HTML Bottom of Form" w:semiHidden="1" w:unhideWhenUsed="1"/>
    <w:lsdException w:name="Normal (Web)" w:uiPriority="99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uiPriority="99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uiPriority="99" w:semiHidden="1" w:unhideWhenUsed="1"/>
    <w:lsdException w:name="Smart Hyperlink" w:uiPriority="99" w:semiHidden="1" w:unhideWhenUsed="1"/>
    <w:lsdException w:name="Hashtag" w:uiPriority="99" w:semiHidden="1" w:unhideWhenUsed="1"/>
    <w:lsdException w:name="Unresolved Mention" w:uiPriority="99" w:semiHidden="1" w:unhideWhenUsed="1"/>
  </w:latentStyles>
  <w:style w:type="paragraph" w:styleId="Normal" w:default="1">
    <w:name w:val="Normal"/>
    <w:qFormat/>
    <w:rsid w:val="00877c7e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8"/>
      <w:szCs w:val="28"/>
      <w:lang w:val="ru-RU" w:eastAsia="ru-RU" w:bidi="ar-SA"/>
    </w:rPr>
  </w:style>
  <w:style w:type="paragraph" w:styleId="Heading1">
    <w:name w:val="Heading 1"/>
    <w:basedOn w:val="Heading3"/>
    <w:next w:val="Normal"/>
    <w:link w:val="1"/>
    <w:qFormat/>
    <w:rsid w:val="00353a27"/>
    <w:pPr>
      <w:numPr>
        <w:ilvl w:val="0"/>
        <w:numId w:val="1"/>
      </w:numPr>
      <w:outlineLvl w:val="0"/>
    </w:pPr>
    <w:rPr>
      <w:sz w:val="28"/>
      <w:szCs w:val="28"/>
    </w:rPr>
  </w:style>
  <w:style w:type="paragraph" w:styleId="Heading2">
    <w:name w:val="Heading 2"/>
    <w:basedOn w:val="Heading4"/>
    <w:next w:val="Normal"/>
    <w:link w:val="2"/>
    <w:qFormat/>
    <w:rsid w:val="00ea61a8"/>
    <w:pPr>
      <w:numPr>
        <w:ilvl w:val="1"/>
        <w:numId w:val="1"/>
      </w:numPr>
      <w:outlineLvl w:val="1"/>
    </w:pPr>
    <w:rPr/>
  </w:style>
  <w:style w:type="paragraph" w:styleId="Heading3">
    <w:name w:val="Heading 3"/>
    <w:basedOn w:val="Normal"/>
    <w:next w:val="Normal"/>
    <w:link w:val="3"/>
    <w:autoRedefine/>
    <w:qFormat/>
    <w:rsid w:val="00005ab5"/>
    <w:pPr>
      <w:keepNext w:val="true"/>
      <w:numPr>
        <w:ilvl w:val="2"/>
        <w:numId w:val="1"/>
      </w:numPr>
      <w:spacing w:before="120" w:after="60"/>
      <w:outlineLvl w:val="2"/>
    </w:pPr>
    <w:rPr>
      <w:rFonts w:eastAsia="Calibri"/>
      <w:b/>
      <w:sz w:val="24"/>
      <w:szCs w:val="24"/>
      <w:lang w:val="x-none" w:eastAsia="x-none"/>
    </w:rPr>
  </w:style>
  <w:style w:type="paragraph" w:styleId="Heading4">
    <w:name w:val="Heading 4"/>
    <w:basedOn w:val="Heading3"/>
    <w:next w:val="Normal"/>
    <w:link w:val="4"/>
    <w:qFormat/>
    <w:rsid w:val="006629c9"/>
    <w:pPr>
      <w:numPr>
        <w:ilvl w:val="3"/>
        <w:numId w:val="1"/>
      </w:numPr>
      <w:tabs>
        <w:tab w:val="clear" w:pos="708"/>
        <w:tab w:val="left" w:pos="0" w:leader="none"/>
      </w:tabs>
      <w:outlineLvl w:val="3"/>
    </w:pPr>
    <w:rPr>
      <w:bCs/>
    </w:rPr>
  </w:style>
  <w:style w:type="paragraph" w:styleId="Heading5">
    <w:name w:val="Heading 5"/>
    <w:basedOn w:val="Normal"/>
    <w:next w:val="Normal"/>
    <w:link w:val="5"/>
    <w:uiPriority w:val="9"/>
    <w:qFormat/>
    <w:rsid w:val="0076353a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  <w:lang w:val="x-none" w:eastAsia="x-none"/>
    </w:rPr>
  </w:style>
  <w:style w:type="paragraph" w:styleId="Heading6">
    <w:name w:val="Heading 6"/>
    <w:basedOn w:val="Normal"/>
    <w:next w:val="Normal"/>
    <w:link w:val="6"/>
    <w:uiPriority w:val="9"/>
    <w:qFormat/>
    <w:rsid w:val="00d22f6d"/>
    <w:pPr>
      <w:keepNext w:val="true"/>
      <w:keepLines/>
      <w:numPr>
        <w:ilvl w:val="5"/>
        <w:numId w:val="1"/>
      </w:numPr>
      <w:spacing w:before="200" w:after="0"/>
      <w:outlineLvl w:val="5"/>
    </w:pPr>
    <w:rPr>
      <w:rFonts w:ascii="Cambria" w:hAnsi="Cambria"/>
      <w:i/>
      <w:iCs/>
      <w:color w:val="243F60"/>
      <w:sz w:val="20"/>
      <w:szCs w:val="20"/>
      <w:lang w:val="x-none" w:eastAsia="x-none"/>
    </w:rPr>
  </w:style>
  <w:style w:type="paragraph" w:styleId="Heading7">
    <w:name w:val="Heading 7"/>
    <w:basedOn w:val="Normal"/>
    <w:next w:val="Normal"/>
    <w:link w:val="7"/>
    <w:uiPriority w:val="9"/>
    <w:qFormat/>
    <w:rsid w:val="00d22f6d"/>
    <w:pPr>
      <w:keepNext w:val="true"/>
      <w:keepLines/>
      <w:numPr>
        <w:ilvl w:val="6"/>
        <w:numId w:val="1"/>
      </w:numPr>
      <w:spacing w:before="200" w:after="0"/>
      <w:outlineLvl w:val="6"/>
    </w:pPr>
    <w:rPr>
      <w:rFonts w:ascii="Cambria" w:hAnsi="Cambria"/>
      <w:i/>
      <w:iCs/>
      <w:color w:val="404040"/>
      <w:sz w:val="20"/>
      <w:szCs w:val="20"/>
      <w:lang w:val="x-none" w:eastAsia="x-none"/>
    </w:rPr>
  </w:style>
  <w:style w:type="paragraph" w:styleId="Heading8">
    <w:name w:val="Heading 8"/>
    <w:basedOn w:val="Normal"/>
    <w:next w:val="Normal"/>
    <w:link w:val="8"/>
    <w:uiPriority w:val="9"/>
    <w:qFormat/>
    <w:rsid w:val="00d22f6d"/>
    <w:pPr>
      <w:keepNext w:val="true"/>
      <w:keepLines/>
      <w:numPr>
        <w:ilvl w:val="7"/>
        <w:numId w:val="1"/>
      </w:numPr>
      <w:spacing w:before="200" w:after="0"/>
      <w:outlineLvl w:val="7"/>
    </w:pPr>
    <w:rPr>
      <w:rFonts w:ascii="Cambria" w:hAnsi="Cambria"/>
      <w:color w:val="4F81BD"/>
      <w:sz w:val="20"/>
      <w:szCs w:val="20"/>
      <w:lang w:val="x-none" w:eastAsia="x-none"/>
    </w:rPr>
  </w:style>
  <w:style w:type="paragraph" w:styleId="Heading9">
    <w:name w:val="Heading 9"/>
    <w:basedOn w:val="Normal"/>
    <w:next w:val="Normal"/>
    <w:link w:val="9"/>
    <w:uiPriority w:val="9"/>
    <w:qFormat/>
    <w:rsid w:val="0076353a"/>
    <w:pPr>
      <w:numPr>
        <w:ilvl w:val="8"/>
        <w:numId w:val="1"/>
      </w:numPr>
      <w:spacing w:before="240" w:after="60"/>
      <w:outlineLvl w:val="8"/>
    </w:pPr>
    <w:rPr>
      <w:rFonts w:ascii="Arial" w:hAnsi="Arial"/>
      <w:sz w:val="22"/>
      <w:szCs w:val="22"/>
      <w:lang w:val="x-none" w:eastAsia="x-none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" w:customStyle="1">
    <w:name w:val="Символ сноски"/>
    <w:qFormat/>
    <w:rsid w:val="00d561d9"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Pagenumber">
    <w:name w:val="page number"/>
    <w:basedOn w:val="DefaultParagraphFont"/>
    <w:qFormat/>
    <w:rsid w:val="006c2f3f"/>
    <w:rPr/>
  </w:style>
  <w:style w:type="character" w:styleId="Hyperlink">
    <w:name w:val="Hyperlink"/>
    <w:uiPriority w:val="99"/>
    <w:rsid w:val="006c2f3f"/>
    <w:rPr>
      <w:color w:val="0000FF"/>
      <w:u w:val="single"/>
    </w:rPr>
  </w:style>
  <w:style w:type="character" w:styleId="Annotationreference">
    <w:name w:val="annotation reference"/>
    <w:uiPriority w:val="99"/>
    <w:semiHidden/>
    <w:qFormat/>
    <w:rsid w:val="00b714b0"/>
    <w:rPr>
      <w:sz w:val="16"/>
      <w:szCs w:val="16"/>
    </w:rPr>
  </w:style>
  <w:style w:type="character" w:styleId="Strong">
    <w:name w:val="Strong"/>
    <w:uiPriority w:val="22"/>
    <w:qFormat/>
    <w:rsid w:val="00165965"/>
    <w:rPr>
      <w:b/>
      <w:bCs/>
    </w:rPr>
  </w:style>
  <w:style w:type="character" w:styleId="6" w:customStyle="1">
    <w:name w:val="Заголовок 6 Знак"/>
    <w:uiPriority w:val="9"/>
    <w:qFormat/>
    <w:rsid w:val="00d22f6d"/>
    <w:rPr>
      <w:rFonts w:ascii="Cambria" w:hAnsi="Cambria"/>
      <w:i/>
      <w:iCs/>
      <w:color w:val="243F60"/>
      <w:lang w:val="x-none" w:eastAsia="x-none"/>
    </w:rPr>
  </w:style>
  <w:style w:type="character" w:styleId="7" w:customStyle="1">
    <w:name w:val="Заголовок 7 Знак"/>
    <w:uiPriority w:val="9"/>
    <w:qFormat/>
    <w:rsid w:val="00d22f6d"/>
    <w:rPr>
      <w:rFonts w:ascii="Cambria" w:hAnsi="Cambria"/>
      <w:i/>
      <w:iCs/>
      <w:color w:val="404040"/>
      <w:lang w:val="x-none" w:eastAsia="x-none"/>
    </w:rPr>
  </w:style>
  <w:style w:type="character" w:styleId="8" w:customStyle="1">
    <w:name w:val="Заголовок 8 Знак"/>
    <w:uiPriority w:val="9"/>
    <w:qFormat/>
    <w:rsid w:val="00d22f6d"/>
    <w:rPr>
      <w:rFonts w:ascii="Cambria" w:hAnsi="Cambria"/>
      <w:color w:val="4F81BD"/>
      <w:lang w:val="x-none" w:eastAsia="x-none"/>
    </w:rPr>
  </w:style>
  <w:style w:type="character" w:styleId="1" w:customStyle="1">
    <w:name w:val="Заголовок 1 Знак"/>
    <w:qFormat/>
    <w:rsid w:val="00353a27"/>
    <w:rPr>
      <w:rFonts w:eastAsia="Calibri"/>
      <w:b/>
      <w:sz w:val="28"/>
      <w:szCs w:val="28"/>
      <w:lang w:val="x-none" w:eastAsia="x-none"/>
    </w:rPr>
  </w:style>
  <w:style w:type="character" w:styleId="2" w:customStyle="1">
    <w:name w:val="Заголовок 2 Знак"/>
    <w:qFormat/>
    <w:rsid w:val="00ea61a8"/>
    <w:rPr>
      <w:rFonts w:eastAsia="Calibri"/>
      <w:b/>
      <w:bCs/>
      <w:sz w:val="24"/>
      <w:szCs w:val="24"/>
      <w:lang w:val="x-none" w:eastAsia="x-none"/>
    </w:rPr>
  </w:style>
  <w:style w:type="character" w:styleId="3" w:customStyle="1">
    <w:name w:val="Заголовок 3 Знак"/>
    <w:qFormat/>
    <w:rsid w:val="00005ab5"/>
    <w:rPr>
      <w:rFonts w:eastAsia="Calibri"/>
      <w:b/>
      <w:sz w:val="24"/>
      <w:szCs w:val="24"/>
      <w:lang w:val="x-none" w:eastAsia="x-none"/>
    </w:rPr>
  </w:style>
  <w:style w:type="character" w:styleId="4" w:customStyle="1">
    <w:name w:val="Заголовок 4 Знак"/>
    <w:qFormat/>
    <w:rsid w:val="006629c9"/>
    <w:rPr>
      <w:rFonts w:eastAsia="Calibri"/>
      <w:b/>
      <w:bCs/>
      <w:sz w:val="24"/>
      <w:szCs w:val="24"/>
      <w:lang w:val="x-none" w:eastAsia="x-none"/>
    </w:rPr>
  </w:style>
  <w:style w:type="character" w:styleId="5" w:customStyle="1">
    <w:name w:val="Заголовок 5 Знак"/>
    <w:uiPriority w:val="9"/>
    <w:qFormat/>
    <w:rsid w:val="00d22f6d"/>
    <w:rPr>
      <w:b/>
      <w:bCs/>
      <w:i/>
      <w:iCs/>
      <w:sz w:val="26"/>
      <w:szCs w:val="26"/>
    </w:rPr>
  </w:style>
  <w:style w:type="character" w:styleId="9" w:customStyle="1">
    <w:name w:val="Заголовок 9 Знак"/>
    <w:uiPriority w:val="9"/>
    <w:qFormat/>
    <w:rsid w:val="00d22f6d"/>
    <w:rPr>
      <w:rFonts w:ascii="Arial" w:hAnsi="Arial" w:cs="Arial"/>
      <w:sz w:val="22"/>
      <w:szCs w:val="22"/>
    </w:rPr>
  </w:style>
  <w:style w:type="character" w:styleId="Style1" w:customStyle="1">
    <w:name w:val="Название Знак"/>
    <w:link w:val="15"/>
    <w:uiPriority w:val="10"/>
    <w:qFormat/>
    <w:rsid w:val="00d22f6d"/>
    <w:rPr>
      <w:sz w:val="28"/>
    </w:rPr>
  </w:style>
  <w:style w:type="character" w:styleId="Style2" w:customStyle="1">
    <w:name w:val="Подзаголовок Знак"/>
    <w:uiPriority w:val="11"/>
    <w:qFormat/>
    <w:rsid w:val="00d22f6d"/>
    <w:rPr>
      <w:rFonts w:ascii="Cambria" w:hAnsi="Cambria"/>
      <w:i/>
      <w:iCs/>
      <w:color w:val="4F81BD"/>
      <w:spacing w:val="15"/>
      <w:sz w:val="24"/>
      <w:szCs w:val="24"/>
      <w:lang w:val="x-none" w:eastAsia="x-none"/>
    </w:rPr>
  </w:style>
  <w:style w:type="character" w:styleId="Emphasis">
    <w:name w:val="Emphasis"/>
    <w:uiPriority w:val="20"/>
    <w:qFormat/>
    <w:rsid w:val="00d22f6d"/>
    <w:rPr>
      <w:i/>
      <w:iCs/>
    </w:rPr>
  </w:style>
  <w:style w:type="character" w:styleId="21" w:customStyle="1">
    <w:name w:val="Цитата 2 Знак"/>
    <w:link w:val="Quote"/>
    <w:uiPriority w:val="29"/>
    <w:qFormat/>
    <w:rsid w:val="00d22f6d"/>
    <w:rPr>
      <w:rFonts w:ascii="Calibri" w:hAnsi="Calibri" w:eastAsia="Calibri"/>
      <w:i/>
      <w:iCs/>
      <w:color w:val="000000"/>
      <w:lang w:val="x-none" w:eastAsia="x-none"/>
    </w:rPr>
  </w:style>
  <w:style w:type="character" w:styleId="Style3" w:customStyle="1">
    <w:name w:val="Выделенная цитата Знак"/>
    <w:link w:val="IntenseQuote"/>
    <w:uiPriority w:val="30"/>
    <w:qFormat/>
    <w:rsid w:val="00d22f6d"/>
    <w:rPr>
      <w:rFonts w:ascii="Calibri" w:hAnsi="Calibri" w:eastAsia="Calibri"/>
      <w:b/>
      <w:bCs/>
      <w:i/>
      <w:iCs/>
      <w:color w:val="4F81BD"/>
      <w:lang w:val="x-none" w:eastAsia="x-none"/>
    </w:rPr>
  </w:style>
  <w:style w:type="character" w:styleId="SubtleEmphasis">
    <w:name w:val="Subtle Emphasis"/>
    <w:uiPriority w:val="19"/>
    <w:qFormat/>
    <w:rsid w:val="00d22f6d"/>
    <w:rPr>
      <w:i/>
      <w:iCs/>
      <w:color w:val="808080"/>
    </w:rPr>
  </w:style>
  <w:style w:type="character" w:styleId="IntenseEmphasis">
    <w:name w:val="Intense Emphasis"/>
    <w:uiPriority w:val="21"/>
    <w:qFormat/>
    <w:rsid w:val="00d22f6d"/>
    <w:rPr>
      <w:b/>
      <w:bCs/>
      <w:i/>
      <w:iCs/>
      <w:color w:val="4F81BD"/>
    </w:rPr>
  </w:style>
  <w:style w:type="character" w:styleId="SubtleReference">
    <w:name w:val="Subtle Reference"/>
    <w:uiPriority w:val="31"/>
    <w:qFormat/>
    <w:rsid w:val="00d22f6d"/>
    <w:rPr>
      <w:smallCaps/>
      <w:color w:val="C0504D"/>
      <w:u w:val="single"/>
    </w:rPr>
  </w:style>
  <w:style w:type="character" w:styleId="IntenseReference">
    <w:name w:val="Intense Reference"/>
    <w:uiPriority w:val="32"/>
    <w:qFormat/>
    <w:rsid w:val="00d22f6d"/>
    <w:rPr>
      <w:b/>
      <w:bCs/>
      <w:smallCaps/>
      <w:color w:val="C0504D"/>
      <w:spacing w:val="5"/>
      <w:u w:val="single"/>
    </w:rPr>
  </w:style>
  <w:style w:type="character" w:styleId="BookTitle">
    <w:name w:val="Book Title"/>
    <w:uiPriority w:val="33"/>
    <w:qFormat/>
    <w:rsid w:val="00d22f6d"/>
    <w:rPr>
      <w:b/>
      <w:bCs/>
      <w:smallCaps/>
      <w:spacing w:val="5"/>
    </w:rPr>
  </w:style>
  <w:style w:type="character" w:styleId="Style4" w:customStyle="1">
    <w:name w:val="Электронная подпись Знак"/>
    <w:link w:val="E-mailSignature"/>
    <w:uiPriority w:val="99"/>
    <w:qFormat/>
    <w:rsid w:val="00d22f6d"/>
    <w:rPr>
      <w:rFonts w:eastAsia="Calibri"/>
      <w:sz w:val="24"/>
      <w:szCs w:val="24"/>
    </w:rPr>
  </w:style>
  <w:style w:type="character" w:styleId="11" w:customStyle="1">
    <w:name w:val="Подпункт Знак1"/>
    <w:link w:val="Style24"/>
    <w:qFormat/>
    <w:locked/>
    <w:rsid w:val="00d22f6d"/>
    <w:rPr>
      <w:sz w:val="28"/>
    </w:rPr>
  </w:style>
  <w:style w:type="character" w:styleId="Style5" w:customStyle="1">
    <w:name w:val="Текст сноски Знак"/>
    <w:uiPriority w:val="99"/>
    <w:qFormat/>
    <w:rsid w:val="00d22f6d"/>
    <w:rPr/>
  </w:style>
  <w:style w:type="character" w:styleId="Style6" w:customStyle="1">
    <w:name w:val="Основной текст Знак"/>
    <w:qFormat/>
    <w:rsid w:val="004459a5"/>
    <w:rPr>
      <w:sz w:val="28"/>
      <w:szCs w:val="28"/>
    </w:rPr>
  </w:style>
  <w:style w:type="character" w:styleId="Blk" w:customStyle="1">
    <w:name w:val="blk"/>
    <w:qFormat/>
    <w:rsid w:val="00431ace"/>
    <w:rPr/>
  </w:style>
  <w:style w:type="character" w:styleId="Style7" w:customStyle="1">
    <w:name w:val="Абзац списка Знак"/>
    <w:link w:val="ListParagraph"/>
    <w:uiPriority w:val="34"/>
    <w:qFormat/>
    <w:locked/>
    <w:rsid w:val="00310eb4"/>
    <w:rPr>
      <w:rFonts w:eastAsia="Calibri"/>
      <w:sz w:val="24"/>
      <w:szCs w:val="24"/>
    </w:rPr>
  </w:style>
  <w:style w:type="character" w:styleId="Style8" w:customStyle="1">
    <w:name w:val="комментарий"/>
    <w:qFormat/>
    <w:rsid w:val="0025139e"/>
    <w:rPr>
      <w:b/>
      <w:i/>
      <w:shd w:fill="FFFF99" w:val="clear"/>
    </w:rPr>
  </w:style>
  <w:style w:type="character" w:styleId="Style9" w:customStyle="1">
    <w:name w:val="Подподпункт Знак"/>
    <w:link w:val="Style32"/>
    <w:qFormat/>
    <w:locked/>
    <w:rsid w:val="0025139e"/>
    <w:rPr>
      <w:sz w:val="26"/>
      <w:szCs w:val="26"/>
    </w:rPr>
  </w:style>
  <w:style w:type="character" w:styleId="31" w:customStyle="1">
    <w:name w:val="УРОВЕНЬ_Абзац_тип3 Знак"/>
    <w:link w:val="35"/>
    <w:qFormat/>
    <w:rsid w:val="00b56f46"/>
    <w:rPr>
      <w:rFonts w:eastAsia="Calibri"/>
      <w:sz w:val="26"/>
      <w:szCs w:val="28"/>
      <w:lang w:eastAsia="en-US"/>
    </w:rPr>
  </w:style>
  <w:style w:type="character" w:styleId="Style10" w:customStyle="1">
    <w:name w:val="Верхний колонтитул Знак"/>
    <w:uiPriority w:val="99"/>
    <w:qFormat/>
    <w:rsid w:val="002f31af"/>
    <w:rPr>
      <w:sz w:val="24"/>
      <w:szCs w:val="24"/>
    </w:rPr>
  </w:style>
  <w:style w:type="character" w:styleId="Style11" w:customStyle="1">
    <w:name w:val="Текст примечания Знак"/>
    <w:link w:val="Annotationtext"/>
    <w:semiHidden/>
    <w:qFormat/>
    <w:rsid w:val="00dc0f7d"/>
    <w:rPr/>
  </w:style>
  <w:style w:type="character" w:styleId="Style12" w:customStyle="1">
    <w:name w:val="Текст концевой сноски Знак"/>
    <w:basedOn w:val="DefaultParagraphFont"/>
    <w:qFormat/>
    <w:rsid w:val="003879d4"/>
    <w:rPr/>
  </w:style>
  <w:style w:type="character" w:styleId="Style13" w:customStyle="1">
    <w:name w:val="Символ концевой сноски"/>
    <w:qFormat/>
    <w:rsid w:val="003879d4"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22" w:customStyle="1">
    <w:name w:val="Пункт2 Знак"/>
    <w:link w:val="25"/>
    <w:qFormat/>
    <w:rsid w:val="00de52bc"/>
    <w:rPr>
      <w:b/>
      <w:sz w:val="28"/>
    </w:rPr>
  </w:style>
  <w:style w:type="character" w:styleId="12" w:customStyle="1">
    <w:name w:val="УРОВЕНЬ_1. Знак"/>
    <w:link w:val="19"/>
    <w:qFormat/>
    <w:rsid w:val="004a17ae"/>
    <w:rPr>
      <w:rFonts w:eastAsia="Calibri"/>
      <w:caps/>
      <w:sz w:val="28"/>
      <w:szCs w:val="28"/>
      <w:lang w:eastAsia="en-US"/>
    </w:rPr>
  </w:style>
  <w:style w:type="character" w:styleId="13" w:customStyle="1">
    <w:name w:val="Неразрешенное упоминание1"/>
    <w:basedOn w:val="DefaultParagraphFont"/>
    <w:uiPriority w:val="99"/>
    <w:semiHidden/>
    <w:unhideWhenUsed/>
    <w:qFormat/>
    <w:rsid w:val="004f0b32"/>
    <w:rPr>
      <w:color w:val="605E5C"/>
      <w:shd w:fill="E1DFDD" w:val="clear"/>
    </w:rPr>
  </w:style>
  <w:style w:type="character" w:styleId="Style14" w:customStyle="1">
    <w:name w:val="Ссылка указателя"/>
    <w:qFormat/>
    <w:rPr/>
  </w:style>
  <w:style w:type="character" w:styleId="Linenumber1" w:customStyle="1">
    <w:name w:val="line number1"/>
    <w:qFormat/>
    <w:rPr/>
  </w:style>
  <w:style w:type="character" w:styleId="Linenumber2" w:customStyle="1">
    <w:name w:val="line number2"/>
    <w:qFormat/>
    <w:rPr/>
  </w:style>
  <w:style w:type="character" w:styleId="Linenumber3" w:customStyle="1">
    <w:name w:val="line number3"/>
    <w:qFormat/>
    <w:rPr/>
  </w:style>
  <w:style w:type="character" w:styleId="Style15" w:customStyle="1">
    <w:name w:val="Символ нумерации"/>
    <w:qFormat/>
    <w:rPr/>
  </w:style>
  <w:style w:type="character" w:styleId="Style16" w:customStyle="1">
    <w:name w:val="Маркеры"/>
    <w:qFormat/>
    <w:rPr>
      <w:rFonts w:ascii="OpenSymbol" w:hAnsi="OpenSymbol" w:eastAsia="OpenSymbol" w:cs="OpenSymbol"/>
    </w:rPr>
  </w:style>
  <w:style w:type="character" w:styleId="Linenumber4" w:customStyle="1">
    <w:name w:val="line number4"/>
    <w:qFormat/>
    <w:rPr/>
  </w:style>
  <w:style w:type="character" w:styleId="23" w:customStyle="1">
    <w:name w:val="Маркированный 2 Знак"/>
    <w:link w:val="210"/>
    <w:qFormat/>
    <w:locked/>
    <w:rsid w:val="00926cd3"/>
    <w:rPr>
      <w:sz w:val="24"/>
      <w:szCs w:val="24"/>
    </w:rPr>
  </w:style>
  <w:style w:type="character" w:styleId="Style17" w:customStyle="1">
    <w:name w:val="Нижний колонтитул Знак"/>
    <w:basedOn w:val="DefaultParagraphFont"/>
    <w:uiPriority w:val="99"/>
    <w:qFormat/>
    <w:rsid w:val="00005ab5"/>
    <w:rPr>
      <w:sz w:val="28"/>
      <w:szCs w:val="28"/>
    </w:rPr>
  </w:style>
  <w:style w:type="character" w:styleId="FollowedHyperlink">
    <w:name w:val="FollowedHyperlink"/>
    <w:basedOn w:val="DefaultParagraphFont"/>
    <w:rPr>
      <w:color w:val="954F72" w:themeColor="followedHyperlink"/>
      <w:u w:val="single"/>
    </w:rPr>
  </w:style>
  <w:style w:type="character" w:styleId="Linenumber5" w:customStyle="1">
    <w:name w:val="line number5"/>
    <w:qFormat/>
    <w:rPr/>
  </w:style>
  <w:style w:type="character" w:styleId="Linenumber6" w:customStyle="1">
    <w:name w:val="line number6"/>
    <w:qFormat/>
    <w:rPr/>
  </w:style>
  <w:style w:type="character" w:styleId="Linenumber">
    <w:name w:val="line number"/>
    <w:qFormat/>
    <w:rPr/>
  </w:style>
  <w:style w:type="paragraph" w:styleId="Style18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Noto Sans CJK SC" w:cs="Arial Unicode MS"/>
      <w:sz w:val="28"/>
      <w:szCs w:val="28"/>
    </w:rPr>
  </w:style>
  <w:style w:type="paragraph" w:styleId="BodyText">
    <w:name w:val="Body Text"/>
    <w:basedOn w:val="Normal"/>
    <w:link w:val="Style6"/>
    <w:rsid w:val="0076353a"/>
    <w:pPr>
      <w:spacing w:before="0" w:after="120"/>
    </w:pPr>
    <w:rPr/>
  </w:style>
  <w:style w:type="paragraph" w:styleId="List">
    <w:name w:val="List"/>
    <w:basedOn w:val="BodyText"/>
    <w:pPr/>
    <w:rPr>
      <w:rFonts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Arial Unicode MS"/>
    </w:rPr>
  </w:style>
  <w:style w:type="paragraph" w:styleId="Title">
    <w:name w:val="Title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Noto Sans CJK SC" w:cs="Arial Unicode MS"/>
    </w:rPr>
  </w:style>
  <w:style w:type="paragraph" w:styleId="Caption1">
    <w:name w:val="caption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">
    <w:name w:val="index heading1"/>
    <w:basedOn w:val="Title"/>
    <w:qFormat/>
    <w:pPr/>
    <w:rPr/>
  </w:style>
  <w:style w:type="paragraph" w:styleId="Caption11" w:customStyle="1">
    <w:name w:val="caption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" w:customStyle="1">
    <w:name w:val="index heading11"/>
    <w:basedOn w:val="Title"/>
    <w:qFormat/>
    <w:pPr/>
    <w:rPr/>
  </w:style>
  <w:style w:type="paragraph" w:styleId="Caption111" w:customStyle="1">
    <w:name w:val="caption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" w:customStyle="1">
    <w:name w:val="index heading111"/>
    <w:basedOn w:val="Title"/>
    <w:qFormat/>
    <w:pPr/>
    <w:rPr/>
  </w:style>
  <w:style w:type="paragraph" w:styleId="Caption1111" w:customStyle="1">
    <w:name w:val="caption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" w:customStyle="1">
    <w:name w:val="index heading1111"/>
    <w:basedOn w:val="Title"/>
    <w:qFormat/>
    <w:pPr/>
    <w:rPr/>
  </w:style>
  <w:style w:type="paragraph" w:styleId="Caption11111" w:customStyle="1">
    <w:name w:val="caption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" w:customStyle="1">
    <w:name w:val="index heading11111"/>
    <w:basedOn w:val="Title"/>
    <w:qFormat/>
    <w:pPr/>
    <w:rPr/>
  </w:style>
  <w:style w:type="paragraph" w:styleId="Caption111111" w:customStyle="1">
    <w:name w:val="caption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" w:customStyle="1">
    <w:name w:val="index heading111111"/>
    <w:basedOn w:val="Title"/>
    <w:qFormat/>
    <w:pPr/>
    <w:rPr/>
  </w:style>
  <w:style w:type="paragraph" w:styleId="Caption1111111" w:customStyle="1">
    <w:name w:val="caption1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1" w:customStyle="1">
    <w:name w:val="index heading1111111"/>
    <w:basedOn w:val="Title"/>
    <w:qFormat/>
    <w:pPr/>
    <w:rPr/>
  </w:style>
  <w:style w:type="paragraph" w:styleId="Caption11111111" w:customStyle="1">
    <w:name w:val="caption11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11" w:customStyle="1">
    <w:name w:val="index heading11111111"/>
    <w:basedOn w:val="Title"/>
    <w:qFormat/>
    <w:pPr/>
    <w:rPr/>
  </w:style>
  <w:style w:type="paragraph" w:styleId="Caption111111111" w:customStyle="1">
    <w:name w:val="caption111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111" w:customStyle="1">
    <w:name w:val="index heading111111111"/>
    <w:basedOn w:val="Title"/>
    <w:qFormat/>
    <w:pPr/>
    <w:rPr/>
  </w:style>
  <w:style w:type="paragraph" w:styleId="Caption1111111111" w:customStyle="1">
    <w:name w:val="caption1111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1111" w:customStyle="1">
    <w:name w:val="index heading1111111111"/>
    <w:basedOn w:val="Title"/>
    <w:qFormat/>
    <w:pPr/>
    <w:rPr/>
  </w:style>
  <w:style w:type="paragraph" w:styleId="Caption11111111111" w:customStyle="1">
    <w:name w:val="caption11111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11111" w:customStyle="1">
    <w:name w:val="index heading11111111111"/>
    <w:basedOn w:val="Title"/>
    <w:qFormat/>
    <w:pPr/>
    <w:rPr/>
  </w:style>
  <w:style w:type="paragraph" w:styleId="Caption111111111111" w:customStyle="1">
    <w:name w:val="caption111111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111111" w:customStyle="1">
    <w:name w:val="index heading111111111111"/>
    <w:basedOn w:val="Title"/>
    <w:qFormat/>
    <w:pPr/>
    <w:rPr/>
  </w:style>
  <w:style w:type="paragraph" w:styleId="Caption1111111111111" w:customStyle="1">
    <w:name w:val="caption1111111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1111111" w:customStyle="1">
    <w:name w:val="index heading1111111111111"/>
    <w:basedOn w:val="Title"/>
    <w:qFormat/>
    <w:pPr/>
    <w:rPr/>
  </w:style>
  <w:style w:type="paragraph" w:styleId="Caption11111111111111" w:customStyle="1">
    <w:name w:val="caption11111111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11111111" w:customStyle="1">
    <w:name w:val="index heading11111111111111"/>
    <w:basedOn w:val="Title"/>
    <w:qFormat/>
    <w:pPr/>
    <w:rPr/>
  </w:style>
  <w:style w:type="paragraph" w:styleId="Caption111111111111111" w:customStyle="1">
    <w:name w:val="caption111111111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111111111" w:customStyle="1">
    <w:name w:val="index heading111111111111111"/>
    <w:basedOn w:val="Title"/>
    <w:qFormat/>
    <w:pPr/>
    <w:rPr/>
  </w:style>
  <w:style w:type="paragraph" w:styleId="Caption1111111111111111" w:customStyle="1">
    <w:name w:val="caption1111111111111111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xheading1111111111111111" w:customStyle="1">
    <w:name w:val="index heading1111111111111111"/>
    <w:basedOn w:val="Title"/>
    <w:qFormat/>
    <w:pPr/>
    <w:rPr/>
  </w:style>
  <w:style w:type="paragraph" w:styleId="Style20" w:customStyle="1">
    <w:name w:val="Название раздела инструкции"/>
    <w:basedOn w:val="Normal"/>
    <w:autoRedefine/>
    <w:qFormat/>
    <w:rsid w:val="00275328"/>
    <w:pPr>
      <w:jc w:val="center"/>
    </w:pPr>
    <w:rPr>
      <w:b/>
    </w:rPr>
  </w:style>
  <w:style w:type="paragraph" w:styleId="Style21" w:customStyle="1">
    <w:name w:val="Раздел положения"/>
    <w:basedOn w:val="Normal"/>
    <w:autoRedefine/>
    <w:qFormat/>
    <w:rsid w:val="007475ee"/>
    <w:pPr>
      <w:numPr>
        <w:ilvl w:val="0"/>
        <w:numId w:val="2"/>
      </w:numPr>
      <w:spacing w:before="80" w:after="80"/>
      <w:jc w:val="center"/>
    </w:pPr>
    <w:rPr>
      <w:b/>
      <w:sz w:val="32"/>
      <w:szCs w:val="32"/>
    </w:rPr>
  </w:style>
  <w:style w:type="paragraph" w:styleId="Style22" w:customStyle="1">
    <w:name w:val="Подраздел раздела положения"/>
    <w:basedOn w:val="Normal"/>
    <w:autoRedefine/>
    <w:qFormat/>
    <w:rsid w:val="007475ee"/>
    <w:pPr>
      <w:numPr>
        <w:ilvl w:val="1"/>
        <w:numId w:val="2"/>
      </w:numPr>
      <w:spacing w:before="80" w:after="80"/>
      <w:jc w:val="both"/>
    </w:pPr>
    <w:rPr/>
  </w:style>
  <w:style w:type="paragraph" w:styleId="FootnoteText">
    <w:name w:val="Footnote Text"/>
    <w:basedOn w:val="Normal"/>
    <w:link w:val="Style5"/>
    <w:uiPriority w:val="99"/>
    <w:rsid w:val="00d561d9"/>
    <w:pPr/>
    <w:rPr>
      <w:sz w:val="20"/>
      <w:szCs w:val="20"/>
    </w:rPr>
  </w:style>
  <w:style w:type="paragraph" w:styleId="14" w:customStyle="1">
    <w:name w:val="Шапка 1"/>
    <w:basedOn w:val="Normal"/>
    <w:qFormat/>
    <w:rsid w:val="00d561d9"/>
    <w:pPr>
      <w:pBdr>
        <w:bottom w:val="thickThinSmallGap" w:sz="24" w:space="1" w:color="000000"/>
      </w:pBdr>
      <w:spacing w:before="0" w:after="240"/>
      <w:jc w:val="center"/>
    </w:pPr>
    <w:rPr>
      <w:sz w:val="22"/>
      <w:szCs w:val="22"/>
    </w:rPr>
  </w:style>
  <w:style w:type="paragraph" w:styleId="24" w:customStyle="1">
    <w:name w:val="Шапка 2"/>
    <w:basedOn w:val="Normal"/>
    <w:qFormat/>
    <w:rsid w:val="00d561d9"/>
    <w:pPr>
      <w:pBdr>
        <w:bottom w:val="thickThinSmallGap" w:sz="24" w:space="1" w:color="000000"/>
      </w:pBdr>
      <w:spacing w:before="0" w:after="120"/>
      <w:jc w:val="center"/>
    </w:pPr>
    <w:rPr>
      <w:b/>
      <w:sz w:val="22"/>
      <w:szCs w:val="22"/>
    </w:rPr>
  </w:style>
  <w:style w:type="paragraph" w:styleId="32" w:customStyle="1">
    <w:name w:val="Шапка 3"/>
    <w:basedOn w:val="Normal"/>
    <w:qFormat/>
    <w:rsid w:val="00d561d9"/>
    <w:pPr>
      <w:pBdr>
        <w:bottom w:val="thickThinSmallGap" w:sz="24" w:space="1" w:color="000000"/>
      </w:pBdr>
      <w:spacing w:before="240" w:after="360"/>
      <w:jc w:val="center"/>
    </w:pPr>
    <w:rPr>
      <w:b/>
      <w:sz w:val="24"/>
      <w:szCs w:val="24"/>
    </w:rPr>
  </w:style>
  <w:style w:type="paragraph" w:styleId="15" w:customStyle="1">
    <w:name w:val="Название1"/>
    <w:basedOn w:val="Normal"/>
    <w:link w:val="Style1"/>
    <w:uiPriority w:val="10"/>
    <w:qFormat/>
    <w:rsid w:val="00bd4014"/>
    <w:pPr>
      <w:jc w:val="center"/>
    </w:pPr>
    <w:rPr>
      <w:szCs w:val="20"/>
      <w:lang w:val="x-none" w:eastAsia="x-none"/>
    </w:rPr>
  </w:style>
  <w:style w:type="paragraph" w:styleId="Style23" w:customStyle="1">
    <w:name w:val="Колонтитул"/>
    <w:basedOn w:val="Normal"/>
    <w:qFormat/>
    <w:pPr/>
    <w:rPr/>
  </w:style>
  <w:style w:type="paragraph" w:styleId="Header">
    <w:name w:val="Header"/>
    <w:basedOn w:val="Normal"/>
    <w:link w:val="Style10"/>
    <w:rsid w:val="0076353a"/>
    <w:pPr>
      <w:tabs>
        <w:tab w:val="clear" w:pos="708"/>
        <w:tab w:val="center" w:pos="4677" w:leader="none"/>
        <w:tab w:val="right" w:pos="9355" w:leader="none"/>
      </w:tabs>
    </w:pPr>
    <w:rPr>
      <w:sz w:val="24"/>
      <w:szCs w:val="24"/>
    </w:rPr>
  </w:style>
  <w:style w:type="paragraph" w:styleId="BodyTextIndent">
    <w:name w:val="Body Text Indent"/>
    <w:basedOn w:val="Normal"/>
    <w:rsid w:val="0076353a"/>
    <w:pPr>
      <w:ind w:left="360" w:hanging="0"/>
    </w:pPr>
    <w:rPr>
      <w:sz w:val="24"/>
      <w:szCs w:val="24"/>
    </w:rPr>
  </w:style>
  <w:style w:type="paragraph" w:styleId="Footer">
    <w:name w:val="Footer"/>
    <w:basedOn w:val="Normal"/>
    <w:link w:val="Style17"/>
    <w:uiPriority w:val="99"/>
    <w:rsid w:val="0076353a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BodyTextIndent2">
    <w:name w:val="Body Text Indent 2"/>
    <w:basedOn w:val="Normal"/>
    <w:qFormat/>
    <w:rsid w:val="0076353a"/>
    <w:pPr>
      <w:spacing w:lineRule="auto" w:line="480" w:before="0" w:after="120"/>
      <w:ind w:left="283" w:hanging="0"/>
    </w:pPr>
    <w:rPr/>
  </w:style>
  <w:style w:type="paragraph" w:styleId="BodyText3">
    <w:name w:val="Body Text 3"/>
    <w:basedOn w:val="Normal"/>
    <w:qFormat/>
    <w:rsid w:val="0076353a"/>
    <w:pPr>
      <w:spacing w:before="0" w:after="120"/>
    </w:pPr>
    <w:rPr>
      <w:sz w:val="16"/>
      <w:szCs w:val="16"/>
    </w:rPr>
  </w:style>
  <w:style w:type="paragraph" w:styleId="BodyTextIndent3">
    <w:name w:val="Body Text Indent 3"/>
    <w:basedOn w:val="Normal"/>
    <w:qFormat/>
    <w:rsid w:val="0076353a"/>
    <w:pPr>
      <w:spacing w:before="0" w:after="120"/>
      <w:ind w:left="283" w:hanging="0"/>
    </w:pPr>
    <w:rPr>
      <w:sz w:val="16"/>
      <w:szCs w:val="16"/>
    </w:rPr>
  </w:style>
  <w:style w:type="paragraph" w:styleId="BodyText2">
    <w:name w:val="Body Text 2"/>
    <w:basedOn w:val="Normal"/>
    <w:qFormat/>
    <w:rsid w:val="0076353a"/>
    <w:pPr>
      <w:spacing w:lineRule="auto" w:line="480" w:before="0" w:after="120"/>
    </w:pPr>
    <w:rPr/>
  </w:style>
  <w:style w:type="paragraph" w:styleId="BlockText">
    <w:name w:val="Block Text"/>
    <w:basedOn w:val="Normal"/>
    <w:qFormat/>
    <w:rsid w:val="0076353a"/>
    <w:pPr>
      <w:ind w:left="-567" w:right="-766" w:hanging="0"/>
      <w:jc w:val="center"/>
    </w:pPr>
    <w:rPr>
      <w:b/>
      <w:bCs/>
      <w:sz w:val="24"/>
      <w:szCs w:val="20"/>
    </w:rPr>
  </w:style>
  <w:style w:type="paragraph" w:styleId="Style24" w:customStyle="1">
    <w:name w:val="Подпункт"/>
    <w:basedOn w:val="Normal"/>
    <w:link w:val="11"/>
    <w:qFormat/>
    <w:rsid w:val="0076353a"/>
    <w:pPr>
      <w:tabs>
        <w:tab w:val="clear" w:pos="708"/>
        <w:tab w:val="left" w:pos="1134" w:leader="none"/>
      </w:tabs>
      <w:snapToGrid w:val="false"/>
      <w:spacing w:lineRule="auto" w:line="360"/>
      <w:ind w:left="1134" w:hanging="1134"/>
      <w:jc w:val="both"/>
    </w:pPr>
    <w:rPr>
      <w:szCs w:val="20"/>
      <w:lang w:val="x-none" w:eastAsia="x-none"/>
    </w:rPr>
  </w:style>
  <w:style w:type="paragraph" w:styleId="25" w:customStyle="1">
    <w:name w:val="Пункт2"/>
    <w:basedOn w:val="Normal"/>
    <w:link w:val="22"/>
    <w:qFormat/>
    <w:rsid w:val="0076353a"/>
    <w:pPr>
      <w:keepNext w:val="true"/>
      <w:tabs>
        <w:tab w:val="clear" w:pos="708"/>
        <w:tab w:val="left" w:pos="1134" w:leader="none"/>
      </w:tabs>
      <w:snapToGrid w:val="false"/>
      <w:spacing w:before="240" w:after="120"/>
      <w:ind w:left="1134" w:hanging="1134"/>
      <w:outlineLvl w:val="2"/>
    </w:pPr>
    <w:rPr>
      <w:b/>
      <w:szCs w:val="20"/>
    </w:rPr>
  </w:style>
  <w:style w:type="paragraph" w:styleId="TOC1">
    <w:name w:val="TOC 1"/>
    <w:basedOn w:val="Normal"/>
    <w:next w:val="Normal"/>
    <w:autoRedefine/>
    <w:uiPriority w:val="39"/>
    <w:rsid w:val="004e2850"/>
    <w:pPr>
      <w:spacing w:before="120" w:after="0"/>
    </w:pPr>
    <w:rPr>
      <w:rFonts w:cs="Calibri Light (Заголовки)"/>
      <w:b/>
      <w:bCs/>
      <w:sz w:val="24"/>
      <w:szCs w:val="24"/>
    </w:rPr>
  </w:style>
  <w:style w:type="paragraph" w:styleId="TOC3">
    <w:name w:val="TOC 3"/>
    <w:basedOn w:val="Normal"/>
    <w:next w:val="Normal"/>
    <w:autoRedefine/>
    <w:uiPriority w:val="39"/>
    <w:rsid w:val="000e5088"/>
    <w:pPr>
      <w:tabs>
        <w:tab w:val="clear" w:pos="708"/>
        <w:tab w:val="right" w:pos="9911" w:leader="dot"/>
      </w:tabs>
      <w:ind w:left="1134" w:hanging="425"/>
    </w:pPr>
    <w:rPr>
      <w:rFonts w:cs="Calibri" w:cstheme="minorHAnsi"/>
      <w:sz w:val="20"/>
      <w:szCs w:val="20"/>
    </w:rPr>
  </w:style>
  <w:style w:type="paragraph" w:styleId="Style25" w:customStyle="1">
    <w:name w:val="Раздел регламента"/>
    <w:basedOn w:val="Normal"/>
    <w:qFormat/>
    <w:rsid w:val="00e228fa"/>
    <w:pPr/>
    <w:rPr/>
  </w:style>
  <w:style w:type="paragraph" w:styleId="Style26" w:customStyle="1">
    <w:name w:val="Приложение к регламенту"/>
    <w:basedOn w:val="Normal"/>
    <w:qFormat/>
    <w:rsid w:val="00e228fa"/>
    <w:pPr>
      <w:jc w:val="right"/>
    </w:pPr>
    <w:rPr/>
  </w:style>
  <w:style w:type="paragraph" w:styleId="TOC2">
    <w:name w:val="TOC 2"/>
    <w:basedOn w:val="Normal"/>
    <w:next w:val="Normal"/>
    <w:autoRedefine/>
    <w:uiPriority w:val="39"/>
    <w:rsid w:val="00c01756"/>
    <w:pPr>
      <w:spacing w:before="240" w:after="0"/>
    </w:pPr>
    <w:rPr>
      <w:rFonts w:cs="Calibri" w:cstheme="minorHAnsi"/>
      <w:b/>
      <w:bCs/>
      <w:sz w:val="20"/>
      <w:szCs w:val="20"/>
    </w:rPr>
  </w:style>
  <w:style w:type="paragraph" w:styleId="BalloonText">
    <w:name w:val="Balloon Text"/>
    <w:basedOn w:val="Normal"/>
    <w:semiHidden/>
    <w:qFormat/>
    <w:rsid w:val="00197c91"/>
    <w:pPr/>
    <w:rPr>
      <w:rFonts w:ascii="Tahoma" w:hAnsi="Tahoma" w:cs="Tahoma"/>
      <w:sz w:val="16"/>
      <w:szCs w:val="16"/>
    </w:rPr>
  </w:style>
  <w:style w:type="paragraph" w:styleId="Annotationtext">
    <w:name w:val="annotation text"/>
    <w:basedOn w:val="Normal"/>
    <w:link w:val="Style11"/>
    <w:semiHidden/>
    <w:qFormat/>
    <w:rsid w:val="00b714b0"/>
    <w:pPr/>
    <w:rPr>
      <w:sz w:val="20"/>
      <w:szCs w:val="20"/>
    </w:rPr>
  </w:style>
  <w:style w:type="paragraph" w:styleId="Annotationsubject">
    <w:name w:val="annotation subject"/>
    <w:basedOn w:val="Annotationtext"/>
    <w:next w:val="Annotationtext"/>
    <w:semiHidden/>
    <w:qFormat/>
    <w:rsid w:val="00b714b0"/>
    <w:pPr/>
    <w:rPr>
      <w:b/>
      <w:bCs/>
    </w:rPr>
  </w:style>
  <w:style w:type="paragraph" w:styleId="16" w:customStyle="1">
    <w:name w:val="Обычный (веб)1"/>
    <w:basedOn w:val="Normal"/>
    <w:uiPriority w:val="99"/>
    <w:qFormat/>
    <w:rsid w:val="002f559a"/>
    <w:pPr>
      <w:spacing w:beforeAutospacing="1" w:afterAutospacing="1"/>
    </w:pPr>
    <w:rPr>
      <w:rFonts w:ascii="Arial Unicode MS" w:hAnsi="Arial Unicode MS" w:eastAsia="Arial Unicode MS" w:cs="Arial Unicode MS"/>
      <w:sz w:val="24"/>
      <w:szCs w:val="24"/>
    </w:rPr>
  </w:style>
  <w:style w:type="paragraph" w:styleId="TOC9">
    <w:name w:val="TOC 9"/>
    <w:basedOn w:val="Normal"/>
    <w:next w:val="Normal"/>
    <w:autoRedefine/>
    <w:semiHidden/>
    <w:rsid w:val="00f57628"/>
    <w:pPr>
      <w:ind w:left="196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f57628"/>
    <w:pPr>
      <w:ind w:left="84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rsid w:val="000d5a0a"/>
    <w:pPr>
      <w:tabs>
        <w:tab w:val="clear" w:pos="708"/>
        <w:tab w:val="right" w:pos="9911" w:leader="dot"/>
      </w:tabs>
      <w:ind w:left="1224" w:hanging="515"/>
    </w:pPr>
    <w:rPr>
      <w:rFonts w:cs="Calibri" w:cstheme="minorHAnsi"/>
      <w:sz w:val="20"/>
      <w:szCs w:val="20"/>
    </w:rPr>
  </w:style>
  <w:style w:type="paragraph" w:styleId="26" w:customStyle="1">
    <w:name w:val="Раздел положения 2"/>
    <w:basedOn w:val="Normal"/>
    <w:qFormat/>
    <w:rsid w:val="002c1e0e"/>
    <w:pPr>
      <w:pageBreakBefore/>
      <w:jc w:val="both"/>
      <w:outlineLvl w:val="0"/>
    </w:pPr>
    <w:rPr>
      <w:b/>
    </w:rPr>
  </w:style>
  <w:style w:type="paragraph" w:styleId="Style27" w:customStyle="1">
    <w:name w:val="Знак Знак Знак Знак Знак Знак Знак Знак Знак"/>
    <w:basedOn w:val="Normal"/>
    <w:qFormat/>
    <w:rsid w:val="00d22f6d"/>
    <w:pPr>
      <w:spacing w:lineRule="exact" w:line="240" w:before="0" w:after="160"/>
      <w:jc w:val="both"/>
    </w:pPr>
    <w:rPr>
      <w:rFonts w:ascii="Verdana" w:hAnsi="Verdana" w:cs="Verdana"/>
      <w:sz w:val="22"/>
      <w:szCs w:val="22"/>
      <w:lang w:val="en-US" w:eastAsia="en-US"/>
    </w:rPr>
  </w:style>
  <w:style w:type="paragraph" w:styleId="NoSpacing">
    <w:name w:val="No Spacing"/>
    <w:basedOn w:val="Normal"/>
    <w:uiPriority w:val="1"/>
    <w:qFormat/>
    <w:rsid w:val="00d22f6d"/>
    <w:pPr>
      <w:spacing w:lineRule="auto" w:line="360"/>
    </w:pPr>
    <w:rPr>
      <w:rFonts w:eastAsia="Calibri"/>
      <w:sz w:val="24"/>
      <w:szCs w:val="24"/>
    </w:rPr>
  </w:style>
  <w:style w:type="paragraph" w:styleId="Caption11111111111111111" w:customStyle="1">
    <w:name w:val="caption11111111111111111"/>
    <w:basedOn w:val="Normal"/>
    <w:next w:val="Normal"/>
    <w:uiPriority w:val="35"/>
    <w:qFormat/>
    <w:rsid w:val="00d22f6d"/>
    <w:pPr/>
    <w:rPr>
      <w:rFonts w:eastAsia="Calibri"/>
      <w:b/>
      <w:bCs/>
      <w:color w:val="4F81BD"/>
      <w:sz w:val="18"/>
      <w:szCs w:val="18"/>
    </w:rPr>
  </w:style>
  <w:style w:type="paragraph" w:styleId="Subtitle">
    <w:name w:val="Subtitle"/>
    <w:basedOn w:val="Normal"/>
    <w:next w:val="Normal"/>
    <w:link w:val="Style2"/>
    <w:uiPriority w:val="11"/>
    <w:qFormat/>
    <w:rsid w:val="00d22f6d"/>
    <w:pPr>
      <w:numPr>
        <w:ilvl w:val="1"/>
      </w:numPr>
      <w:ind w:left="1066" w:firstLine="709"/>
    </w:pPr>
    <w:rPr>
      <w:rFonts w:ascii="Cambria" w:hAnsi="Cambria"/>
      <w:i/>
      <w:iCs/>
      <w:color w:val="4F81BD"/>
      <w:spacing w:val="15"/>
      <w:sz w:val="24"/>
      <w:szCs w:val="24"/>
      <w:lang w:val="x-none" w:eastAsia="x-none"/>
    </w:rPr>
  </w:style>
  <w:style w:type="paragraph" w:styleId="ListParagraph">
    <w:name w:val="List Paragraph"/>
    <w:basedOn w:val="Normal"/>
    <w:link w:val="Style7"/>
    <w:uiPriority w:val="34"/>
    <w:qFormat/>
    <w:rsid w:val="00d22f6d"/>
    <w:pPr>
      <w:spacing w:before="0" w:after="0"/>
      <w:ind w:left="720" w:hanging="0"/>
      <w:contextualSpacing/>
    </w:pPr>
    <w:rPr>
      <w:rFonts w:eastAsia="Calibri"/>
      <w:sz w:val="24"/>
      <w:szCs w:val="24"/>
    </w:rPr>
  </w:style>
  <w:style w:type="paragraph" w:styleId="Quote">
    <w:name w:val="Quote"/>
    <w:basedOn w:val="Normal"/>
    <w:next w:val="Normal"/>
    <w:link w:val="21"/>
    <w:uiPriority w:val="29"/>
    <w:qFormat/>
    <w:rsid w:val="00d22f6d"/>
    <w:pPr/>
    <w:rPr>
      <w:rFonts w:ascii="Calibri" w:hAnsi="Calibri" w:eastAsia="Calibri"/>
      <w:i/>
      <w:iCs/>
      <w:color w:val="000000"/>
      <w:sz w:val="20"/>
      <w:szCs w:val="20"/>
      <w:lang w:val="x-none" w:eastAsia="x-none"/>
    </w:rPr>
  </w:style>
  <w:style w:type="paragraph" w:styleId="IntenseQuote">
    <w:name w:val="Intense Quote"/>
    <w:basedOn w:val="Normal"/>
    <w:next w:val="Normal"/>
    <w:link w:val="Style3"/>
    <w:uiPriority w:val="30"/>
    <w:qFormat/>
    <w:rsid w:val="00d22f6d"/>
    <w:pPr>
      <w:pBdr>
        <w:bottom w:val="single" w:sz="4" w:space="4" w:color="4F81BD"/>
      </w:pBdr>
      <w:spacing w:before="200" w:after="280"/>
      <w:ind w:left="936" w:right="936" w:hanging="0"/>
    </w:pPr>
    <w:rPr>
      <w:rFonts w:ascii="Calibri" w:hAnsi="Calibri" w:eastAsia="Calibri"/>
      <w:b/>
      <w:bCs/>
      <w:i/>
      <w:iCs/>
      <w:color w:val="4F81BD"/>
      <w:sz w:val="20"/>
      <w:szCs w:val="20"/>
      <w:lang w:val="x-none" w:eastAsia="x-none"/>
    </w:rPr>
  </w:style>
  <w:style w:type="paragraph" w:styleId="IndexHeading">
    <w:name w:val="Index Heading"/>
    <w:basedOn w:val="Style18"/>
    <w:pPr/>
    <w:rPr/>
  </w:style>
  <w:style w:type="paragraph" w:styleId="TOCHeading">
    <w:name w:val="TOC Heading"/>
    <w:basedOn w:val="Heading1"/>
    <w:next w:val="Normal"/>
    <w:uiPriority w:val="39"/>
    <w:qFormat/>
    <w:rsid w:val="00d22f6d"/>
    <w:pPr>
      <w:keepLines/>
      <w:numPr>
        <w:ilvl w:val="0"/>
        <w:numId w:val="0"/>
      </w:numPr>
      <w:spacing w:before="480" w:after="60"/>
      <w:outlineLvl w:val="9"/>
    </w:pPr>
    <w:rPr>
      <w:rFonts w:ascii="Cambria" w:hAnsi="Cambria"/>
      <w:bCs/>
      <w:color w:val="365F91"/>
    </w:rPr>
  </w:style>
  <w:style w:type="paragraph" w:styleId="E-mailSignature">
    <w:name w:val="E-mail Signature"/>
    <w:basedOn w:val="Normal"/>
    <w:link w:val="Style4"/>
    <w:uiPriority w:val="99"/>
    <w:unhideWhenUsed/>
    <w:qFormat/>
    <w:rsid w:val="00d22f6d"/>
    <w:pPr/>
    <w:rPr>
      <w:rFonts w:eastAsia="Calibri"/>
      <w:sz w:val="24"/>
      <w:szCs w:val="24"/>
      <w:lang w:val="x-none" w:eastAsia="x-none"/>
    </w:rPr>
  </w:style>
  <w:style w:type="paragraph" w:styleId="Style28" w:customStyle="1">
    <w:name w:val="Знак"/>
    <w:basedOn w:val="Normal"/>
    <w:qFormat/>
    <w:rsid w:val="00d22f6d"/>
    <w:pPr>
      <w:spacing w:lineRule="exact" w:line="240" w:before="0" w:after="160"/>
    </w:pPr>
    <w:rPr>
      <w:rFonts w:ascii="Verdana" w:hAnsi="Verdana" w:cs="Verdana"/>
      <w:sz w:val="20"/>
      <w:szCs w:val="20"/>
      <w:lang w:val="en-US" w:eastAsia="en-US"/>
    </w:rPr>
  </w:style>
  <w:style w:type="paragraph" w:styleId="33" w:customStyle="1">
    <w:name w:val="Нумерованный список ур3"/>
    <w:basedOn w:val="Normal"/>
    <w:qFormat/>
    <w:rsid w:val="00d22f6d"/>
    <w:pPr>
      <w:numPr>
        <w:ilvl w:val="2"/>
        <w:numId w:val="3"/>
      </w:numPr>
      <w:jc w:val="both"/>
    </w:pPr>
    <w:rPr>
      <w:rFonts w:ascii="Garamond" w:hAnsi="Garamond"/>
      <w:sz w:val="24"/>
      <w:szCs w:val="20"/>
    </w:rPr>
  </w:style>
  <w:style w:type="paragraph" w:styleId="41" w:customStyle="1">
    <w:name w:val="Маркированный список 41"/>
    <w:basedOn w:val="Normal"/>
    <w:qFormat/>
    <w:rsid w:val="00d22f6d"/>
    <w:pPr>
      <w:numPr>
        <w:ilvl w:val="0"/>
        <w:numId w:val="3"/>
      </w:numPr>
      <w:spacing w:before="120" w:after="0"/>
      <w:jc w:val="both"/>
    </w:pPr>
    <w:rPr>
      <w:rFonts w:ascii="Garamond" w:hAnsi="Garamond"/>
      <w:sz w:val="24"/>
      <w:szCs w:val="20"/>
    </w:rPr>
  </w:style>
  <w:style w:type="paragraph" w:styleId="27" w:customStyle="1">
    <w:name w:val="Нумерованный список ур2"/>
    <w:basedOn w:val="Normal"/>
    <w:qFormat/>
    <w:rsid w:val="00d22f6d"/>
    <w:pPr>
      <w:numPr>
        <w:ilvl w:val="1"/>
        <w:numId w:val="3"/>
      </w:numPr>
      <w:spacing w:before="120" w:after="0"/>
      <w:jc w:val="both"/>
    </w:pPr>
    <w:rPr>
      <w:rFonts w:ascii="Garamond" w:hAnsi="Garamond"/>
      <w:sz w:val="24"/>
      <w:szCs w:val="20"/>
    </w:rPr>
  </w:style>
  <w:style w:type="paragraph" w:styleId="Revision">
    <w:name w:val="Revision"/>
    <w:uiPriority w:val="99"/>
    <w:semiHidden/>
    <w:qFormat/>
    <w:rsid w:val="00d22f6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/>
      <w:color w:val="auto"/>
      <w:kern w:val="0"/>
      <w:sz w:val="24"/>
      <w:szCs w:val="24"/>
      <w:lang w:val="ru-RU" w:eastAsia="ru-RU" w:bidi="ar-SA"/>
    </w:rPr>
  </w:style>
  <w:style w:type="paragraph" w:styleId="ConsPlusNormal" w:customStyle="1">
    <w:name w:val="ConsPlusNormal"/>
    <w:qFormat/>
    <w:rsid w:val="00d22f6d"/>
    <w:pPr>
      <w:widowControl w:val="false"/>
      <w:suppressAutoHyphens w:val="true"/>
      <w:bidi w:val="0"/>
      <w:spacing w:before="0" w:after="0"/>
      <w:ind w:firstLine="72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ru-RU" w:bidi="ar-SA"/>
    </w:rPr>
  </w:style>
  <w:style w:type="paragraph" w:styleId="34" w:customStyle="1">
    <w:name w:val="Знак Знак3 Знак Знак"/>
    <w:basedOn w:val="Normal"/>
    <w:qFormat/>
    <w:rsid w:val="00d22f6d"/>
    <w:pPr>
      <w:spacing w:lineRule="exact" w:line="240" w:before="0" w:after="160"/>
      <w:jc w:val="both"/>
    </w:pPr>
    <w:rPr>
      <w:rFonts w:ascii="Verdana" w:hAnsi="Verdana" w:cs="Verdana"/>
      <w:sz w:val="22"/>
      <w:szCs w:val="22"/>
      <w:lang w:val="en-US" w:eastAsia="en-US"/>
    </w:rPr>
  </w:style>
  <w:style w:type="paragraph" w:styleId="Style29" w:customStyle="1">
    <w:name w:val="Пункт"/>
    <w:basedOn w:val="Normal"/>
    <w:qFormat/>
    <w:rsid w:val="00d22f6d"/>
    <w:pPr>
      <w:widowControl w:val="false"/>
      <w:tabs>
        <w:tab w:val="clear" w:pos="708"/>
        <w:tab w:val="left" w:pos="1134" w:leader="none"/>
      </w:tabs>
      <w:spacing w:lineRule="auto" w:line="360" w:before="120" w:after="0"/>
      <w:ind w:left="1134" w:right="800" w:hanging="1134"/>
      <w:jc w:val="both"/>
    </w:pPr>
    <w:rPr>
      <w:rFonts w:ascii="Arial" w:hAnsi="Arial"/>
      <w:b/>
      <w:i/>
      <w:szCs w:val="20"/>
    </w:rPr>
  </w:style>
  <w:style w:type="paragraph" w:styleId="17" w:customStyle="1">
    <w:name w:val="Абзац списка1"/>
    <w:basedOn w:val="Normal"/>
    <w:qFormat/>
    <w:rsid w:val="00d22f6d"/>
    <w:pPr>
      <w:spacing w:lineRule="auto" w:line="276" w:before="0" w:after="200"/>
      <w:ind w:left="720" w:hanging="0"/>
      <w:contextualSpacing/>
    </w:pPr>
    <w:rPr>
      <w:rFonts w:ascii="Calibri" w:hAnsi="Calibri"/>
      <w:sz w:val="22"/>
      <w:szCs w:val="22"/>
      <w:lang w:eastAsia="en-US"/>
    </w:rPr>
  </w:style>
  <w:style w:type="paragraph" w:styleId="Style30" w:customStyle="1">
    <w:name w:val="Таблица"/>
    <w:basedOn w:val="Normal"/>
    <w:qFormat/>
    <w:rsid w:val="0041356c"/>
    <w:pPr>
      <w:keepNext w:val="true"/>
      <w:spacing w:before="60" w:after="60"/>
      <w:jc w:val="center"/>
    </w:pPr>
    <w:rPr>
      <w:rFonts w:eastAsia="Calibri"/>
      <w:b/>
      <w:sz w:val="24"/>
      <w:szCs w:val="24"/>
      <w:lang w:val="x-none" w:eastAsia="x-none"/>
    </w:rPr>
  </w:style>
  <w:style w:type="paragraph" w:styleId="Style31" w:customStyle="1">
    <w:name w:val="Таблица шапка"/>
    <w:basedOn w:val="Normal"/>
    <w:qFormat/>
    <w:rsid w:val="00f64089"/>
    <w:pPr>
      <w:keepNext w:val="true"/>
      <w:spacing w:before="40" w:after="40"/>
      <w:ind w:left="57" w:right="57" w:hanging="0"/>
    </w:pPr>
    <w:rPr>
      <w:sz w:val="22"/>
      <w:szCs w:val="26"/>
    </w:rPr>
  </w:style>
  <w:style w:type="paragraph" w:styleId="Style32" w:customStyle="1">
    <w:name w:val="Подподпункт"/>
    <w:basedOn w:val="Style24"/>
    <w:link w:val="Style9"/>
    <w:qFormat/>
    <w:rsid w:val="0025139e"/>
    <w:pPr>
      <w:tabs>
        <w:tab w:val="clear" w:pos="1134"/>
        <w:tab w:val="left" w:pos="5104" w:leader="none"/>
      </w:tabs>
      <w:snapToGrid w:val="true"/>
      <w:spacing w:lineRule="auto" w:line="240" w:before="120" w:after="0"/>
      <w:ind w:left="5104" w:hanging="567"/>
    </w:pPr>
    <w:rPr>
      <w:sz w:val="26"/>
      <w:szCs w:val="26"/>
      <w:lang w:val="ru-RU" w:eastAsia="ru-RU"/>
    </w:rPr>
  </w:style>
  <w:style w:type="paragraph" w:styleId="Style33" w:customStyle="1">
    <w:name w:val="УРОВЕНЬ_(а)"/>
    <w:basedOn w:val="ListParagraph"/>
    <w:qFormat/>
    <w:rsid w:val="00b56f46"/>
    <w:pPr>
      <w:numPr>
        <w:ilvl w:val="3"/>
        <w:numId w:val="4"/>
      </w:numPr>
      <w:spacing w:lineRule="exact" w:line="360" w:before="120" w:after="0"/>
      <w:contextualSpacing w:val="false"/>
      <w:jc w:val="both"/>
      <w:outlineLvl w:val="3"/>
    </w:pPr>
    <w:rPr>
      <w:sz w:val="26"/>
      <w:szCs w:val="28"/>
      <w:lang w:eastAsia="en-US"/>
    </w:rPr>
  </w:style>
  <w:style w:type="paragraph" w:styleId="-" w:customStyle="1">
    <w:name w:val="УРОВЕНЬ_-"/>
    <w:basedOn w:val="ListParagraph"/>
    <w:qFormat/>
    <w:rsid w:val="00b56f46"/>
    <w:pPr>
      <w:numPr>
        <w:ilvl w:val="4"/>
        <w:numId w:val="4"/>
      </w:numPr>
      <w:spacing w:lineRule="exact" w:line="360" w:before="120" w:after="0"/>
      <w:contextualSpacing w:val="false"/>
      <w:jc w:val="both"/>
      <w:outlineLvl w:val="4"/>
    </w:pPr>
    <w:rPr>
      <w:sz w:val="26"/>
      <w:szCs w:val="28"/>
      <w:lang w:eastAsia="en-US"/>
    </w:rPr>
  </w:style>
  <w:style w:type="paragraph" w:styleId="28" w:customStyle="1">
    <w:name w:val="УРОВЕНЬ_Абзац_тип2"/>
    <w:basedOn w:val="ListParagraph"/>
    <w:qFormat/>
    <w:rsid w:val="00b56f46"/>
    <w:pPr>
      <w:numPr>
        <w:ilvl w:val="6"/>
        <w:numId w:val="4"/>
      </w:numPr>
      <w:spacing w:lineRule="exact" w:line="360" w:before="120" w:after="0"/>
      <w:contextualSpacing w:val="false"/>
      <w:jc w:val="both"/>
    </w:pPr>
    <w:rPr>
      <w:sz w:val="26"/>
      <w:szCs w:val="28"/>
      <w:lang w:eastAsia="en-US"/>
    </w:rPr>
  </w:style>
  <w:style w:type="paragraph" w:styleId="35" w:customStyle="1">
    <w:name w:val="УРОВЕНЬ_Абзац_тип3"/>
    <w:basedOn w:val="ListParagraph"/>
    <w:link w:val="31"/>
    <w:qFormat/>
    <w:rsid w:val="00b56f46"/>
    <w:pPr>
      <w:numPr>
        <w:ilvl w:val="7"/>
        <w:numId w:val="4"/>
      </w:numPr>
      <w:spacing w:lineRule="exact" w:line="360" w:before="120" w:after="0"/>
      <w:contextualSpacing w:val="false"/>
      <w:jc w:val="both"/>
    </w:pPr>
    <w:rPr>
      <w:sz w:val="26"/>
      <w:szCs w:val="28"/>
      <w:lang w:eastAsia="en-US"/>
    </w:rPr>
  </w:style>
  <w:style w:type="paragraph" w:styleId="Style34" w:customStyle="1">
    <w:name w:val="УРОВЕНЬ_Подпись"/>
    <w:basedOn w:val="ListParagraph"/>
    <w:qFormat/>
    <w:rsid w:val="00b56f46"/>
    <w:pPr>
      <w:keepNext w:val="true"/>
      <w:numPr>
        <w:ilvl w:val="5"/>
        <w:numId w:val="4"/>
      </w:numPr>
      <w:spacing w:lineRule="exact" w:line="360" w:before="120" w:after="120"/>
      <w:contextualSpacing w:val="false"/>
      <w:jc w:val="right"/>
      <w:outlineLvl w:val="3"/>
    </w:pPr>
    <w:rPr>
      <w:sz w:val="26"/>
      <w:szCs w:val="28"/>
      <w:lang w:eastAsia="en-US"/>
    </w:rPr>
  </w:style>
  <w:style w:type="paragraph" w:styleId="18" w:customStyle="1">
    <w:name w:val="Стиль Заголовок 1 + по ширине"/>
    <w:basedOn w:val="Heading1"/>
    <w:qFormat/>
    <w:rsid w:val="005773b2"/>
    <w:pPr>
      <w:keepLines/>
      <w:numPr>
        <w:ilvl w:val="0"/>
        <w:numId w:val="0"/>
      </w:numPr>
      <w:tabs>
        <w:tab w:val="clear" w:pos="708"/>
        <w:tab w:val="left" w:pos="567" w:leader="none"/>
      </w:tabs>
      <w:spacing w:before="480" w:after="240"/>
      <w:ind w:left="567" w:hanging="567"/>
      <w:jc w:val="both"/>
    </w:pPr>
    <w:rPr>
      <w:rFonts w:ascii="Arial" w:hAnsi="Arial" w:eastAsia="Times New Roman"/>
      <w:bCs/>
      <w:kern w:val="2"/>
      <w:sz w:val="40"/>
      <w:szCs w:val="20"/>
      <w:lang w:val="ru-RU" w:eastAsia="ru-RU"/>
    </w:rPr>
  </w:style>
  <w:style w:type="paragraph" w:styleId="EndnoteText">
    <w:name w:val="Endnote Text"/>
    <w:basedOn w:val="Normal"/>
    <w:link w:val="Style12"/>
    <w:rsid w:val="003879d4"/>
    <w:pPr/>
    <w:rPr>
      <w:sz w:val="20"/>
      <w:szCs w:val="20"/>
    </w:rPr>
  </w:style>
  <w:style w:type="paragraph" w:styleId="29" w:customStyle="1">
    <w:name w:val="Заголовок 2 КВВ"/>
    <w:basedOn w:val="Normal"/>
    <w:qFormat/>
    <w:rsid w:val="00cb35e8"/>
    <w:pPr>
      <w:keepNext w:val="true"/>
      <w:numPr>
        <w:ilvl w:val="0"/>
        <w:numId w:val="5"/>
      </w:numPr>
      <w:spacing w:before="120" w:after="120"/>
      <w:jc w:val="both"/>
      <w:outlineLvl w:val="0"/>
    </w:pPr>
    <w:rPr>
      <w:b/>
      <w:kern w:val="2"/>
      <w:sz w:val="24"/>
      <w:szCs w:val="20"/>
      <w:lang w:eastAsia="x-none"/>
    </w:rPr>
  </w:style>
  <w:style w:type="paragraph" w:styleId="Style35" w:customStyle="1">
    <w:name w:val="Таблица текст"/>
    <w:basedOn w:val="Normal"/>
    <w:qFormat/>
    <w:rsid w:val="00343e95"/>
    <w:pPr>
      <w:spacing w:before="40" w:after="40"/>
      <w:ind w:left="57" w:right="57" w:hanging="0"/>
    </w:pPr>
    <w:rPr>
      <w:sz w:val="24"/>
      <w:szCs w:val="26"/>
    </w:rPr>
  </w:style>
  <w:style w:type="paragraph" w:styleId="NormalWeb">
    <w:name w:val="Normal (Web)"/>
    <w:basedOn w:val="Normal"/>
    <w:uiPriority w:val="99"/>
    <w:unhideWhenUsed/>
    <w:qFormat/>
    <w:rsid w:val="00265d9f"/>
    <w:pPr>
      <w:spacing w:beforeAutospacing="1" w:afterAutospacing="1"/>
    </w:pPr>
    <w:rPr>
      <w:sz w:val="24"/>
      <w:szCs w:val="24"/>
    </w:rPr>
  </w:style>
  <w:style w:type="paragraph" w:styleId="19" w:customStyle="1">
    <w:name w:val="УРОВЕНЬ_1."/>
    <w:basedOn w:val="ListParagraph"/>
    <w:link w:val="12"/>
    <w:qFormat/>
    <w:rsid w:val="004a17ae"/>
    <w:pPr>
      <w:keepNext w:val="true"/>
      <w:keepLines/>
      <w:spacing w:lineRule="auto" w:line="276" w:before="240" w:after="120"/>
      <w:ind w:left="0" w:hanging="0"/>
      <w:contextualSpacing w:val="false"/>
      <w:jc w:val="both"/>
      <w:outlineLvl w:val="0"/>
    </w:pPr>
    <w:rPr>
      <w:caps/>
      <w:sz w:val="28"/>
      <w:szCs w:val="28"/>
      <w:lang w:eastAsia="en-US"/>
    </w:rPr>
  </w:style>
  <w:style w:type="paragraph" w:styleId="TOC6">
    <w:name w:val="TOC 6"/>
    <w:basedOn w:val="Normal"/>
    <w:next w:val="Normal"/>
    <w:autoRedefine/>
    <w:unhideWhenUsed/>
    <w:rsid w:val="00d849aa"/>
    <w:pPr>
      <w:ind w:left="112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nhideWhenUsed/>
    <w:rsid w:val="00d849aa"/>
    <w:pPr>
      <w:ind w:left="140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nhideWhenUsed/>
    <w:rsid w:val="00d849aa"/>
    <w:pPr>
      <w:ind w:left="168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Style36" w:customStyle="1">
    <w:name w:val="Содержимое врезки"/>
    <w:basedOn w:val="Normal"/>
    <w:qFormat/>
    <w:pPr/>
    <w:rPr/>
  </w:style>
  <w:style w:type="paragraph" w:styleId="Style37" w:customStyle="1">
    <w:name w:val="Содержимое таблицы"/>
    <w:basedOn w:val="Normal"/>
    <w:qFormat/>
    <w:pPr>
      <w:widowControl w:val="false"/>
      <w:suppressLineNumbers/>
    </w:pPr>
    <w:rPr/>
  </w:style>
  <w:style w:type="paragraph" w:styleId="Style38" w:customStyle="1">
    <w:name w:val="Заголовок таблицы"/>
    <w:basedOn w:val="Style37"/>
    <w:qFormat/>
    <w:pPr>
      <w:jc w:val="center"/>
    </w:pPr>
    <w:rPr>
      <w:b/>
      <w:bCs/>
    </w:rPr>
  </w:style>
  <w:style w:type="paragraph" w:styleId="210" w:customStyle="1">
    <w:name w:val="Маркированный 2"/>
    <w:basedOn w:val="Normal"/>
    <w:link w:val="23"/>
    <w:qFormat/>
    <w:rsid w:val="00926cd3"/>
    <w:pPr>
      <w:numPr>
        <w:ilvl w:val="0"/>
        <w:numId w:val="12"/>
      </w:numPr>
      <w:tabs>
        <w:tab w:val="clear" w:pos="708"/>
        <w:tab w:val="left" w:pos="993" w:leader="none"/>
      </w:tabs>
      <w:suppressAutoHyphens w:val="false"/>
      <w:spacing w:lineRule="auto" w:line="276" w:before="120" w:after="0"/>
      <w:jc w:val="both"/>
    </w:pPr>
    <w:rPr>
      <w:sz w:val="24"/>
      <w:szCs w:val="24"/>
    </w:rPr>
  </w:style>
  <w:style w:type="paragraph" w:styleId="Default" w:customStyle="1">
    <w:name w:val="Default"/>
    <w:qFormat/>
    <w:rsid w:val="00ef4b2a"/>
    <w:pPr>
      <w:widowControl/>
      <w:suppressAutoHyphens w:val="false"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-3" w:customStyle="1">
    <w:name w:val="Таблица - список 3"/>
    <w:basedOn w:val="Normal"/>
    <w:qFormat/>
    <w:pPr>
      <w:tabs>
        <w:tab w:val="clear" w:pos="708"/>
        <w:tab w:val="left" w:pos="0" w:leader="none"/>
      </w:tabs>
      <w:spacing w:before="0" w:after="0"/>
      <w:ind w:left="-207" w:hanging="360"/>
      <w:contextualSpacing/>
      <w:jc w:val="both"/>
    </w:pPr>
    <w:rPr>
      <w:sz w:val="20"/>
    </w:rPr>
  </w:style>
  <w:style w:type="numbering" w:styleId="NoList" w:default="1">
    <w:name w:val="No List"/>
    <w:uiPriority w:val="99"/>
    <w:semiHidden/>
    <w:unhideWhenUsed/>
    <w:qFormat/>
  </w:style>
  <w:style w:type="numbering" w:styleId="110" w:customStyle="1">
    <w:name w:val="Стиль1"/>
    <w:uiPriority w:val="99"/>
    <w:qFormat/>
    <w:rsid w:val="00f001e4"/>
  </w:style>
  <w:style w:type="numbering" w:styleId="211" w:customStyle="1">
    <w:name w:val="Стиль2"/>
    <w:uiPriority w:val="99"/>
    <w:qFormat/>
    <w:rsid w:val="006629c9"/>
  </w:style>
  <w:style w:type="numbering" w:styleId="20136399621" w:customStyle="1">
    <w:name w:val="20136399621"/>
    <w:qFormat/>
  </w:style>
  <w:style w:type="numbering" w:styleId="9139236671" w:customStyle="1">
    <w:name w:val="9139236671"/>
    <w:qFormat/>
  </w:style>
  <w:style w:type="numbering" w:styleId="123" w:customStyle="1">
    <w:name w:val="Нумерованный 123"/>
    <w:qFormat/>
  </w:style>
  <w:style w:type="numbering" w:styleId="ABC" w:customStyle="1">
    <w:name w:val="Нумерованный ABC"/>
    <w:qFormat/>
  </w:style>
  <w:style w:type="numbering" w:styleId="Abc1" w:customStyle="1">
    <w:name w:val="Нумерованный abc1"/>
    <w:qFormat/>
  </w:style>
  <w:style w:type="numbering" w:styleId="Style39" w:customStyle="1">
    <w:name w:val="Маркер •"/>
    <w:qFormat/>
  </w:style>
  <w:style w:type="table" w:default="1" w:styleId="a5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fffd">
    <w:name w:val="Table Grid"/>
    <w:basedOn w:val="a5"/>
    <w:uiPriority w:val="39"/>
    <w:rsid w:val="0076353a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c">
    <w:name w:val="Сетка таблицы1"/>
    <w:basedOn w:val="a5"/>
    <w:uiPriority w:val="39"/>
    <w:rsid w:val="00214b9f"/>
    <w:rPr>
      <w:rFonts w:asciiTheme="minorHAnsi" w:hAnsiTheme="minorHAnsi" w:eastAsiaTheme="minorHAnsi" w:cstheme="minorBidi"/>
      <w:lang w:eastAsia="en-US"/>
      <w:sz w:val="24"/>
      <w:szCs w:val="24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header" Target="header4.xml"/><Relationship Id="rId8" Type="http://schemas.openxmlformats.org/officeDocument/2006/relationships/header" Target="header5.xml"/><Relationship Id="rId9" Type="http://schemas.openxmlformats.org/officeDocument/2006/relationships/footer" Target="footer3.xml"/><Relationship Id="rId10" Type="http://schemas.openxmlformats.org/officeDocument/2006/relationships/footer" Target="footer4.xml"/><Relationship Id="rId11" Type="http://schemas.openxmlformats.org/officeDocument/2006/relationships/package" Target="embeddings/oleObject1.xlsx"/><Relationship Id="rId12" Type="http://schemas.openxmlformats.org/officeDocument/2006/relationships/image" Target="media/image1.wmf"/><Relationship Id="rId13" Type="http://schemas.openxmlformats.org/officeDocument/2006/relationships/package" Target="embeddings/oleObject2.docx"/><Relationship Id="rId14" Type="http://schemas.openxmlformats.org/officeDocument/2006/relationships/image" Target="media/image2.wmf"/><Relationship Id="rId15" Type="http://schemas.openxmlformats.org/officeDocument/2006/relationships/oleObject" Target="embeddings/oleObject3.bin"/><Relationship Id="rId16" Type="http://schemas.openxmlformats.org/officeDocument/2006/relationships/image" Target="media/image3.wmf"/><Relationship Id="rId17" Type="http://schemas.openxmlformats.org/officeDocument/2006/relationships/oleObject" Target="embeddings/oleObject4.bin"/><Relationship Id="rId18" Type="http://schemas.openxmlformats.org/officeDocument/2006/relationships/image" Target="media/image4.wmf"/><Relationship Id="rId19" Type="http://schemas.openxmlformats.org/officeDocument/2006/relationships/oleObject" Target="embeddings/oleObject5.bin"/><Relationship Id="rId20" Type="http://schemas.openxmlformats.org/officeDocument/2006/relationships/image" Target="media/image5.wmf"/><Relationship Id="rId21" Type="http://schemas.openxmlformats.org/officeDocument/2006/relationships/package" Target="embeddings/oleObject6.docx"/><Relationship Id="rId22" Type="http://schemas.openxmlformats.org/officeDocument/2006/relationships/image" Target="media/image6.wmf"/><Relationship Id="rId23" Type="http://schemas.openxmlformats.org/officeDocument/2006/relationships/package" Target="embeddings/oleObject7.docx"/><Relationship Id="rId24" Type="http://schemas.openxmlformats.org/officeDocument/2006/relationships/image" Target="media/image7.wmf"/><Relationship Id="rId25" Type="http://schemas.openxmlformats.org/officeDocument/2006/relationships/package" Target="embeddings/oleObject8.docx"/><Relationship Id="rId26" Type="http://schemas.openxmlformats.org/officeDocument/2006/relationships/image" Target="media/image8.wmf"/><Relationship Id="rId27" Type="http://schemas.openxmlformats.org/officeDocument/2006/relationships/package" Target="embeddings/oleObject9.docx"/><Relationship Id="rId28" Type="http://schemas.openxmlformats.org/officeDocument/2006/relationships/image" Target="media/image9.wmf"/><Relationship Id="rId29" Type="http://schemas.openxmlformats.org/officeDocument/2006/relationships/oleObject" Target="embeddings/oleObject10.bin"/><Relationship Id="rId30" Type="http://schemas.openxmlformats.org/officeDocument/2006/relationships/image" Target="media/image10.wmf"/><Relationship Id="rId31" Type="http://schemas.openxmlformats.org/officeDocument/2006/relationships/header" Target="header6.xml"/><Relationship Id="rId32" Type="http://schemas.openxmlformats.org/officeDocument/2006/relationships/header" Target="header7.xml"/><Relationship Id="rId33" Type="http://schemas.openxmlformats.org/officeDocument/2006/relationships/footer" Target="footer5.xml"/><Relationship Id="rId34" Type="http://schemas.openxmlformats.org/officeDocument/2006/relationships/footer" Target="footer6.xml"/><Relationship Id="rId35" Type="http://schemas.openxmlformats.org/officeDocument/2006/relationships/footnotes" Target="footnotes.xml"/><Relationship Id="rId36" Type="http://schemas.openxmlformats.org/officeDocument/2006/relationships/numbering" Target="numbering.xml"/><Relationship Id="rId37" Type="http://schemas.openxmlformats.org/officeDocument/2006/relationships/fontTable" Target="fontTable.xml"/><Relationship Id="rId38" Type="http://schemas.openxmlformats.org/officeDocument/2006/relationships/settings" Target="settings.xml"/><Relationship Id="rId39" Type="http://schemas.openxmlformats.org/officeDocument/2006/relationships/theme" Target="theme/theme1.xml"/><Relationship Id="rId40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F3C463-AF7F-42EE-A6AF-9FC359A853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1872</TotalTime>
  <Application>AlterOffice/3.4.0.9$Linux_X86_64 LibreOffice_project/b8daf9e823b1a5463a2f48435ddc2e8696e7d4fc</Application>
  <AppVersion>15.0000</AppVersion>
  <Pages>27</Pages>
  <Words>5422</Words>
  <Characters>38851</Characters>
  <CharactersWithSpaces>43417</CharactersWithSpaces>
  <Paragraphs>700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2026-06-02T08:57:00Z</dcterms:created>
  <dc:creator>Познякевич Кристина Леонидовна</dc:creator>
  <dc:description/>
  <dc:language>ru-RU</dc:language>
  <cp:lastModifiedBy>erinmv@corp.gidroogk.com</cp:lastModifiedBy>
  <cp:lastPrinted>2006-07-26T14:04:00Z</cp:lastPrinted>
  <dcterms:modified xsi:type="dcterms:W3CDTF">2026-07-08T13:21:47Z</dcterms:modified>
  <cp:revision>61</cp:revision>
  <dc:subject/>
  <dc:title>Российское открытое акционерное общество энергетики и электрификации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