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-Чеб/пос-26</w:t>
      </w:r>
    </w:p>
    <w:p>
      <w:pPr>
        <w:pStyle w:val="Normal"/>
        <w:shd w:val="clear" w:color="auto" w:fill="FFFFFF"/>
        <w:spacing w:before="0" w:after="120"/>
        <w:rPr/>
      </w:pPr>
      <w:r>
        <w:rPr>
          <w:sz w:val="24"/>
          <w:szCs w:val="24"/>
        </w:rPr>
        <w:t>г. Заволжье</w:t>
        <w:tab/>
        <w:tab/>
        <w:tab/>
        <w:tab/>
        <w:tab/>
        <w:tab/>
        <w:tab/>
        <w:tab/>
        <w:t xml:space="preserve">              </w:t>
        <w:tab/>
        <w:t>«__» ______ 2026г.</w:t>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w:t>
      </w:r>
      <w:r>
        <w:rPr/>
        <w:t xml:space="preserve"> </w:t>
      </w:r>
      <w:r>
        <w:rPr>
          <w:sz w:val="24"/>
          <w:szCs w:val="24"/>
        </w:rPr>
        <w:t xml:space="preserve">директора Чебоксарского филиала </w:t>
      </w:r>
      <w:r>
        <w:rPr>
          <w:sz w:val="24"/>
          <w:szCs w:val="24"/>
        </w:rPr>
        <w:t>___</w:t>
      </w:r>
      <w:r>
        <w:rPr>
          <w:sz w:val="24"/>
          <w:szCs w:val="24"/>
        </w:rPr>
        <w:t>, действующего на основании доверенности № ___ от ____г. с одной стороны, и</w:t>
      </w:r>
    </w:p>
    <w:p>
      <w:pPr>
        <w:pStyle w:val="Normal"/>
        <w:spacing w:before="0" w:after="120"/>
        <w:ind w:firstLine="567"/>
        <w:jc w:val="both"/>
        <w:rPr>
          <w:sz w:val="24"/>
          <w:szCs w:val="24"/>
        </w:rPr>
      </w:pPr>
      <w:r>
        <w:rPr>
          <w:b/>
          <w:sz w:val="24"/>
          <w:szCs w:val="24"/>
        </w:rPr>
        <w:t xml:space="preserve">_________ _______, </w:t>
      </w:r>
      <w:r>
        <w:rPr>
          <w:sz w:val="24"/>
          <w:szCs w:val="24"/>
        </w:rPr>
        <w:t>именуемое в дальнейшем</w:t>
      </w:r>
      <w:r>
        <w:rPr>
          <w:b/>
          <w:sz w:val="24"/>
          <w:szCs w:val="24"/>
        </w:rPr>
        <w:t xml:space="preserve"> «Поставщик», </w:t>
      </w:r>
      <w:r>
        <w:rPr>
          <w:sz w:val="24"/>
          <w:szCs w:val="24"/>
        </w:rPr>
        <w:t>в лице</w:t>
      </w:r>
      <w:r>
        <w:rPr>
          <w:b/>
          <w:sz w:val="24"/>
          <w:szCs w:val="24"/>
        </w:rPr>
        <w:t xml:space="preserve"> </w:t>
      </w:r>
      <w:r>
        <w:rPr>
          <w:sz w:val="24"/>
          <w:szCs w:val="24"/>
        </w:rPr>
        <w:t>_____, действующего на основании ___________, с другой стороны, совместно в дальнейшем именуемые «Стороны», а по отдельности – «Сторона»,</w:t>
      </w:r>
    </w:p>
    <w:p>
      <w:pPr>
        <w:pStyle w:val="Normal"/>
        <w:spacing w:before="0" w:after="120"/>
        <w:ind w:firstLine="567"/>
        <w:jc w:val="both"/>
        <w:rPr>
          <w:sz w:val="24"/>
          <w:szCs w:val="24"/>
        </w:rPr>
      </w:pPr>
      <w:r>
        <w:rPr>
          <w:sz w:val="24"/>
          <w:szCs w:val="24"/>
        </w:rPr>
        <w:t>по результатам проведенной нерегламентированной закупки, что подтверждается аналитической запиской ______________________, 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5"/>
        </w:numPr>
        <w:tabs>
          <w:tab w:val="clear" w:pos="720"/>
          <w:tab w:val="left" w:pos="142" w:leader="none"/>
        </w:tabs>
        <w:spacing w:before="0" w:after="120"/>
        <w:ind w:left="0" w:firstLine="567"/>
        <w:jc w:val="both"/>
        <w:rPr/>
      </w:pPr>
      <w:r>
        <w:rPr>
          <w:b w:val="false"/>
          <w:sz w:val="24"/>
        </w:rPr>
        <w:t xml:space="preserve">Поставщик обязуется передать Покупателю </w:t>
      </w:r>
      <w:r>
        <w:rPr>
          <w:sz w:val="24"/>
        </w:rPr>
        <w:t>«</w:t>
      </w:r>
      <w:r>
        <w:rPr>
          <w:color w:val="1A1A1A"/>
          <w:sz w:val="24"/>
          <w:szCs w:val="24"/>
        </w:rPr>
        <w:t>светильники</w:t>
      </w:r>
      <w:r>
        <w:rPr>
          <w:sz w:val="24"/>
        </w:rPr>
        <w:t>»</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5"/>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5"/>
        </w:numPr>
        <w:shd w:val="clear" w:color="auto" w:fill="FFFFFF"/>
        <w:tabs>
          <w:tab w:val="clear" w:pos="720"/>
          <w:tab w:val="left" w:pos="0" w:leader="none"/>
        </w:tabs>
        <w:spacing w:before="0" w:after="120"/>
        <w:ind w:left="0" w:firstLine="567"/>
        <w:contextualSpacing/>
        <w:jc w:val="both"/>
        <w:rPr>
          <w:sz w:val="24"/>
          <w:szCs w:val="24"/>
        </w:rPr>
      </w:pPr>
      <w:r>
        <w:rPr>
          <w:sz w:val="24"/>
          <w:szCs w:val="24"/>
        </w:rPr>
        <w:t>Поставка по Договору выполняется для нужд</w:t>
      </w:r>
      <w:r>
        <w:rPr>
          <w:bCs/>
          <w:sz w:val="24"/>
          <w:szCs w:val="24"/>
        </w:rPr>
        <w:t xml:space="preserve"> Чебоксарского филиала АО «Гидроремонт-ВКК» в г. Новочебоксарск.</w:t>
      </w:r>
    </w:p>
    <w:p>
      <w:pPr>
        <w:pStyle w:val="ListParagraph"/>
        <w:numPr>
          <w:ilvl w:val="1"/>
          <w:numId w:val="5"/>
        </w:numPr>
        <w:shd w:val="clear" w:color="auto" w:fill="FFFFFF"/>
        <w:tabs>
          <w:tab w:val="clear" w:pos="720"/>
          <w:tab w:val="left" w:pos="1425" w:leader="none"/>
        </w:tabs>
        <w:spacing w:before="0" w:after="120"/>
        <w:ind w:left="0" w:firstLine="567"/>
        <w:contextualSpacing/>
        <w:jc w:val="both"/>
        <w:rPr>
          <w:sz w:val="24"/>
          <w:szCs w:val="24"/>
        </w:rPr>
      </w:pPr>
      <w:r>
        <w:rPr>
          <w:sz w:val="24"/>
          <w:szCs w:val="24"/>
        </w:rPr>
        <w:t>Место поставки: 429965, РФ, Чувашская Республика, г. Новочебоксарск, ул. Набережная, влд.34, Чебоксарская ГЭС (далее – «Место поставки»).</w:t>
      </w:r>
    </w:p>
    <w:p>
      <w:pPr>
        <w:pStyle w:val="ListParagraph"/>
        <w:numPr>
          <w:ilvl w:val="1"/>
          <w:numId w:val="5"/>
        </w:numPr>
        <w:shd w:val="clear" w:color="auto" w:fill="FFFFFF"/>
        <w:tabs>
          <w:tab w:val="clear" w:pos="720"/>
          <w:tab w:val="left" w:pos="1425" w:leader="none"/>
        </w:tabs>
        <w:spacing w:before="0" w:after="120"/>
        <w:ind w:left="0" w:firstLine="567"/>
        <w:contextualSpacing/>
        <w:jc w:val="both"/>
        <w:rPr/>
      </w:pPr>
      <w:r>
        <w:rPr>
          <w:sz w:val="24"/>
          <w:szCs w:val="24"/>
        </w:rPr>
        <w:t xml:space="preserve">Срок поставки Продукции по договору: </w:t>
      </w:r>
      <w:r>
        <w:rPr>
          <w:bCs/>
          <w:sz w:val="24"/>
          <w:szCs w:val="24"/>
        </w:rPr>
        <w:t>в течение ____ дней с момента подписания договора.</w:t>
      </w:r>
    </w:p>
    <w:p>
      <w:pPr>
        <w:pStyle w:val="ListParagraph"/>
        <w:shd w:val="clear" w:color="auto" w:fill="FFFFFF"/>
        <w:tabs>
          <w:tab w:val="clear" w:pos="720"/>
          <w:tab w:val="left" w:pos="1425" w:leader="none"/>
        </w:tabs>
        <w:spacing w:before="0" w:after="120"/>
        <w:ind w:left="567" w:hanging="0"/>
        <w:contextualSpacing/>
        <w:jc w:val="both"/>
        <w:rPr/>
      </w:pPr>
      <w:r>
        <w:rPr/>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5"/>
        </w:numPr>
        <w:shd w:val="clear" w:color="auto" w:fill="FFFFFF"/>
        <w:tabs>
          <w:tab w:val="clear" w:pos="720"/>
          <w:tab w:val="left" w:pos="0" w:leader="none"/>
          <w:tab w:val="left" w:pos="567" w:leader="none"/>
          <w:tab w:val="left" w:pos="851" w:leader="none"/>
        </w:tabs>
        <w:spacing w:before="0" w:after="120"/>
        <w:ind w:left="0" w:firstLine="567"/>
        <w:contextualSpacing/>
        <w:jc w:val="both"/>
        <w:rPr>
          <w:sz w:val="24"/>
          <w:szCs w:val="24"/>
        </w:rPr>
      </w:pPr>
      <w:r>
        <w:rPr>
          <w:sz w:val="24"/>
          <w:szCs w:val="24"/>
        </w:rPr>
        <w:t xml:space="preserve">Общая стоимость Продукции (далее – «Цена Договора») по Договору </w:t>
      </w:r>
      <w:bookmarkStart w:id="0" w:name="_Hlk132192502"/>
      <w:bookmarkStart w:id="1" w:name="_Hlk138924055"/>
      <w:r>
        <w:rPr>
          <w:sz w:val="24"/>
          <w:szCs w:val="24"/>
        </w:rPr>
        <w:t xml:space="preserve">составляет </w:t>
      </w:r>
      <w:bookmarkEnd w:id="0"/>
      <w:bookmarkEnd w:id="1"/>
      <w:r>
        <w:rPr>
          <w:sz w:val="24"/>
          <w:szCs w:val="24"/>
        </w:rPr>
        <w:t>_____ рублей 00 копеек без НДС, при этом НДС исчисляется дополнительно по ставке, установленной статьей 164 Налогового кодекса РФ.</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jc w:val="both"/>
        <w:rPr>
          <w:sz w:val="24"/>
          <w:szCs w:val="24"/>
        </w:rPr>
      </w:pPr>
      <w:r>
        <w:rPr>
          <w:sz w:val="24"/>
          <w:szCs w:val="24"/>
        </w:rPr>
        <w:t>Оплата в соответствии с Договором осуществляется следующим образом:</w:t>
      </w:r>
    </w:p>
    <w:p>
      <w:pPr>
        <w:pStyle w:val="ListParagraph"/>
        <w:numPr>
          <w:ilvl w:val="2"/>
          <w:numId w:val="5"/>
        </w:numPr>
        <w:shd w:val="clear" w:color="auto" w:fill="FFFFFF"/>
        <w:tabs>
          <w:tab w:val="clear" w:pos="720"/>
          <w:tab w:val="left" w:pos="567" w:leader="none"/>
          <w:tab w:val="left" w:pos="1276" w:leader="none"/>
        </w:tabs>
        <w:spacing w:before="0" w:after="120"/>
        <w:ind w:left="0" w:firstLine="567"/>
        <w:contextualSpacing/>
        <w:jc w:val="both"/>
        <w:rPr>
          <w:sz w:val="24"/>
          <w:szCs w:val="24"/>
        </w:rPr>
      </w:pPr>
      <w:r>
        <w:rPr>
          <w:rFonts w:cs="Times New Roman"/>
          <w:i w:val="false"/>
          <w:iCs w:val="false"/>
          <w:color w:val="000000"/>
          <w:sz w:val="24"/>
          <w:szCs w:val="24"/>
          <w:shd w:fill="FFFFFF" w:val="clear"/>
        </w:rPr>
        <w:t xml:space="preserve">Платеж в размере 100% от стоимости поставленной Продукции, согласно Спецификации (Приложение № 1), производится Покупателем в </w:t>
      </w:r>
      <w:r>
        <w:rPr>
          <w:rFonts w:cs="Times New Roman"/>
          <w:b w:val="false"/>
          <w:bCs w:val="false"/>
          <w:i w:val="false"/>
          <w:iCs w:val="false"/>
          <w:color w:val="000000"/>
          <w:sz w:val="24"/>
          <w:szCs w:val="24"/>
          <w:shd w:fill="FFFFFF" w:val="clear"/>
        </w:rPr>
        <w:t>течение 7 (семи) рабочих дней</w:t>
      </w:r>
      <w:r>
        <w:rPr>
          <w:rFonts w:cs="Times New Roman"/>
          <w:i w:val="false"/>
          <w:iCs w:val="false"/>
          <w:color w:val="000000"/>
          <w:sz w:val="24"/>
          <w:szCs w:val="24"/>
          <w:shd w:fill="FFFFFF" w:val="clear"/>
        </w:rPr>
        <w:t xml:space="preserve"> с даты подписания Товарной накладной по форме ТОРГ-12 или Универсального передаточного документа (УПД) Продукции, при условии получении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ListParagraph"/>
        <w:numPr>
          <w:ilvl w:val="1"/>
          <w:numId w:val="12"/>
        </w:numPr>
        <w:shd w:val="clear" w:color="auto" w:fill="FFFFFF"/>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2"/>
        </w:numPr>
        <w:shd w:val="clear" w:color="auto" w:fill="FFFFFF"/>
        <w:tabs>
          <w:tab w:val="clear" w:pos="720"/>
          <w:tab w:val="left" w:pos="480" w:leader="none"/>
          <w:tab w:val="left" w:pos="851" w:leader="none"/>
        </w:tabs>
        <w:spacing w:before="0" w:after="120"/>
        <w:ind w:left="0" w:firstLine="567"/>
        <w:contextualSpacing/>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2"/>
        </w:numPr>
        <w:shd w:val="clear" w:color="auto" w:fill="FFFFFF"/>
        <w:tabs>
          <w:tab w:val="clear" w:pos="720"/>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2"/>
        </w:numPr>
        <w:tabs>
          <w:tab w:val="clear" w:pos="720"/>
          <w:tab w:val="left" w:pos="851" w:leader="none"/>
          <w:tab w:val="left" w:pos="1283" w:leader="none"/>
        </w:tabs>
        <w:spacing w:before="0" w:after="120"/>
        <w:ind w:left="0" w:firstLine="567"/>
        <w:contextualSpacing/>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2"/>
        </w:numPr>
        <w:tabs>
          <w:tab w:val="clear" w:pos="720"/>
          <w:tab w:val="left" w:pos="851" w:leader="none"/>
          <w:tab w:val="left" w:pos="1283" w:leader="none"/>
        </w:tabs>
        <w:spacing w:before="0" w:after="120"/>
        <w:ind w:left="0" w:firstLine="567"/>
        <w:contextualSpacing/>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2"/>
        </w:numPr>
        <w:tabs>
          <w:tab w:val="clear" w:pos="720"/>
          <w:tab w:val="left" w:pos="851" w:leader="none"/>
          <w:tab w:val="left" w:pos="1283" w:leader="none"/>
        </w:tabs>
        <w:spacing w:before="0" w:after="120"/>
        <w:ind w:left="0" w:firstLine="567"/>
        <w:contextualSpacing/>
        <w:jc w:val="both"/>
        <w:rPr>
          <w:sz w:val="24"/>
          <w:szCs w:val="24"/>
        </w:rPr>
      </w:pPr>
      <w:r>
        <w:rPr>
          <w:sz w:val="24"/>
          <w:szCs w:val="24"/>
        </w:rPr>
        <w:t>Индексация Цены Договора не допускается.</w:t>
      </w:r>
    </w:p>
    <w:p>
      <w:pPr>
        <w:pStyle w:val="ListParagraph"/>
        <w:tabs>
          <w:tab w:val="clear" w:pos="720"/>
          <w:tab w:val="left" w:pos="851" w:leader="none"/>
          <w:tab w:val="left" w:pos="1283" w:leader="none"/>
        </w:tabs>
        <w:spacing w:before="0" w:after="120"/>
        <w:ind w:left="0" w:hanging="0"/>
        <w:contextualSpacing/>
        <w:jc w:val="both"/>
        <w:rPr>
          <w:sz w:val="24"/>
          <w:szCs w:val="24"/>
        </w:rPr>
      </w:pPr>
      <w:r>
        <w:rPr>
          <w:sz w:val="24"/>
          <w:szCs w:val="24"/>
        </w:rPr>
      </w:r>
    </w:p>
    <w:p>
      <w:pPr>
        <w:pStyle w:val="ListParagraph"/>
        <w:numPr>
          <w:ilvl w:val="0"/>
          <w:numId w:val="3"/>
        </w:numPr>
        <w:shd w:val="clear" w:color="auto" w:fill="FFFFFF"/>
        <w:spacing w:before="0" w:after="120"/>
        <w:ind w:left="720" w:firstLine="2192"/>
        <w:contextualSpacing/>
        <w:rPr>
          <w:b/>
          <w:sz w:val="24"/>
          <w:szCs w:val="24"/>
        </w:rPr>
      </w:pPr>
      <w:r>
        <w:rPr>
          <w:b/>
          <w:sz w:val="24"/>
          <w:szCs w:val="24"/>
        </w:rPr>
        <w:t>Качество, количество и комплектность</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2"/>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2"/>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2"/>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shd w:val="clear" w:color="auto" w:fill="FFFFFF"/>
        <w:tabs>
          <w:tab w:val="left" w:pos="720" w:leader="none"/>
          <w:tab w:val="left" w:pos="1134" w:leader="none"/>
          <w:tab w:val="left" w:pos="1276" w:leader="none"/>
        </w:tabs>
        <w:spacing w:before="0" w:after="120"/>
        <w:ind w:firstLine="567"/>
        <w:jc w:val="both"/>
        <w:rPr>
          <w:sz w:val="24"/>
          <w:szCs w:val="24"/>
        </w:rPr>
      </w:pPr>
      <w:r>
        <w:rPr>
          <w:sz w:val="24"/>
          <w:szCs w:val="24"/>
        </w:rPr>
        <w:t>3.3.1. Поставщик обязан уведомить Покупателя о готовности Продукции за 10 (десять) календарных дней до отгрузки путём направления письма на электронную почту Покупателя.</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3 (трех)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spacing w:before="0" w:after="120"/>
        <w:ind w:left="567" w:hanging="0"/>
        <w:jc w:val="both"/>
        <w:rPr>
          <w:sz w:val="24"/>
          <w:szCs w:val="24"/>
        </w:rPr>
      </w:pPr>
      <w:r>
        <w:rPr>
          <w:sz w:val="24"/>
          <w:szCs w:val="24"/>
        </w:rPr>
      </w:r>
    </w:p>
    <w:p>
      <w:pPr>
        <w:pStyle w:val="ListParagraph"/>
        <w:numPr>
          <w:ilvl w:val="0"/>
          <w:numId w:val="3"/>
        </w:numPr>
        <w:shd w:val="clear" w:color="auto" w:fill="FFFFFF"/>
        <w:spacing w:before="0" w:after="120"/>
        <w:ind w:left="720" w:firstLine="2617"/>
        <w:contextualSpacing/>
        <w:rPr>
          <w:b/>
          <w:sz w:val="24"/>
          <w:szCs w:val="24"/>
        </w:rPr>
      </w:pPr>
      <w:r>
        <w:rPr>
          <w:b/>
          <w:sz w:val="24"/>
          <w:szCs w:val="24"/>
        </w:rPr>
        <w:t>Тара, упаковка, маркировка</w:t>
      </w:r>
    </w:p>
    <w:p>
      <w:pPr>
        <w:pStyle w:val="Normal"/>
        <w:widowControl w:val="false"/>
        <w:numPr>
          <w:ilvl w:val="1"/>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ind w:left="567" w:hanging="0"/>
        <w:jc w:val="both"/>
        <w:rPr>
          <w:sz w:val="24"/>
          <w:szCs w:val="24"/>
        </w:rPr>
      </w:pPr>
      <w:r>
        <w:rPr>
          <w:sz w:val="24"/>
          <w:szCs w:val="24"/>
        </w:rPr>
      </w:r>
    </w:p>
    <w:p>
      <w:pPr>
        <w:pStyle w:val="ListParagraph"/>
        <w:numPr>
          <w:ilvl w:val="0"/>
          <w:numId w:val="3"/>
        </w:numPr>
        <w:shd w:val="clear" w:color="auto" w:fill="FFFFFF"/>
        <w:spacing w:before="0" w:after="120"/>
        <w:ind w:left="720" w:firstLine="774"/>
        <w:contextualSpacing/>
        <w:rPr>
          <w:b/>
          <w:sz w:val="24"/>
          <w:szCs w:val="24"/>
        </w:rPr>
      </w:pPr>
      <w:r>
        <w:rPr>
          <w:b/>
          <w:sz w:val="24"/>
          <w:szCs w:val="24"/>
        </w:rPr>
        <w:t>Сроки, порядок и условия поставки, переход права собственности</w:t>
      </w:r>
    </w:p>
    <w:p>
      <w:pPr>
        <w:pStyle w:val="ListParagraph"/>
        <w:shd w:val="clear" w:color="auto" w:fill="FFFFFF"/>
        <w:spacing w:before="0" w:after="120"/>
        <w:ind w:left="1854" w:hanging="0"/>
        <w:contextualSpacing/>
        <w:rPr>
          <w:b/>
          <w:sz w:val="24"/>
          <w:szCs w:val="24"/>
        </w:rPr>
      </w:pPr>
      <w:r>
        <w:rPr>
          <w:b/>
          <w:sz w:val="24"/>
          <w:szCs w:val="24"/>
        </w:rPr>
      </w:r>
    </w:p>
    <w:p>
      <w:pPr>
        <w:pStyle w:val="ListParagraph"/>
        <w:numPr>
          <w:ilvl w:val="1"/>
          <w:numId w:val="13"/>
        </w:numPr>
        <w:spacing w:before="0" w:after="120"/>
        <w:ind w:left="0" w:firstLine="567"/>
        <w:contextualSpacing/>
        <w:jc w:val="both"/>
        <w:rPr>
          <w:sz w:val="24"/>
          <w:szCs w:val="24"/>
        </w:rPr>
      </w:pPr>
      <w:r>
        <w:rPr>
          <w:sz w:val="24"/>
          <w:szCs w:val="24"/>
        </w:rPr>
        <w:t xml:space="preserve">Поставка и разгрузка Продукции по Договору осуществляется Поставщиком одной партией в Место поставки согласно п.1.4. настоящего Договора. </w:t>
      </w:r>
    </w:p>
    <w:p>
      <w:pPr>
        <w:pStyle w:val="ListParagraph"/>
        <w:numPr>
          <w:ilvl w:val="1"/>
          <w:numId w:val="13"/>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Поставщик обязан уведомить Покупателя о дате поставки Продукции не позднее, чем за 3(три) календарных дня до даты поставки.</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w:t>
      </w:r>
      <w:bookmarkStart w:id="4" w:name="_GoBack"/>
      <w:bookmarkEnd w:id="4"/>
      <w:r>
        <w:rPr>
          <w:sz w:val="24"/>
          <w:szCs w:val="24"/>
        </w:rPr>
        <w:t xml:space="preserve">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13"/>
        </w:numPr>
        <w:shd w:val="clear" w:color="auto" w:fill="FFFFFF"/>
        <w:tabs>
          <w:tab w:val="clear" w:pos="720"/>
          <w:tab w:val="left" w:pos="1134" w:leader="none"/>
        </w:tabs>
        <w:spacing w:before="0" w:after="120"/>
        <w:ind w:left="0" w:firstLine="1134"/>
        <w:jc w:val="center"/>
        <w:rPr>
          <w:b/>
          <w:sz w:val="24"/>
          <w:szCs w:val="24"/>
        </w:rPr>
      </w:pPr>
      <w:r>
        <w:rPr>
          <w:b/>
          <w:sz w:val="24"/>
          <w:szCs w:val="24"/>
        </w:rPr>
        <w:t>Ответственность по Договору</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ind w:firstLine="567"/>
        <w:jc w:val="both"/>
        <w:rPr>
          <w:sz w:val="24"/>
          <w:szCs w:val="24"/>
        </w:rPr>
      </w:pPr>
      <w:r>
        <w:rPr>
          <w:sz w:val="24"/>
          <w:szCs w:val="24"/>
        </w:rPr>
        <w:t>6.3.</w:t>
      </w:r>
      <w:r>
        <w:rPr/>
        <w:t xml:space="preserve">        </w:t>
      </w: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ind w:firstLine="567"/>
        <w:jc w:val="both"/>
        <w:rPr>
          <w:sz w:val="24"/>
          <w:szCs w:val="24"/>
        </w:rPr>
      </w:pPr>
      <w:r>
        <w:rPr>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pPr>
        <w:pStyle w:val="Normal"/>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jc w:val="both"/>
        <w:rPr>
          <w:sz w:val="24"/>
          <w:szCs w:val="24"/>
        </w:rPr>
      </w:pPr>
      <w:r>
        <w:rPr>
          <w:sz w:val="24"/>
          <w:szCs w:val="24"/>
        </w:rPr>
        <w:t xml:space="preserve">–             </w:t>
      </w: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jc w:val="both"/>
        <w:rPr>
          <w:sz w:val="24"/>
          <w:szCs w:val="24"/>
        </w:rPr>
      </w:pPr>
      <w:r>
        <w:rPr>
          <w:sz w:val="24"/>
          <w:szCs w:val="24"/>
        </w:rPr>
        <w:t xml:space="preserve">–             </w:t>
      </w:r>
      <w:r>
        <w:rPr>
          <w:sz w:val="24"/>
          <w:szCs w:val="24"/>
        </w:rPr>
        <w:t xml:space="preserve">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pPr>
        <w:pStyle w:val="ListParagraph"/>
        <w:numPr>
          <w:ilvl w:val="0"/>
          <w:numId w:val="16"/>
        </w:numPr>
        <w:ind w:left="0" w:firstLine="360"/>
        <w:jc w:val="both"/>
        <w:rPr>
          <w:sz w:val="24"/>
          <w:szCs w:val="24"/>
        </w:rPr>
      </w:pPr>
      <w:r>
        <w:rPr>
          <w:sz w:val="24"/>
          <w:szCs w:val="24"/>
        </w:rPr>
        <w:t xml:space="preserve">  </w:t>
      </w:r>
      <w:r>
        <w:rPr>
          <w:sz w:val="24"/>
          <w:szCs w:val="24"/>
        </w:rPr>
        <w:t>на сумму подлежащего возврату аванса начисляется неустойка в размере 0,1 % с даты, установленной для возврата аванса.</w:t>
      </w:r>
    </w:p>
    <w:p>
      <w:pPr>
        <w:pStyle w:val="Normal"/>
        <w:jc w:val="both"/>
        <w:rPr>
          <w:sz w:val="24"/>
          <w:szCs w:val="24"/>
        </w:rPr>
      </w:pPr>
      <w:r>
        <w:rPr>
          <w:sz w:val="24"/>
          <w:szCs w:val="24"/>
        </w:rPr>
        <w:t xml:space="preserve">                </w:t>
      </w: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4"/>
        </w:numPr>
        <w:shd w:val="clear" w:color="auto" w:fill="FFFFFF"/>
        <w:spacing w:before="0" w:after="120"/>
        <w:ind w:left="0" w:firstLine="567"/>
        <w:contextualSpacing/>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4"/>
        </w:numPr>
        <w:shd w:val="clear" w:color="auto" w:fill="FFFFFF"/>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4"/>
        </w:numPr>
        <w:shd w:val="clear" w:color="auto" w:fill="FFFFFF"/>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4"/>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4"/>
        </w:numPr>
        <w:tabs>
          <w:tab w:val="clear" w:pos="720"/>
          <w:tab w:val="left" w:pos="567" w:leader="none"/>
        </w:tabs>
        <w:spacing w:before="0" w:after="120"/>
        <w:ind w:left="0" w:firstLine="567"/>
        <w:contextualSpacing/>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4"/>
        </w:numPr>
        <w:shd w:val="clear" w:color="auto" w:fill="FFFFFF"/>
        <w:tabs>
          <w:tab w:val="clear" w:pos="720"/>
          <w:tab w:val="left" w:pos="1283" w:leader="none"/>
          <w:tab w:val="left" w:pos="2276" w:leader="none"/>
        </w:tabs>
        <w:spacing w:before="0" w:after="120"/>
        <w:ind w:left="0" w:firstLine="567"/>
        <w:jc w:val="both"/>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spacing w:before="0" w:after="120"/>
        <w:jc w:val="both"/>
        <w:rPr>
          <w:sz w:val="24"/>
          <w:szCs w:val="24"/>
        </w:rPr>
      </w:pPr>
      <w:r>
        <w:rPr>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 xml:space="preserve">Каналы связи Линия доверия Группы РусГидро: </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Электронная почта: ld@rushydro.ru.</w:t>
      </w:r>
    </w:p>
    <w:p>
      <w:pPr>
        <w:pStyle w:val="Normal"/>
        <w:widowControl w:val="false"/>
        <w:shd w:val="clear" w:color="auto" w:fill="FFFFFF"/>
        <w:tabs>
          <w:tab w:val="clear" w:pos="720"/>
          <w:tab w:val="left" w:pos="709" w:leader="none"/>
        </w:tabs>
        <w:spacing w:before="0" w:after="120"/>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276" w:leader="none"/>
        </w:tabs>
        <w:spacing w:before="0" w:after="120"/>
        <w:rPr>
          <w:sz w:val="24"/>
          <w:szCs w:val="24"/>
        </w:rPr>
      </w:pPr>
      <w:r>
        <w:rPr>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20"/>
          <w:tab w:val="left" w:pos="1276" w:leader="none"/>
        </w:tabs>
        <w:spacing w:before="0" w:after="120"/>
        <w:rPr>
          <w:sz w:val="24"/>
          <w:szCs w:val="24"/>
        </w:rPr>
      </w:pPr>
      <w:r>
        <w:rPr>
          <w:sz w:val="24"/>
          <w:szCs w:val="24"/>
        </w:rPr>
      </w:r>
    </w:p>
    <w:p>
      <w:pPr>
        <w:pStyle w:val="Normal"/>
        <w:widowControl w:val="false"/>
        <w:numPr>
          <w:ilvl w:val="0"/>
          <w:numId w:val="14"/>
        </w:numPr>
        <w:shd w:val="clear" w:color="auto" w:fill="FFFFFF"/>
        <w:tabs>
          <w:tab w:val="clear" w:pos="720"/>
          <w:tab w:val="left" w:pos="1276" w:leader="none"/>
        </w:tabs>
        <w:spacing w:before="0" w:after="120"/>
        <w:ind w:left="0" w:hanging="0"/>
        <w:jc w:val="center"/>
        <w:rPr>
          <w:b/>
          <w:bCs/>
          <w:sz w:val="24"/>
          <w:szCs w:val="24"/>
        </w:rPr>
      </w:pPr>
      <w:r>
        <w:rPr>
          <w:b/>
          <w:bCs/>
          <w:sz w:val="24"/>
          <w:szCs w:val="24"/>
        </w:rPr>
        <w:t>Особые положения</w:t>
      </w:r>
    </w:p>
    <w:p>
      <w:pPr>
        <w:pStyle w:val="ListParagraph"/>
        <w:numPr>
          <w:ilvl w:val="1"/>
          <w:numId w:val="15"/>
        </w:numPr>
        <w:shd w:val="clear" w:color="auto" w:fill="FFFFFF"/>
        <w:tabs>
          <w:tab w:val="clear" w:pos="720"/>
          <w:tab w:val="left" w:pos="1276" w:leader="none"/>
        </w:tabs>
        <w:spacing w:before="0" w:after="120"/>
        <w:ind w:left="0" w:firstLine="567"/>
        <w:contextualSpacing/>
        <w:jc w:val="both"/>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5"/>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ListParagraph"/>
        <w:numPr>
          <w:ilvl w:val="1"/>
          <w:numId w:val="15"/>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spacing w:before="0" w:after="120"/>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shd w:val="clear" w:color="auto" w:fill="FFFFFF"/>
        <w:spacing w:before="0" w:after="120"/>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Поставщик также обязуется:</w:t>
      </w:r>
    </w:p>
    <w:p>
      <w:pPr>
        <w:pStyle w:val="ListParagraph"/>
        <w:numPr>
          <w:ilvl w:val="2"/>
          <w:numId w:val="15"/>
        </w:numPr>
        <w:shd w:val="clear" w:color="auto" w:fill="FFFFFF"/>
        <w:spacing w:before="0" w:after="120"/>
        <w:ind w:left="0" w:firstLine="567"/>
        <w:contextualSpacing/>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5"/>
        </w:numPr>
        <w:shd w:val="clear" w:color="auto" w:fill="FFFFFF"/>
        <w:spacing w:before="0" w:after="120"/>
        <w:ind w:left="0" w:firstLine="567"/>
        <w:contextualSpacing/>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spacing w:before="0" w:after="120"/>
        <w:ind w:left="0" w:hanging="0"/>
        <w:contextualSpacing/>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sz w:val="24"/>
          <w:szCs w:val="24"/>
        </w:rPr>
      </w:pPr>
      <w:r>
        <w:rPr>
          <w:b/>
          <w:sz w:val="24"/>
          <w:szCs w:val="24"/>
        </w:rPr>
        <w:t xml:space="preserve">   </w:t>
      </w:r>
      <w:r>
        <w:rPr>
          <w:b/>
          <w:sz w:val="24"/>
          <w:szCs w:val="24"/>
        </w:rPr>
        <w:t>Разрешение споров</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 xml:space="preserve"> </w:t>
      </w:r>
      <w:bookmarkStart w:id="5" w:name="Par2"/>
      <w:bookmarkEnd w:id="5"/>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left" w:pos="720" w:leader="none"/>
        </w:tabs>
        <w:spacing w:before="0" w:after="120"/>
        <w:ind w:firstLine="567"/>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5"/>
        </w:numPr>
        <w:shd w:val="clear" w:color="auto" w:fill="FFFFFF"/>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5"/>
        </w:numPr>
        <w:shd w:val="clear" w:color="auto" w:fill="FFFFFF"/>
        <w:spacing w:before="0" w:after="120"/>
        <w:ind w:left="0" w:firstLine="567"/>
        <w:contextualSpacing/>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ListParagraph"/>
        <w:shd w:val="clear" w:color="auto" w:fill="FFFFFF"/>
        <w:spacing w:before="0" w:after="120"/>
        <w:ind w:left="0" w:firstLine="567"/>
        <w:contextualSpacing/>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5"/>
        </w:numPr>
        <w:shd w:val="clear" w:color="auto" w:fill="FFFFFF"/>
        <w:spacing w:before="0" w:after="120"/>
        <w:ind w:left="0" w:firstLine="567"/>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hd w:val="clear" w:color="auto" w:fill="FFFFFF"/>
        <w:spacing w:before="0" w:after="120"/>
        <w:ind w:left="0" w:firstLine="567"/>
        <w:contextualSpacing/>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5"/>
        </w:numPr>
        <w:shd w:val="clear" w:color="auto" w:fill="FFFFFF"/>
        <w:spacing w:before="0" w:after="120"/>
        <w:ind w:left="0" w:firstLine="567"/>
        <w:contextualSpacing/>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hd w:val="clear" w:color="auto" w:fill="FFFFFF"/>
        <w:spacing w:before="0" w:after="120"/>
        <w:ind w:left="0" w:firstLine="567"/>
        <w:contextualSpacing/>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spacing w:before="0" w:after="120"/>
        <w:ind w:firstLine="567"/>
        <w:jc w:val="both"/>
        <w:rPr>
          <w:sz w:val="24"/>
          <w:szCs w:val="24"/>
        </w:rPr>
      </w:pPr>
      <w:r>
        <w:rPr>
          <w:sz w:val="24"/>
          <w:szCs w:val="24"/>
        </w:rPr>
      </w:r>
    </w:p>
    <w:p>
      <w:pPr>
        <w:pStyle w:val="Normal"/>
        <w:widowControl w:val="false"/>
        <w:numPr>
          <w:ilvl w:val="0"/>
          <w:numId w:val="15"/>
        </w:numPr>
        <w:shd w:val="clear" w:color="auto" w:fill="FFFFFF"/>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 Условия Договора применяются к отношениям Сторон, возникшим с даты подписания Договора.</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5"/>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5"/>
        </w:numPr>
        <w:shd w:val="clear" w:color="auto" w:fill="FFFFFF"/>
        <w:spacing w:before="0" w:after="120"/>
        <w:ind w:left="0" w:firstLine="567"/>
        <w:contextualSpacing/>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5"/>
        </w:numPr>
        <w:shd w:val="clear" w:color="auto" w:fill="FFFFFF"/>
        <w:spacing w:before="0" w:after="120"/>
        <w:ind w:left="0" w:firstLine="567"/>
        <w:contextualSpacing/>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5"/>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5"/>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5"/>
        </w:numPr>
        <w:shd w:val="clear" w:color="auto" w:fill="FFFFFF"/>
        <w:spacing w:before="0" w:after="120"/>
        <w:ind w:left="0" w:hanging="0"/>
        <w:jc w:val="center"/>
        <w:rPr>
          <w:b/>
          <w:sz w:val="24"/>
          <w:szCs w:val="24"/>
        </w:rPr>
      </w:pPr>
      <w:r>
        <w:rPr>
          <w:b/>
          <w:sz w:val="24"/>
          <w:szCs w:val="24"/>
        </w:rPr>
        <w:t>Приложения к Договору</w:t>
      </w:r>
    </w:p>
    <w:p>
      <w:pPr>
        <w:pStyle w:val="Heading3"/>
        <w:keepNext w:val="false"/>
        <w:spacing w:before="0" w:after="120"/>
        <w:ind w:left="567" w:hanging="0"/>
        <w:jc w:val="both"/>
        <w:textAlignment w:val="baseline"/>
        <w:rPr>
          <w:b w:val="false"/>
          <w:sz w:val="24"/>
          <w:szCs w:val="24"/>
        </w:rPr>
      </w:pPr>
      <w:bookmarkStart w:id="6" w:name="sub_1"/>
      <w:bookmarkEnd w:id="6"/>
      <w:r>
        <w:rPr>
          <w:b w:val="false"/>
          <w:sz w:val="24"/>
          <w:szCs w:val="24"/>
        </w:rPr>
        <w:t>- Приложение № 1 – Спецификация.</w:t>
      </w:r>
    </w:p>
    <w:p>
      <w:pPr>
        <w:pStyle w:val="Heading3"/>
        <w:spacing w:before="0" w:after="120"/>
        <w:ind w:left="567" w:hanging="0"/>
        <w:jc w:val="both"/>
        <w:textAlignment w:val="baseline"/>
        <w:rPr>
          <w:b w:val="false"/>
          <w:sz w:val="24"/>
          <w:szCs w:val="24"/>
        </w:rPr>
      </w:pPr>
      <w:r>
        <w:rPr>
          <w:b w:val="false"/>
          <w:sz w:val="24"/>
          <w:szCs w:val="24"/>
        </w:rPr>
      </w:r>
    </w:p>
    <w:p>
      <w:pPr>
        <w:pStyle w:val="Normal"/>
        <w:spacing w:before="0" w:after="120"/>
        <w:ind w:left="567" w:hanging="567"/>
        <w:jc w:val="center"/>
        <w:rPr>
          <w:b/>
          <w:sz w:val="24"/>
          <w:szCs w:val="24"/>
        </w:rPr>
      </w:pPr>
      <w:r>
        <w:rPr>
          <w:b/>
          <w:sz w:val="24"/>
          <w:szCs w:val="24"/>
        </w:rPr>
        <w:t>16. Адреса, реквизиты и подписи Сторон</w:t>
      </w:r>
    </w:p>
    <w:p>
      <w:pPr>
        <w:pStyle w:val="Normal"/>
        <w:spacing w:before="0" w:after="120"/>
        <w:ind w:left="567" w:hanging="567"/>
        <w:jc w:val="center"/>
        <w:rPr>
          <w:b/>
          <w:sz w:val="24"/>
          <w:szCs w:val="24"/>
        </w:rPr>
      </w:pPr>
      <w:r>
        <w:rPr>
          <w:b/>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853"/>
      </w:tblGrid>
      <w:tr>
        <w:trPr/>
        <w:tc>
          <w:tcPr>
            <w:tcW w:w="4927" w:type="dxa"/>
            <w:tcBorders/>
            <w:shd w:color="auto" w:fill="auto" w:val="clear"/>
          </w:tcPr>
          <w:p>
            <w:pPr>
              <w:pStyle w:val="Normal"/>
              <w:widowControl w:val="false"/>
              <w:rPr>
                <w:b/>
                <w:sz w:val="24"/>
                <w:szCs w:val="24"/>
                <w:u w:val="single"/>
              </w:rPr>
            </w:pPr>
            <w:r>
              <w:rPr>
                <w:b/>
                <w:sz w:val="24"/>
                <w:szCs w:val="24"/>
                <w:u w:val="single"/>
              </w:rPr>
              <w:t>Покупатель:</w:t>
            </w:r>
          </w:p>
        </w:tc>
        <w:tc>
          <w:tcPr>
            <w:tcW w:w="4853" w:type="dxa"/>
            <w:tcBorders/>
            <w:shd w:color="auto" w:fill="auto" w:val="clear"/>
          </w:tcPr>
          <w:p>
            <w:pPr>
              <w:pStyle w:val="Normal"/>
              <w:widowControl w:val="false"/>
              <w:rPr>
                <w:b/>
                <w:sz w:val="24"/>
                <w:szCs w:val="24"/>
                <w:u w:val="single"/>
              </w:rPr>
            </w:pPr>
            <w:r>
              <w:rPr>
                <w:b/>
                <w:sz w:val="24"/>
                <w:szCs w:val="24"/>
                <w:u w:val="single"/>
              </w:rPr>
              <w:t>Поставщик:</w:t>
            </w:r>
          </w:p>
        </w:tc>
      </w:tr>
      <w:tr>
        <w:trPr/>
        <w:tc>
          <w:tcPr>
            <w:tcW w:w="4927"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b/>
                <w:sz w:val="24"/>
                <w:szCs w:val="24"/>
              </w:rPr>
              <w:t>Акционерное общество</w:t>
            </w:r>
          </w:p>
          <w:p>
            <w:pPr>
              <w:pStyle w:val="Normal"/>
              <w:widowControl w:val="false"/>
              <w:rPr>
                <w:sz w:val="24"/>
                <w:szCs w:val="24"/>
              </w:rPr>
            </w:pPr>
            <w:r>
              <w:rPr>
                <w:b/>
                <w:sz w:val="24"/>
                <w:szCs w:val="24"/>
              </w:rPr>
              <w:t>«Гидроремонт-ВКК» (АО «Гидроремонт-ВКК»)</w:t>
            </w:r>
          </w:p>
          <w:p>
            <w:pPr>
              <w:pStyle w:val="Normal"/>
              <w:widowControl w:val="false"/>
              <w:rPr>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rPr>
                <w:sz w:val="24"/>
                <w:szCs w:val="24"/>
              </w:rPr>
            </w:pPr>
            <w:r>
              <w:rPr>
                <w:sz w:val="24"/>
                <w:szCs w:val="24"/>
              </w:rPr>
              <w:t>Грузополучатель: Чебоксарский филиал АО "Гидроремонт-ВКК" в г. Новочебоксарск, 429965, РФ, Чувашская Республика, г. Новочебоксарск, ул. Набережная, влд.34, Чебоксарская ГЭС</w:t>
            </w:r>
          </w:p>
          <w:p>
            <w:pPr>
              <w:pStyle w:val="Normal"/>
              <w:widowControl w:val="false"/>
              <w:rPr>
                <w:sz w:val="24"/>
                <w:szCs w:val="24"/>
              </w:rPr>
            </w:pPr>
            <w:r>
              <w:rPr>
                <w:sz w:val="24"/>
                <w:szCs w:val="24"/>
              </w:rPr>
              <w:t>ИНН 6345012488</w:t>
            </w:r>
          </w:p>
          <w:p>
            <w:pPr>
              <w:pStyle w:val="Normal"/>
              <w:widowControl w:val="false"/>
              <w:rPr>
                <w:sz w:val="24"/>
                <w:szCs w:val="24"/>
              </w:rPr>
            </w:pPr>
            <w:r>
              <w:rPr>
                <w:sz w:val="24"/>
                <w:szCs w:val="24"/>
              </w:rPr>
              <w:t>КПП 212443001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Наименование банка: Банк ГПБ (АО), г. Москва</w:t>
            </w:r>
          </w:p>
          <w:p>
            <w:pPr>
              <w:pStyle w:val="Normal"/>
              <w:widowControl w:val="false"/>
              <w:rPr>
                <w:sz w:val="24"/>
                <w:szCs w:val="24"/>
              </w:rPr>
            </w:pPr>
            <w:r>
              <w:rPr>
                <w:sz w:val="24"/>
                <w:szCs w:val="24"/>
              </w:rPr>
              <w:t>Расчетный счет: 40702810600000050082</w:t>
            </w:r>
          </w:p>
          <w:p>
            <w:pPr>
              <w:pStyle w:val="Normal"/>
              <w:widowControl w:val="false"/>
              <w:rPr>
                <w:sz w:val="24"/>
                <w:szCs w:val="24"/>
              </w:rPr>
            </w:pPr>
            <w:r>
              <w:rPr>
                <w:sz w:val="24"/>
                <w:szCs w:val="24"/>
              </w:rPr>
              <w:t>Кор. Счет: 30101810200000000823</w:t>
            </w:r>
          </w:p>
          <w:p>
            <w:pPr>
              <w:pStyle w:val="Normal"/>
              <w:widowControl w:val="false"/>
              <w:rPr/>
            </w:pPr>
            <w:r>
              <w:rPr>
                <w:rStyle w:val="Hyperlink"/>
                <w:color w:val="000000"/>
                <w:sz w:val="24"/>
                <w:szCs w:val="24"/>
                <w:u w:val="none"/>
                <w:lang w:val="en-US"/>
              </w:rPr>
              <w:t>БИК: 044525823</w:t>
            </w:r>
          </w:p>
          <w:p>
            <w:pPr>
              <w:pStyle w:val="Normal"/>
              <w:widowControl w:val="false"/>
              <w:rPr>
                <w:b/>
                <w:sz w:val="24"/>
                <w:szCs w:val="24"/>
              </w:rPr>
            </w:pPr>
            <w:r>
              <w:rPr>
                <w:b/>
                <w:sz w:val="24"/>
                <w:szCs w:val="24"/>
              </w:rPr>
            </w:r>
          </w:p>
          <w:p>
            <w:pPr>
              <w:pStyle w:val="Normal"/>
              <w:widowControl w:val="false"/>
              <w:rPr>
                <w:sz w:val="24"/>
                <w:szCs w:val="24"/>
              </w:rPr>
            </w:pPr>
            <w:r>
              <w:rPr/>
            </w:r>
          </w:p>
        </w:tc>
        <w:tc>
          <w:tcPr>
            <w:tcW w:w="4853" w:type="dxa"/>
            <w:tcBorders/>
            <w:shd w:color="auto" w:fill="auto" w:val="clear"/>
          </w:tcPr>
          <w:p>
            <w:pPr>
              <w:pStyle w:val="Normal"/>
              <w:widowControl w:val="false"/>
              <w:rPr>
                <w:sz w:val="24"/>
                <w:szCs w:val="24"/>
              </w:rPr>
            </w:pPr>
            <w:r>
              <w:rPr>
                <w:sz w:val="24"/>
                <w:szCs w:val="24"/>
              </w:rPr>
            </w:r>
          </w:p>
          <w:p>
            <w:pPr>
              <w:pStyle w:val="Normal"/>
              <w:widowControl w:val="false"/>
              <w:spacing w:before="0" w:after="120"/>
              <w:jc w:val="both"/>
              <w:rPr>
                <w:sz w:val="24"/>
                <w:szCs w:val="24"/>
              </w:rPr>
            </w:pPr>
            <w:r>
              <w:rPr>
                <w:sz w:val="24"/>
                <w:szCs w:val="24"/>
              </w:rPr>
            </w:r>
          </w:p>
        </w:tc>
      </w:tr>
      <w:tr>
        <w:trPr/>
        <w:tc>
          <w:tcPr>
            <w:tcW w:w="4927"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r>
              <w:rPr>
                <w:sz w:val="24"/>
                <w:szCs w:val="24"/>
              </w:rPr>
              <w:t>________</w:t>
            </w:r>
            <w:r>
              <w:rPr>
                <w:sz w:val="24"/>
                <w:szCs w:val="24"/>
              </w:rPr>
              <w:t xml:space="preserve"> / </w:t>
            </w:r>
          </w:p>
          <w:p>
            <w:pPr>
              <w:pStyle w:val="Normal"/>
              <w:widowControl w:val="false"/>
              <w:rPr>
                <w:sz w:val="24"/>
                <w:szCs w:val="24"/>
              </w:rPr>
            </w:pPr>
            <w:r>
              <w:rPr>
                <w:sz w:val="24"/>
                <w:szCs w:val="24"/>
              </w:rPr>
              <w:t>м.п.</w:t>
            </w:r>
          </w:p>
        </w:tc>
        <w:tc>
          <w:tcPr>
            <w:tcW w:w="4853" w:type="dxa"/>
            <w:tcBorders/>
            <w:shd w:color="auto" w:fill="auto" w:val="clear"/>
          </w:tcPr>
          <w:p>
            <w:pPr>
              <w:pStyle w:val="Normal"/>
              <w:widowControl w:val="false"/>
              <w:rPr>
                <w:sz w:val="24"/>
                <w:szCs w:val="24"/>
              </w:rPr>
            </w:pPr>
            <w:r>
              <w:rPr>
                <w:sz w:val="24"/>
                <w:szCs w:val="24"/>
              </w:rPr>
            </w:r>
          </w:p>
          <w:p>
            <w:pPr>
              <w:pStyle w:val="Normal"/>
              <w:widowControl w:val="false"/>
              <w:rPr/>
            </w:pPr>
            <w:r>
              <w:rPr>
                <w:sz w:val="24"/>
                <w:szCs w:val="24"/>
              </w:rPr>
              <w:t>_______________ /  /</w:t>
            </w:r>
          </w:p>
          <w:p>
            <w:pPr>
              <w:pStyle w:val="Normal"/>
              <w:widowControl w:val="false"/>
              <w:rPr/>
            </w:pPr>
            <w:r>
              <w:rPr>
                <w:sz w:val="24"/>
                <w:szCs w:val="24"/>
              </w:rPr>
              <w:t>м.п.</w:t>
            </w:r>
          </w:p>
        </w:tc>
      </w:tr>
    </w:tbl>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hanging="0"/>
        <w:outlineLvl w:val="0"/>
        <w:rPr>
          <w:b/>
          <w:bCs/>
          <w:color w:val="000000"/>
          <w:sz w:val="24"/>
          <w:szCs w:val="24"/>
        </w:rPr>
      </w:pPr>
      <w:r>
        <w:rPr>
          <w:b/>
          <w:bCs/>
          <w:color w:val="000000"/>
          <w:sz w:val="24"/>
          <w:szCs w:val="24"/>
        </w:rPr>
      </w:r>
    </w:p>
    <w:p>
      <w:pPr>
        <w:pStyle w:val="BodyText"/>
        <w:numPr>
          <w:ilvl w:val="0"/>
          <w:numId w:val="0"/>
        </w:numPr>
        <w:spacing w:before="120" w:after="0"/>
        <w:ind w:left="0" w:hanging="0"/>
        <w:outlineLvl w:val="0"/>
        <w:rPr>
          <w:b/>
          <w:bCs/>
          <w:color w:val="000000"/>
          <w:sz w:val="24"/>
          <w:szCs w:val="24"/>
        </w:rPr>
      </w:pPr>
      <w:r>
        <w:rPr>
          <w:b/>
          <w:bCs/>
          <w:color w:val="000000"/>
          <w:sz w:val="24"/>
          <w:szCs w:val="24"/>
        </w:rPr>
      </w:r>
    </w:p>
    <w:p>
      <w:pPr>
        <w:pStyle w:val="BodyText"/>
        <w:numPr>
          <w:ilvl w:val="0"/>
          <w:numId w:val="0"/>
        </w:numPr>
        <w:spacing w:before="120" w:after="0"/>
        <w:ind w:left="0" w:hanging="0"/>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BodyText"/>
        <w:numPr>
          <w:ilvl w:val="0"/>
          <w:numId w:val="0"/>
        </w:numPr>
        <w:spacing w:before="120" w:after="0"/>
        <w:ind w:left="0" w:firstLine="567"/>
        <w:jc w:val="right"/>
        <w:outlineLvl w:val="0"/>
        <w:rPr>
          <w:b/>
          <w:bCs/>
          <w:color w:val="000000"/>
          <w:sz w:val="24"/>
          <w:szCs w:val="24"/>
        </w:rPr>
      </w:pPr>
      <w:r>
        <w:rPr>
          <w:b/>
          <w:bCs/>
          <w:color w:val="000000"/>
          <w:sz w:val="24"/>
          <w:szCs w:val="24"/>
        </w:rPr>
      </w:r>
    </w:p>
    <w:p>
      <w:pPr>
        <w:pStyle w:val="Normal"/>
        <w:jc w:val="right"/>
        <w:rPr>
          <w:b/>
          <w:bCs/>
          <w:szCs w:val="22"/>
        </w:rPr>
      </w:pPr>
      <w:r>
        <w:rPr>
          <w:b/>
          <w:bCs/>
          <w:sz w:val="24"/>
          <w:szCs w:val="24"/>
        </w:rPr>
        <w:t>Приложение № 1</w:t>
      </w:r>
    </w:p>
    <w:p>
      <w:pPr>
        <w:pStyle w:val="Normal"/>
        <w:suppressAutoHyphens w:val="false"/>
        <w:spacing w:before="0" w:after="120"/>
        <w:ind w:firstLine="567"/>
        <w:jc w:val="right"/>
        <w:rPr>
          <w:bCs/>
          <w:sz w:val="24"/>
          <w:szCs w:val="24"/>
        </w:rPr>
      </w:pPr>
      <w:r>
        <w:rPr>
          <w:bCs/>
          <w:sz w:val="24"/>
          <w:szCs w:val="24"/>
        </w:rPr>
        <w:t xml:space="preserve">к договору поставки </w:t>
      </w:r>
    </w:p>
    <w:p>
      <w:pPr>
        <w:pStyle w:val="Normal"/>
        <w:suppressAutoHyphens w:val="false"/>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uppressAutoHyphens w:val="false"/>
        <w:spacing w:before="0" w:after="120"/>
        <w:ind w:left="0" w:firstLine="567"/>
        <w:jc w:val="center"/>
        <w:outlineLvl w:val="0"/>
        <w:rPr>
          <w:b/>
          <w:sz w:val="24"/>
          <w:szCs w:val="24"/>
        </w:rPr>
      </w:pPr>
      <w:r>
        <w:rPr>
          <w:b/>
          <w:sz w:val="24"/>
          <w:szCs w:val="24"/>
        </w:rPr>
      </w:r>
    </w:p>
    <w:p>
      <w:pPr>
        <w:pStyle w:val="Normal"/>
        <w:numPr>
          <w:ilvl w:val="0"/>
          <w:numId w:val="0"/>
        </w:numPr>
        <w:suppressAutoHyphens w:val="false"/>
        <w:spacing w:before="0" w:after="120"/>
        <w:ind w:left="0" w:firstLine="567"/>
        <w:jc w:val="center"/>
        <w:outlineLvl w:val="0"/>
        <w:rPr>
          <w:b/>
          <w:sz w:val="24"/>
          <w:szCs w:val="24"/>
        </w:rPr>
      </w:pPr>
      <w:r>
        <w:rPr>
          <w:b/>
          <w:sz w:val="24"/>
          <w:szCs w:val="24"/>
        </w:rPr>
        <w:t>Спецификация №__</w:t>
      </w:r>
    </w:p>
    <w:p>
      <w:pPr>
        <w:pStyle w:val="Normal"/>
        <w:numPr>
          <w:ilvl w:val="0"/>
          <w:numId w:val="0"/>
        </w:numPr>
        <w:suppressAutoHyphens w:val="false"/>
        <w:spacing w:before="0" w:after="120"/>
        <w:ind w:left="0" w:firstLine="567"/>
        <w:jc w:val="center"/>
        <w:outlineLvl w:val="0"/>
        <w:rPr>
          <w:b/>
          <w:sz w:val="24"/>
          <w:szCs w:val="24"/>
        </w:rPr>
      </w:pPr>
      <w:r>
        <w:rPr>
          <w:b/>
          <w:sz w:val="24"/>
          <w:szCs w:val="24"/>
        </w:rPr>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r>
    </w:p>
    <w:tbl>
      <w:tblPr>
        <w:tblW w:w="1034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991"/>
        <w:gridCol w:w="1704"/>
        <w:gridCol w:w="1678"/>
        <w:gridCol w:w="874"/>
        <w:gridCol w:w="708"/>
        <w:gridCol w:w="1010"/>
        <w:gridCol w:w="1856"/>
        <w:gridCol w:w="1526"/>
      </w:tblGrid>
      <w:tr>
        <w:trPr>
          <w:trHeight w:val="510" w:hRule="atLeast"/>
        </w:trPr>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Ед. изм.</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Количество</w:t>
            </w:r>
          </w:p>
        </w:tc>
        <w:tc>
          <w:tcPr>
            <w:tcW w:w="18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Цена  за единицу (руб., с НДС __%/ без НДС)</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sz w:val="22"/>
                <w:szCs w:val="24"/>
              </w:rPr>
            </w:pPr>
            <w:r>
              <w:rPr>
                <w:bCs/>
                <w:sz w:val="22"/>
                <w:szCs w:val="24"/>
              </w:rPr>
              <w:t>Сумма (руб., с НДС __%/ без НДС)</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w:t>
            </w:r>
          </w:p>
        </w:tc>
        <w:tc>
          <w:tcPr>
            <w:tcW w:w="10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w:t>
            </w:r>
          </w:p>
        </w:tc>
        <w:tc>
          <w:tcPr>
            <w:tcW w:w="18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__________</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szCs w:val="24"/>
              </w:rPr>
              <w:t>________</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w:t>
            </w:r>
          </w:p>
        </w:tc>
        <w:tc>
          <w:tcPr>
            <w:tcW w:w="10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w:t>
            </w:r>
          </w:p>
        </w:tc>
        <w:tc>
          <w:tcPr>
            <w:tcW w:w="18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__________</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sz w:val="22"/>
              </w:rPr>
            </w:pPr>
            <w:r>
              <w:rPr>
                <w:sz w:val="22"/>
              </w:rPr>
              <w:t>________</w:t>
            </w:r>
          </w:p>
        </w:tc>
      </w:tr>
      <w:tr>
        <w:trPr>
          <w:trHeight w:val="255" w:hRule="atLeast"/>
        </w:trPr>
        <w:tc>
          <w:tcPr>
            <w:tcW w:w="882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sz w:val="22"/>
                <w:szCs w:val="24"/>
              </w:rPr>
            </w:pPr>
            <w:r>
              <w:rPr>
                <w:b/>
                <w:sz w:val="22"/>
                <w:szCs w:val="24"/>
              </w:rPr>
              <w:t>ИТОГО*</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sz w:val="22"/>
                <w:szCs w:val="24"/>
              </w:rPr>
            </w:pPr>
            <w:r>
              <w:rPr>
                <w:b/>
                <w:sz w:val="22"/>
                <w:szCs w:val="24"/>
              </w:rPr>
            </w:r>
          </w:p>
        </w:tc>
      </w:tr>
      <w:tr>
        <w:trPr>
          <w:trHeight w:val="255" w:hRule="atLeast"/>
        </w:trPr>
        <w:tc>
          <w:tcPr>
            <w:tcW w:w="882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sz w:val="22"/>
                <w:szCs w:val="24"/>
              </w:rPr>
            </w:pPr>
            <w:r>
              <w:rPr>
                <w:b/>
                <w:sz w:val="22"/>
                <w:szCs w:val="24"/>
              </w:rPr>
            </w:r>
          </w:p>
        </w:tc>
      </w:tr>
    </w:tbl>
    <w:p>
      <w:pPr>
        <w:pStyle w:val="Normal"/>
        <w:suppressAutoHyphens w:val="false"/>
        <w:spacing w:before="0" w:after="120"/>
        <w:ind w:firstLine="567"/>
        <w:jc w:val="both"/>
        <w:rPr>
          <w:b/>
          <w:bCs/>
          <w:i/>
          <w:i/>
          <w:sz w:val="24"/>
          <w:szCs w:val="24"/>
        </w:rPr>
      </w:pPr>
      <w:r>
        <w:rPr>
          <w:b/>
          <w:bCs/>
          <w:i/>
          <w:sz w:val="24"/>
          <w:szCs w:val="24"/>
        </w:rPr>
      </w:r>
    </w:p>
    <w:p>
      <w:pPr>
        <w:pStyle w:val="Normal"/>
        <w:suppressAutoHyphens w:val="false"/>
        <w:spacing w:before="0" w:after="120"/>
        <w:ind w:firstLine="567"/>
        <w:jc w:val="both"/>
        <w:rPr>
          <w:b/>
          <w:bCs/>
          <w:i/>
          <w:i/>
          <w:sz w:val="24"/>
          <w:szCs w:val="24"/>
        </w:rPr>
      </w:pPr>
      <w:r>
        <w:rPr>
          <w:b/>
          <w:bCs/>
          <w:i/>
          <w:sz w:val="24"/>
          <w:szCs w:val="24"/>
        </w:rPr>
        <w:t>Условия поставки:</w:t>
      </w:r>
    </w:p>
    <w:p>
      <w:pPr>
        <w:pStyle w:val="Normal"/>
        <w:widowControl w:val="false"/>
        <w:numPr>
          <w:ilvl w:val="0"/>
          <w:numId w:val="23"/>
        </w:numPr>
        <w:tabs>
          <w:tab w:val="left" w:pos="720" w:leader="none"/>
        </w:tabs>
        <w:suppressAutoHyphens w:val="false"/>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4"/>
        </w:numPr>
        <w:tabs>
          <w:tab w:val="left" w:pos="720" w:leader="none"/>
        </w:tabs>
        <w:suppressAutoHyphens w:val="false"/>
        <w:spacing w:before="0" w:after="120"/>
        <w:ind w:left="0" w:firstLine="284"/>
        <w:jc w:val="both"/>
        <w:rPr>
          <w:sz w:val="24"/>
          <w:szCs w:val="24"/>
        </w:rPr>
      </w:pPr>
      <w:r>
        <w:rPr>
          <w:sz w:val="24"/>
          <w:szCs w:val="24"/>
        </w:rPr>
        <w:t>Страна изготовления: __________________________________:</w:t>
      </w:r>
    </w:p>
    <w:p>
      <w:pPr>
        <w:pStyle w:val="Normal"/>
        <w:widowControl w:val="false"/>
        <w:numPr>
          <w:ilvl w:val="0"/>
          <w:numId w:val="25"/>
        </w:numPr>
        <w:tabs>
          <w:tab w:val="left" w:pos="720" w:leader="none"/>
        </w:tabs>
        <w:suppressAutoHyphens w:val="false"/>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6"/>
        </w:numPr>
        <w:tabs>
          <w:tab w:val="left" w:pos="720" w:leader="none"/>
        </w:tabs>
        <w:suppressAutoHyphens w:val="false"/>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7"/>
        </w:numPr>
        <w:tabs>
          <w:tab w:val="left" w:pos="720" w:leader="none"/>
        </w:tabs>
        <w:suppressAutoHyphens w:val="false"/>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uppressAutoHyphens w:val="false"/>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pPr>
              <w:pStyle w:val="Normal"/>
              <w:widowControl w:val="false"/>
              <w:suppressAutoHyphens w:val="false"/>
              <w:spacing w:before="0" w:after="120"/>
              <w:ind w:firstLine="567"/>
              <w:rPr>
                <w:sz w:val="22"/>
                <w:szCs w:val="24"/>
                <w:u w:val="single"/>
                <w:lang w:eastAsia="en-US"/>
              </w:rPr>
            </w:pPr>
            <w:r>
              <w:rPr>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pPr>
              <w:pStyle w:val="Normal"/>
              <w:widowControl w:val="false"/>
              <w:suppressAutoHyphens w:val="false"/>
              <w:spacing w:before="0" w:after="120"/>
              <w:ind w:firstLine="567"/>
              <w:rPr>
                <w:sz w:val="22"/>
                <w:szCs w:val="24"/>
                <w:u w:val="single"/>
                <w:lang w:eastAsia="en-US"/>
              </w:rPr>
            </w:pPr>
            <w:r>
              <w:rPr>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sz w:val="24"/>
                <w:szCs w:val="24"/>
                <w:lang w:eastAsia="en-US"/>
              </w:rPr>
            </w:pPr>
            <w:r>
              <w:rPr>
                <w:sz w:val="24"/>
                <w:szCs w:val="24"/>
                <w:lang w:eastAsia="en-US"/>
              </w:rPr>
              <w:t>_______________ / _____________ /</w:t>
            </w:r>
          </w:p>
          <w:p>
            <w:pPr>
              <w:pStyle w:val="Normal"/>
              <w:widowControl w:val="false"/>
              <w:suppressAutoHyphens w:val="false"/>
              <w:spacing w:before="0" w:after="120"/>
              <w:ind w:firstLine="567"/>
              <w:rPr>
                <w:sz w:val="22"/>
                <w:szCs w:val="24"/>
                <w:lang w:eastAsia="en-US"/>
              </w:rPr>
            </w:pPr>
            <w:r>
              <w:rPr>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sz w:val="24"/>
                <w:szCs w:val="24"/>
                <w:lang w:eastAsia="en-US"/>
              </w:rPr>
            </w:pPr>
            <w:r>
              <w:rPr>
                <w:sz w:val="24"/>
                <w:szCs w:val="24"/>
                <w:lang w:eastAsia="en-US"/>
              </w:rPr>
              <w:t>_______________ / _____________ /</w:t>
            </w:r>
          </w:p>
          <w:p>
            <w:pPr>
              <w:pStyle w:val="Normal"/>
              <w:widowControl w:val="false"/>
              <w:suppressAutoHyphens w:val="false"/>
              <w:spacing w:before="0" w:after="120"/>
              <w:ind w:firstLine="567"/>
              <w:rPr>
                <w:sz w:val="22"/>
                <w:szCs w:val="24"/>
                <w:lang w:eastAsia="en-US"/>
              </w:rPr>
            </w:pPr>
            <w:r>
              <w:rPr>
                <w:sz w:val="24"/>
                <w:szCs w:val="24"/>
                <w:lang w:eastAsia="en-US"/>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rPr>
          <w:b/>
          <w:bCs/>
          <w:szCs w:val="22"/>
        </w:rPr>
      </w:pPr>
      <w:r>
        <w:rPr/>
      </w:r>
    </w:p>
    <w:sectPr>
      <w:headerReference w:type="default" r:id="rId5"/>
      <w:footerReference w:type="default" r:id="rId6"/>
      <w:type w:val="nextPage"/>
      <w:pgSz w:w="11906" w:h="16838"/>
      <w:pgMar w:left="1134" w:right="707" w:gutter="0" w:header="720" w:top="777" w:footer="720" w:bottom="777"/>
      <w:pgNumType w:fmt="decimal"/>
      <w:formProt w:val="false"/>
      <w:textDirection w:val="lrTb"/>
      <w:docGrid w:type="default" w:linePitch="280" w:charSpace="507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lang w:val="en-US"/>
      </w:rPr>
    </w:pPr>
    <w:r>
      <w:rPr>
        <w:lang w:val="en-US"/>
      </w:rPr>
      <mc:AlternateContent>
        <mc:Choice Requires="wps">
          <w:drawing>
            <wp:anchor behindDoc="1" distT="0" distB="0" distL="0" distR="0" simplePos="0" locked="0" layoutInCell="0" allowOverlap="1" relativeHeight="34">
              <wp:simplePos x="0" y="0"/>
              <wp:positionH relativeFrom="margin">
                <wp:align>right</wp:align>
              </wp:positionH>
              <wp:positionV relativeFrom="paragraph">
                <wp:posOffset>635</wp:posOffset>
              </wp:positionV>
              <wp:extent cx="129540" cy="145415"/>
              <wp:effectExtent l="0" t="0" r="0" b="0"/>
              <wp:wrapSquare wrapText="bothSides"/>
              <wp:docPr id="1" name="Врезка2"/>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fillRef idx="0"/>
                      <a:effectRef idx="0"/>
                      <a:fontRef idx="minor"/>
                    </wps:style>
                    <wps:txbx>
                      <w:txbxContent>
                        <w:p>
                          <w:pPr>
                            <w:pStyle w:val="Footer"/>
                            <w:rPr>
                              <w:color w:val="000000"/>
                            </w:rPr>
                          </w:pPr>
                          <w:r>
                            <w:rPr/>
                            <w:fldChar w:fldCharType="begin"/>
                          </w:r>
                          <w:r>
                            <w:rPr/>
                            <w:instrText xml:space="preserve"> PAGE </w:instrText>
                          </w:r>
                          <w:r>
                            <w:rPr/>
                            <w:fldChar w:fldCharType="separate"/>
                          </w:r>
                          <w:r>
                            <w:rPr/>
                            <w:t>17</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93pt;margin-top:0.05pt;width:10.15pt;height:11.4pt;mso-wrap-style:square;v-text-anchor:top;mso-position-horizontal:right;mso-position-horizontal-relative:margin">
              <v:fill o:detectmouseclick="t" on="false"/>
              <v:stroke color="#3465a4" joinstyle="round" endcap="flat"/>
              <v:textbox>
                <w:txbxContent>
                  <w:p>
                    <w:pPr>
                      <w:pStyle w:val="Footer"/>
                      <w:rPr>
                        <w:color w:val="000000"/>
                      </w:rPr>
                    </w:pPr>
                    <w:r>
                      <w:rPr/>
                      <w:fldChar w:fldCharType="begin"/>
                    </w:r>
                    <w:r>
                      <w:rPr/>
                      <w:instrText xml:space="preserve"> PAGE </w:instrText>
                    </w:r>
                    <w:r>
                      <w:rPr/>
                      <w:fldChar w:fldCharType="separate"/>
                    </w:r>
                    <w:r>
                      <w:rPr/>
                      <w:t>17</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720"/>
        </w:tabs>
        <w:ind w:left="284" w:firstLine="76"/>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644"/>
        </w:tabs>
        <w:ind w:left="644"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4">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5321"/>
        </w:tabs>
        <w:ind w:left="5321" w:hanging="360"/>
      </w:pPr>
      <w:rPr/>
    </w:lvl>
    <w:lvl w:ilvl="1">
      <w:start w:val="1"/>
      <w:numFmt w:val="decimal"/>
      <w:lvlText w:val="%1.%2."/>
      <w:lvlJc w:val="left"/>
      <w:pPr>
        <w:tabs>
          <w:tab w:val="num" w:pos="1283"/>
        </w:tabs>
        <w:ind w:left="1283" w:hanging="432"/>
      </w:pPr>
      <w:rPr>
        <w:sz w:val="24"/>
        <w:b w:val="false"/>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sz w:val="24"/>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5"/>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6"/>
      <w:numFmt w:val="decimal"/>
      <w:lvlText w:val="%1"/>
      <w:lvlJc w:val="left"/>
      <w:pPr>
        <w:tabs>
          <w:tab w:val="num" w:pos="0"/>
        </w:tabs>
        <w:ind w:left="360" w:hanging="360"/>
      </w:pPr>
      <w:rPr/>
    </w:lvl>
    <w:lvl w:ilvl="1">
      <w:start w:val="5"/>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5">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bering>
</file>

<file path=word/settings.xml><?xml version="1.0" encoding="utf-8"?>
<w:settings xmlns:w="http://schemas.openxmlformats.org/wordprocessingml/2006/main">
  <w:zoom w:percent="102"/>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7122"/>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rsid w:val="00e42745"/>
    <w:pPr>
      <w:keepNext w:val="true"/>
      <w:outlineLvl w:val="0"/>
    </w:pPr>
    <w:rPr>
      <w:b/>
    </w:rPr>
  </w:style>
  <w:style w:type="paragraph" w:styleId="Heading2">
    <w:name w:val="Heading 2"/>
    <w:basedOn w:val="Normal"/>
    <w:qFormat/>
    <w:rsid w:val="00e42745"/>
    <w:pPr>
      <w:keepNext w:val="true"/>
      <w:jc w:val="both"/>
      <w:outlineLvl w:val="1"/>
    </w:pPr>
    <w:rPr>
      <w:b/>
    </w:rPr>
  </w:style>
  <w:style w:type="paragraph" w:styleId="Heading3">
    <w:name w:val="Heading 3"/>
    <w:basedOn w:val="Normal"/>
    <w:qFormat/>
    <w:rsid w:val="00e42745"/>
    <w:pPr>
      <w:keepNext w:val="true"/>
      <w:tabs>
        <w:tab w:val="clear" w:pos="720"/>
        <w:tab w:val="left" w:pos="0" w:leader="none"/>
      </w:tabs>
      <w:jc w:val="center"/>
      <w:outlineLvl w:val="2"/>
    </w:pPr>
    <w:rPr>
      <w:b/>
    </w:rPr>
  </w:style>
  <w:style w:type="paragraph" w:styleId="Heading4">
    <w:name w:val="Heading 4"/>
    <w:basedOn w:val="Normal"/>
    <w:qFormat/>
    <w:rsid w:val="00e42745"/>
    <w:pPr>
      <w:keepNext w:val="true"/>
      <w:ind w:left="3119" w:hanging="0"/>
      <w:outlineLvl w:val="3"/>
    </w:pPr>
    <w:rPr>
      <w:b/>
    </w:rPr>
  </w:style>
  <w:style w:type="paragraph" w:styleId="Heading5">
    <w:name w:val="Heading 5"/>
    <w:basedOn w:val="Normal"/>
    <w:qFormat/>
    <w:rsid w:val="00e42745"/>
    <w:pPr>
      <w:keepNext w:val="true"/>
      <w:numPr>
        <w:ilvl w:val="0"/>
        <w:numId w:val="1"/>
      </w:numPr>
      <w:jc w:val="center"/>
      <w:outlineLvl w:val="4"/>
    </w:pPr>
    <w:rPr>
      <w:b/>
    </w:rPr>
  </w:style>
  <w:style w:type="paragraph" w:styleId="Heading6">
    <w:name w:val="Heading 6"/>
    <w:basedOn w:val="Normal"/>
    <w:qFormat/>
    <w:rsid w:val="00e42745"/>
    <w:pPr>
      <w:keepNext w:val="true"/>
      <w:jc w:val="center"/>
      <w:outlineLvl w:val="5"/>
    </w:pPr>
    <w:rPr>
      <w:sz w:val="28"/>
    </w:rPr>
  </w:style>
  <w:style w:type="paragraph" w:styleId="Heading7">
    <w:name w:val="Heading 7"/>
    <w:basedOn w:val="Normal"/>
    <w:qFormat/>
    <w:rsid w:val="00e42745"/>
    <w:pPr>
      <w:keepNext w:val="true"/>
      <w:jc w:val="center"/>
      <w:outlineLvl w:val="6"/>
    </w:pPr>
    <w:rPr>
      <w:bCs/>
      <w:sz w:val="24"/>
    </w:rPr>
  </w:style>
  <w:style w:type="paragraph" w:styleId="Heading8">
    <w:name w:val="Heading 8"/>
    <w:basedOn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21"/>
    <w:qFormat/>
    <w:rsid w:val="0066561f"/>
    <w:rPr>
      <w:sz w:val="24"/>
    </w:rPr>
  </w:style>
  <w:style w:type="character" w:styleId="Style2" w:customStyle="1">
    <w:name w:val="Текст выноски Знак"/>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32"/>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qFormat/>
    <w:rsid w:val="0066561f"/>
    <w:rPr/>
  </w:style>
  <w:style w:type="character" w:styleId="Style5" w:customStyle="1">
    <w:name w:val="Тема примечания Знак"/>
    <w:qFormat/>
    <w:rsid w:val="0066561f"/>
    <w:rPr>
      <w:b/>
      <w:bCs/>
    </w:rPr>
  </w:style>
  <w:style w:type="character" w:styleId="31" w:customStyle="1">
    <w:name w:val="Основной текст 3 Знак1"/>
    <w:link w:val="BodyText3"/>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rong1" w:customStyle="1">
    <w:name w:val="Strong1"/>
    <w:qFormat/>
    <w:rPr>
      <w:b/>
      <w:bCs/>
    </w:rPr>
  </w:style>
  <w:style w:type="character" w:styleId="Strong">
    <w:name w:val="Strong"/>
    <w:qFormat/>
    <w:rPr>
      <w:b/>
      <w:bCs/>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Caption1111111" w:customStyle="1">
    <w:name w:val="caption11111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1"/>
    <w:qFormat/>
    <w:rsid w:val="00e42745"/>
    <w:pPr>
      <w:jc w:val="both"/>
    </w:pPr>
    <w:rPr>
      <w:sz w:val="28"/>
    </w:rPr>
  </w:style>
  <w:style w:type="paragraph" w:styleId="BodyTextIndent">
    <w:name w:val="Body Text Indent"/>
    <w:basedOn w:val="Normal"/>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qFormat/>
    <w:rsid w:val="0066561f"/>
    <w:pPr>
      <w:widowControl w:val="false"/>
      <w:jc w:val="both"/>
    </w:pPr>
    <w:rPr>
      <w:rFonts w:ascii="Courier New" w:hAnsi="Courier New" w:cs="Courier New"/>
    </w:rPr>
  </w:style>
  <w:style w:type="paragraph" w:styleId="BodyTextIndent2">
    <w:name w:val="Body Text Indent 2"/>
    <w:basedOn w:val="Normal"/>
    <w:qFormat/>
    <w:rsid w:val="0066561f"/>
    <w:pPr>
      <w:widowControl w:val="false"/>
      <w:ind w:left="1843" w:hanging="0"/>
      <w:jc w:val="both"/>
    </w:pPr>
    <w:rPr>
      <w:sz w:val="24"/>
    </w:rPr>
  </w:style>
  <w:style w:type="paragraph" w:styleId="BalloonText">
    <w:name w:val="Balloon Text"/>
    <w:basedOn w:val="Normal"/>
    <w:qFormat/>
    <w:rsid w:val="0066561f"/>
    <w:pPr>
      <w:widowControl w:val="false"/>
    </w:pPr>
    <w:rPr>
      <w:rFonts w:ascii="Tahoma" w:hAnsi="Tahoma" w:cs="Tahoma"/>
      <w:sz w:val="16"/>
      <w:szCs w:val="16"/>
    </w:rPr>
  </w:style>
  <w:style w:type="paragraph" w:styleId="Annotationtext">
    <w:name w:val="annotation text"/>
    <w:basedOn w:val="Normal"/>
    <w:qFormat/>
    <w:rsid w:val="0066561f"/>
    <w:pPr>
      <w:widowControl w:val="false"/>
    </w:pPr>
    <w:rPr/>
  </w:style>
  <w:style w:type="paragraph" w:styleId="Annotationsubject">
    <w:name w:val="annotation subject"/>
    <w:basedOn w:val="Annotationtext"/>
    <w:qFormat/>
    <w:rsid w:val="0066561f"/>
    <w:pPr/>
    <w:rPr>
      <w:b/>
      <w:bCs/>
    </w:rPr>
  </w:style>
  <w:style w:type="paragraph" w:styleId="ListParagraph">
    <w:name w:val="List Paragraph"/>
    <w:basedOn w:val="Normal"/>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uiPriority w:val="99"/>
    <w:qFormat/>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uiPriority w:val="99"/>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link w:val="2"/>
    <w:qFormat/>
    <w:rsid w:val="00b11d27"/>
    <w:pPr>
      <w:keepNext w:val="false"/>
      <w:widowControl w:val="false"/>
      <w:jc w:val="both"/>
      <w:textAlignment w:val="baseline"/>
    </w:pPr>
    <w:rPr>
      <w:b w:val="false"/>
      <w:sz w:val="24"/>
      <w:szCs w:val="24"/>
      <w:lang w:val="x-none" w:eastAsia="x-none"/>
    </w:rPr>
  </w:style>
  <w:style w:type="paragraph" w:styleId="32" w:customStyle="1">
    <w:name w:val="3. Подпункт"/>
    <w:basedOn w:val="Heading3"/>
    <w:link w:val="3"/>
    <w:qFormat/>
    <w:rsid w:val="00b11d27"/>
    <w:pPr>
      <w:keepNext w:val="false"/>
      <w:widowControl w:val="false"/>
      <w:tabs>
        <w:tab w:val="left" w:pos="0" w:leader="none"/>
        <w:tab w:val="left" w:pos="1620" w:leader="none"/>
      </w:tabs>
      <w:jc w:val="both"/>
      <w:textAlignment w:val="baseline"/>
    </w:pPr>
    <w:rPr>
      <w:bCs/>
      <w:sz w:val="24"/>
      <w:szCs w:val="24"/>
      <w:lang w:val="x-none" w:eastAsia="x-none"/>
    </w:rPr>
  </w:style>
  <w:style w:type="paragraph" w:styleId="TableParagraph" w:customStyle="1">
    <w:name w:val="Table Paragraph"/>
    <w:basedOn w:val="Normal"/>
    <w:uiPriority w:val="1"/>
    <w:qFormat/>
    <w:rsid w:val="00aa2586"/>
    <w:pPr>
      <w:widowControl w:val="false"/>
    </w:pPr>
    <w:rPr>
      <w:rFonts w:ascii="Calibri" w:hAnsi="Calibri" w:eastAsia="Calibri" w:cs="" w:asciiTheme="minorHAnsi" w:cstheme="minorBidi" w:eastAsiaTheme="minorHAnsi" w:hAnsiTheme="minorHAnsi"/>
      <w:sz w:val="22"/>
      <w:szCs w:val="22"/>
      <w:lang w:val="en-US" w:eastAsia="en-US"/>
    </w:rPr>
  </w:style>
  <w:style w:type="paragraph" w:styleId="Style20" w:customStyle="1">
    <w:name w:val="Содержимое врезки"/>
    <w:basedOn w:val="Normal"/>
    <w:qFormat/>
    <w:pPr/>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0E56-7174-4C18-9951-3303C493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Application>AlterOffice/2025.3.1.0$Linux_X86_64 LibreOffice_project/431cd1b79110582f53535c95ed0a2449aadc8bf9</Application>
  <AppVersion>15.0000</AppVersion>
  <Pages>17</Pages>
  <Words>6401</Words>
  <Characters>45306</Characters>
  <CharactersWithSpaces>51393</CharactersWithSpaces>
  <Paragraphs>296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2021-04-22T05:50:00Z</dcterms:created>
  <dc:creator>Света &amp; Алла (Twix)</dc:creator>
  <dc:description/>
  <dc:language>ru-RU</dc:language>
  <cp:lastModifiedBy>safronovaev@corp.gidroogk.com</cp:lastModifiedBy>
  <cp:lastPrinted>2024-08-29T08:24:00Z</cp:lastPrinted>
  <dcterms:modified xsi:type="dcterms:W3CDTF">2026-07-08T14:52:44Z</dcterms:modified>
  <cp:revision>121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