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 xml:space="preserve">ОКПД 2 86.21.10: Услуги по проведению предрейсовых и послерейсовых медицинских осмотров водителей </w:t>
      </w:r>
      <w:r>
        <w:rPr>
          <w:rFonts w:eastAsia="Calibri"/>
          <w:b/>
          <w:i/>
        </w:rPr>
        <w:t>Партизанского</w:t>
      </w:r>
      <w:r>
        <w:rPr>
          <w:rFonts w:eastAsia="Calibri"/>
          <w:b/>
          <w:i/>
        </w:rPr>
        <w:t xml:space="preserve"> Строительного участка Дальневосточного филиала АО "ТК РусГидро"</w:t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i/>
          <w:i/>
          <w:iCs/>
        </w:rPr>
      </w:pPr>
      <w:r>
        <w:rPr/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54643699"/>
      <w:bookmarkStart w:id="15" w:name="_Toc129097754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 г. Партизанск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1 600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1 600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135150401"/>
      <w:bookmarkStart w:id="37" w:name="_Toc54643707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135150402"/>
      <w:bookmarkStart w:id="47" w:name="_Toc54643708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86.21.10: Услуги по проведению предрейсовых и послерейсовых медицинских осмотров водителей Партизанского Строительного участка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Проведение осмотров осуществляется в г. Партизанск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сбор анамнеза;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информации, полученной в ходе исполнения услуг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Application>AlterOffice/3.4.0.9$Linux_X86_64 LibreOffice_project/b8daf9e823b1a5463a2f48435ddc2e8696e7d4fc</Application>
  <AppVersion>15.0000</AppVersion>
  <Pages>10</Pages>
  <Words>1458</Words>
  <Characters>10289</Characters>
  <CharactersWithSpaces>11535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2026-07-09T15:06:45Z</dcterms:modified>
  <cp:revision>99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