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er3.xml" ContentType="application/vnd.openxmlformats-officedocument.wordprocessingml.footer+xml"/>
  <Override PartName="/word/header3.xml" ContentType="application/vnd.openxmlformats-officedocument.wordprocessingml.header+xml"/>
  <Override PartName="/word/media/image9.wmf" ContentType="image/x-wmf"/>
  <Override PartName="/word/media/image19.wmf" ContentType="image/x-wmf"/>
  <Override PartName="/word/media/image21.wmf" ContentType="image/x-wmf"/>
  <Override PartName="/word/media/image8.wmf" ContentType="image/x-wmf"/>
  <Override PartName="/word/media/image18.wmf" ContentType="image/x-wmf"/>
  <Override PartName="/word/media/image20.wmf" ContentType="image/x-wmf"/>
  <Override PartName="/word/media/image7.wmf" ContentType="image/x-wmf"/>
  <Override PartName="/word/media/image17.wmf" ContentType="image/x-wmf"/>
  <Override PartName="/word/media/image6.wmf" ContentType="image/x-wmf"/>
  <Override PartName="/word/media/image16.wmf" ContentType="image/x-wmf"/>
  <Override PartName="/word/media/image5.wmf" ContentType="image/x-wmf"/>
  <Override PartName="/word/media/image15.wmf" ContentType="image/x-wmf"/>
  <Override PartName="/word/media/image4.wmf" ContentType="image/x-wmf"/>
  <Override PartName="/word/media/image14.wmf" ContentType="image/x-wmf"/>
  <Override PartName="/word/media/image11.wmf" ContentType="image/x-wmf"/>
  <Override PartName="/word/media/image22.wmf" ContentType="image/x-wmf"/>
  <Override PartName="/word/media/image12.wmf" ContentType="image/x-wmf"/>
  <Override PartName="/word/media/image2.wmf" ContentType="image/x-wmf"/>
  <Override PartName="/word/media/image1.png" ContentType="image/png"/>
  <Override PartName="/word/media/image10.wmf" ContentType="image/x-wmf"/>
  <Override PartName="/word/media/image3.wmf" ContentType="image/x-wmf"/>
  <Override PartName="/word/media/image13.wmf" ContentType="image/x-wmf"/>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t>Приложение</w:t>
      </w:r>
    </w:p>
    <w:p>
      <w:pPr>
        <w:pStyle w:val="Normal"/>
        <w:shd w:val="clear" w:color="auto" w:fill="FFFFFF"/>
        <w:tabs>
          <w:tab w:val="clear" w:pos="709"/>
          <w:tab w:val="left" w:pos="6926" w:leader="none"/>
        </w:tabs>
        <w:jc w:val="right"/>
        <w:rPr>
          <w:bCs/>
          <w:sz w:val="24"/>
          <w:szCs w:val="24"/>
        </w:rPr>
      </w:pPr>
      <w:r>
        <w:rPr>
          <w:bCs/>
          <w:sz w:val="24"/>
          <w:szCs w:val="24"/>
        </w:rPr>
        <w:t>к приказу ПАО «РусГидро»</w:t>
      </w:r>
    </w:p>
    <w:p>
      <w:pPr>
        <w:pStyle w:val="Normal"/>
        <w:shd w:val="clear" w:color="auto" w:fill="FFFFFF"/>
        <w:tabs>
          <w:tab w:val="clear" w:pos="709"/>
          <w:tab w:val="left" w:pos="6926" w:leader="none"/>
        </w:tabs>
        <w:jc w:val="right"/>
        <w:rPr>
          <w:b/>
          <w:sz w:val="24"/>
          <w:szCs w:val="24"/>
        </w:rPr>
      </w:pPr>
      <w:r>
        <w:rPr>
          <w:sz w:val="24"/>
          <w:szCs w:val="24"/>
        </w:rPr>
        <w:t>от 02.07.2024 № 415</w:t>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567" w:leader="none"/>
        </w:tabs>
        <w:ind w:firstLine="708"/>
        <w:jc w:val="both"/>
        <w:rPr>
          <w:sz w:val="24"/>
          <w:szCs w:val="24"/>
          <w:highlight w:val="lightGray"/>
          <w:lang w:eastAsia="en-US"/>
        </w:rPr>
      </w:pPr>
      <w:r>
        <w:rPr>
          <w:b/>
          <w:sz w:val="24"/>
          <w:szCs w:val="24"/>
          <w:highlight w:val="lightGray"/>
          <w:lang w:eastAsia="en-US"/>
        </w:rPr>
        <w:t xml:space="preserve">«Рабочая документация» </w:t>
      </w:r>
      <w:r>
        <w:rPr>
          <w:sz w:val="24"/>
          <w:szCs w:val="24"/>
          <w:highlight w:val="lightGray"/>
          <w:lang w:eastAsia="en-US"/>
        </w:rPr>
        <w:t>–</w:t>
      </w:r>
      <w:r>
        <w:rPr>
          <w:b/>
          <w:sz w:val="24"/>
          <w:szCs w:val="24"/>
          <w:highlight w:val="lightGray"/>
          <w:lang w:eastAsia="en-US"/>
        </w:rPr>
        <w:t xml:space="preserve"> </w:t>
      </w:r>
      <w:r>
        <w:rPr>
          <w:sz w:val="24"/>
          <w:szCs w:val="24"/>
          <w:highlight w:val="lightGray"/>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12"/>
        </w:numPr>
        <w:tabs>
          <w:tab w:val="clear" w:pos="709"/>
          <w:tab w:val="left" w:pos="567" w:leader="none"/>
          <w:tab w:val="left" w:pos="1134" w:leader="none"/>
        </w:tabs>
        <w:ind w:left="0" w:firstLine="709"/>
        <w:jc w:val="both"/>
        <w:rPr>
          <w:b/>
          <w:lang w:eastAsia="en-US"/>
        </w:rPr>
      </w:pPr>
      <w:r>
        <w:rPr>
          <w:sz w:val="24"/>
          <w:szCs w:val="24"/>
          <w:highlight w:val="lightGray"/>
          <w:lang w:eastAsia="en-US"/>
        </w:rPr>
        <w:t>рабочие чертежи основного комплекта, спецификации оборудования и изделий;</w:t>
      </w:r>
    </w:p>
    <w:p>
      <w:pPr>
        <w:pStyle w:val="ListParagraph"/>
        <w:numPr>
          <w:ilvl w:val="0"/>
          <w:numId w:val="12"/>
        </w:numPr>
        <w:tabs>
          <w:tab w:val="clear" w:pos="709"/>
          <w:tab w:val="left" w:pos="567" w:leader="none"/>
          <w:tab w:val="left" w:pos="1134" w:leader="none"/>
        </w:tabs>
        <w:ind w:left="0" w:firstLine="709"/>
        <w:jc w:val="both"/>
        <w:rPr>
          <w:b/>
          <w:lang w:eastAsia="en-US"/>
        </w:rPr>
      </w:pPr>
      <w:r>
        <w:rPr>
          <w:sz w:val="24"/>
          <w:szCs w:val="24"/>
          <w:highlight w:val="lightGray"/>
          <w:lang w:eastAsia="en-US"/>
        </w:rPr>
        <w:t>документы, разработанные в дополнение к рабочим чертежам основного комплекта;</w:t>
      </w:r>
    </w:p>
    <w:p>
      <w:pPr>
        <w:pStyle w:val="ListParagraph"/>
        <w:numPr>
          <w:ilvl w:val="0"/>
          <w:numId w:val="12"/>
        </w:numPr>
        <w:tabs>
          <w:tab w:val="clear" w:pos="709"/>
          <w:tab w:val="left" w:pos="567" w:leader="none"/>
          <w:tab w:val="left" w:pos="1134" w:leader="none"/>
        </w:tabs>
        <w:ind w:left="0" w:firstLine="709"/>
        <w:jc w:val="both"/>
        <w:rPr>
          <w:b/>
          <w:lang w:eastAsia="en-US"/>
        </w:rPr>
      </w:pPr>
      <w:r>
        <w:rPr>
          <w:sz w:val="24"/>
          <w:szCs w:val="24"/>
          <w:highlight w:val="lightGray"/>
          <w:lang w:eastAsia="en-US"/>
        </w:rPr>
        <w:t>сметную документацию.</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highlight w:val="lightGray"/>
        </w:rPr>
        <w:t>_________________</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highlight w:val="lightGray"/>
        </w:rPr>
        <w:t>«___» ___________ 20___</w:t>
      </w:r>
      <w:r>
        <w:rPr>
          <w:bCs/>
          <w:sz w:val="24"/>
          <w:szCs w:val="24"/>
        </w:rPr>
        <w:t xml:space="preserve">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предельной / твердой</w:t>
      </w:r>
      <w:r>
        <w:rPr>
          <w:rStyle w:val="FootnoteReference"/>
          <w:bCs/>
          <w:sz w:val="24"/>
          <w:szCs w:val="24"/>
          <w:highlight w:val="lightGray"/>
          <w:vertAlign w:val="superscript"/>
        </w:rPr>
        <w:footnoteReference w:id="2"/>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tabs>
          <w:tab w:val="clear" w:pos="709"/>
          <w:tab w:val="left" w:pos="568" w:leader="none"/>
          <w:tab w:val="left" w:pos="1134" w:leader="none"/>
        </w:tabs>
        <w:ind w:left="0" w:firstLine="709"/>
        <w:jc w:val="both"/>
        <w:rPr/>
      </w:pPr>
      <w:r>
        <w:rPr>
          <w:bCs/>
          <w:sz w:val="24"/>
          <w:szCs w:val="24"/>
          <w:highlight w:val="lightGray"/>
        </w:rPr>
        <w:t xml:space="preserve">Спецификация (Приложение № 1 к Договору) подлежит согласованию Сторонами не позднее 30 (тридцати) рабочих дней с даты завершения разработки Рабочей документации и приемки ее Покупателем. При несогласовании Спецификации (Приложение № 1 </w:t>
        <w:br/>
        <w:t xml:space="preserve">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w:t>
        <w:br/>
        <w:t>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4"/>
      </w:r>
      <w:r>
        <w:rPr>
          <w:sz w:val="24"/>
        </w:rPr>
        <w:t xml:space="preserve"> выплачивается Поставщику </w:t>
      </w:r>
      <w:r>
        <w:rPr>
          <w:sz w:val="24"/>
          <w:highlight w:val="lightGray"/>
        </w:rPr>
        <w:t>при условии согласования Сторонами Спецификации (Приложение № 1 к Договору) в соответствии с пунктом 2.2 Договора</w:t>
      </w:r>
      <w:r>
        <w:rPr>
          <w:sz w:val="24"/>
        </w:rPr>
        <w:t xml:space="preserve">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5"/>
      </w:r>
      <w:r>
        <w:rPr>
          <w:sz w:val="24"/>
        </w:rPr>
        <w:t xml:space="preserve"> выплачивается Поставщику в течение </w:t>
      </w:r>
      <w:r>
        <w:rPr>
          <w:sz w:val="24"/>
          <w:highlight w:val="lightGray"/>
        </w:rPr>
        <w:t>20 (двадцати) календарных дней</w:t>
      </w:r>
      <w:r>
        <w:rPr>
          <w:rStyle w:val="FootnoteReference"/>
          <w:sz w:val="24"/>
          <w:highlight w:val="lightGray"/>
        </w:rPr>
        <w:footnoteReference w:id="6"/>
      </w:r>
      <w:r>
        <w:rPr>
          <w:sz w:val="24"/>
          <w:highlight w:val="lightGray"/>
        </w:rPr>
        <w:t xml:space="preserve"> / 45 (сорока пяти) календарных дней</w:t>
      </w:r>
      <w:r>
        <w:rPr>
          <w:rStyle w:val="FootnoteReference"/>
          <w:sz w:val="24"/>
          <w:highlight w:val="lightGray"/>
        </w:rPr>
        <w:footnoteReference w:id="7"/>
      </w:r>
      <w:r>
        <w:rPr>
          <w:sz w:val="24"/>
          <w:highlight w:val="lightGray"/>
        </w:rPr>
        <w:t xml:space="preserve"> / 7 (семи) рабочих дней</w:t>
      </w:r>
      <w:r>
        <w:rPr>
          <w:rStyle w:val="FootnoteReference"/>
          <w:sz w:val="24"/>
          <w:highlight w:val="lightGray"/>
        </w:rPr>
        <w:footnoteReference w:id="8"/>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bCs/>
          <w:sz w:val="24"/>
          <w:szCs w:val="24"/>
          <w:highlight w:val="lightGray"/>
        </w:rPr>
        <w:t>и Рабочей</w:t>
      </w:r>
      <w:r>
        <w:rPr>
          <w:bCs/>
          <w:sz w:val="24"/>
          <w:szCs w:val="24"/>
        </w:rPr>
        <w:t xml:space="preserve">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9"/>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10"/>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11"/>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8"/>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8"/>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8"/>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8"/>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8"/>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8"/>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8"/>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8"/>
        </w:numPr>
        <w:ind w:left="0" w:firstLine="709"/>
        <w:jc w:val="both"/>
        <w:rPr>
          <w:sz w:val="24"/>
          <w:szCs w:val="24"/>
          <w:highlight w:val="lightGray"/>
        </w:rPr>
      </w:pPr>
      <w:r>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Pr>
          <w:bCs/>
          <w:sz w:val="24"/>
          <w:szCs w:val="24"/>
          <w:highlight w:val="lightGray"/>
        </w:rPr>
        <w:t>Покупателем</w:t>
      </w:r>
      <w:r>
        <w:rPr>
          <w:sz w:val="24"/>
          <w:szCs w:val="24"/>
          <w:highlight w:val="lightGray"/>
        </w:rPr>
        <w:t xml:space="preserve"> обязательств </w:t>
        <w:br/>
        <w:t xml:space="preserve">на оптовом и / или розничных рынках электрической энергии и мощности, Поставщик несет ответственность перед </w:t>
      </w:r>
      <w:r>
        <w:rPr>
          <w:bCs/>
          <w:sz w:val="24"/>
          <w:szCs w:val="24"/>
          <w:highlight w:val="lightGray"/>
        </w:rPr>
        <w:t>Покупателем</w:t>
      </w:r>
      <w:r>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w:t>
        <w:br/>
        <w:t xml:space="preserve">для восстановления нарушенного права, в том числе в части затрат, понесенных </w:t>
      </w:r>
      <w:r>
        <w:rPr>
          <w:bCs/>
          <w:sz w:val="24"/>
          <w:szCs w:val="24"/>
          <w:highlight w:val="lightGray"/>
        </w:rPr>
        <w:t>Покупателем</w:t>
      </w:r>
      <w:r>
        <w:rPr>
          <w:sz w:val="24"/>
          <w:szCs w:val="24"/>
          <w:highlight w:val="lightGray"/>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pPr>
        <w:pStyle w:val="Normal"/>
        <w:ind w:firstLine="709"/>
        <w:jc w:val="both"/>
        <w:rPr>
          <w:sz w:val="24"/>
          <w:szCs w:val="24"/>
          <w:highlight w:val="lightGray"/>
        </w:rPr>
      </w:pPr>
      <w:r>
        <w:rPr>
          <w:sz w:val="24"/>
          <w:szCs w:val="24"/>
          <w:highlight w:val="lightGray"/>
        </w:rPr>
        <w:t xml:space="preserve">Кроме суммы реального ущерба, Поставщик компенсирует </w:t>
      </w:r>
      <w:r>
        <w:rPr>
          <w:bCs/>
          <w:sz w:val="24"/>
          <w:szCs w:val="24"/>
          <w:highlight w:val="lightGray"/>
        </w:rPr>
        <w:t>Покупателем</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ind w:firstLine="709"/>
        <w:jc w:val="both"/>
        <w:rPr>
          <w:sz w:val="24"/>
          <w:szCs w:val="24"/>
          <w:highlight w:val="lightGray"/>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pPr>
        <w:pStyle w:val="Normal"/>
        <w:widowControl/>
        <w:numPr>
          <w:ilvl w:val="0"/>
          <w:numId w:val="14"/>
        </w:numPr>
        <w:spacing w:lineRule="auto" w:line="259"/>
        <w:ind w:left="0" w:firstLine="709"/>
        <w:jc w:val="both"/>
        <w:rPr>
          <w:sz w:val="24"/>
          <w:szCs w:val="24"/>
          <w:highlight w:val="lightGray"/>
        </w:rPr>
      </w:pPr>
      <w:r>
        <w:rPr>
          <w:sz w:val="24"/>
          <w:szCs w:val="24"/>
          <w:highlight w:val="lightGray"/>
        </w:rPr>
        <w:t>в ценовой зоне оптового рынка:</w:t>
      </w:r>
    </w:p>
    <w:p>
      <w:pPr>
        <w:pStyle w:val="Normal"/>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ind w:firstLine="709"/>
        <w:jc w:val="both"/>
        <w:rPr>
          <w:sz w:val="24"/>
          <w:szCs w:val="24"/>
          <w:highlight w:val="lightGray"/>
        </w:rPr>
      </w:pPr>
      <w:r>
        <w:rPr>
          <w:sz w:val="24"/>
          <w:szCs w:val="24"/>
          <w:highlight w:val="lightGray"/>
        </w:rPr>
        <w:t>и / или</w:t>
      </w:r>
    </w:p>
    <w:p>
      <w:pPr>
        <w:pStyle w:val="Normal"/>
        <w:ind w:firstLine="709"/>
        <w:jc w:val="both"/>
        <w:rPr>
          <w:sz w:val="24"/>
          <w:szCs w:val="24"/>
          <w:highlight w:val="lightGray"/>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w:t>
        <w:br/>
        <w:t>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numPr>
          <w:ilvl w:val="0"/>
          <w:numId w:val="14"/>
        </w:numPr>
        <w:spacing w:lineRule="auto" w:line="259"/>
        <w:ind w:left="0" w:firstLine="709"/>
        <w:jc w:val="both"/>
        <w:rPr>
          <w:sz w:val="24"/>
          <w:szCs w:val="24"/>
          <w:highlight w:val="lightGray"/>
        </w:rPr>
      </w:pPr>
      <w:r>
        <w:rPr>
          <w:rFonts w:eastAsia="Times New Roman" w:cs="Times New Roman"/>
          <w:color w:val="auto"/>
          <w:kern w:val="0"/>
          <w:sz w:val="24"/>
          <w:szCs w:val="24"/>
          <w:highlight w:val="lightGray"/>
          <w:lang w:val="ru-RU" w:eastAsia="ru-RU" w:bidi="ar-SA"/>
        </w:rPr>
        <w:t>в о</w:t>
      </w:r>
      <w:r>
        <w:rPr>
          <w:sz w:val="24"/>
          <w:szCs w:val="24"/>
          <w:highlight w:val="lightGray"/>
        </w:rPr>
        <w:t xml:space="preserve">тдельной территории ценовой зоны оптового рынка, ранее относившейся к  неценовой зоне оптового рынка Дальнего Востока: </w:t>
      </w:r>
    </w:p>
    <w:p>
      <w:pPr>
        <w:pStyle w:val="Normal"/>
        <w:ind w:firstLine="709"/>
        <w:jc w:val="both"/>
        <w:rPr>
          <w:sz w:val="24"/>
          <w:szCs w:val="24"/>
          <w:highlight w:val="lightGray"/>
        </w:rPr>
      </w:pPr>
      <w:r>
        <w:rPr>
          <w:sz w:val="24"/>
          <w:szCs w:val="24"/>
          <w:highlight w:val="lightGray"/>
        </w:rPr>
        <w:t xml:space="preserve">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w:t>
      </w:r>
      <w:r>
        <w:rPr>
          <w:bCs/>
          <w:sz w:val="24"/>
          <w:szCs w:val="24"/>
          <w:highlight w:val="lightGray"/>
        </w:rPr>
        <w:t>Покупателем</w:t>
      </w:r>
      <w:r>
        <w:rPr>
          <w:sz w:val="24"/>
          <w:szCs w:val="24"/>
          <w:highlight w:val="lightGray"/>
        </w:rPr>
        <w:t xml:space="preserve"> на основании Методики (Приложение № 6 к Договору);</w:t>
      </w:r>
    </w:p>
    <w:p>
      <w:pPr>
        <w:pStyle w:val="Normal"/>
        <w:ind w:firstLine="709"/>
        <w:jc w:val="both"/>
        <w:rPr>
          <w:sz w:val="24"/>
          <w:szCs w:val="24"/>
          <w:highlight w:val="lightGray"/>
        </w:rPr>
      </w:pPr>
      <w:r>
        <w:rPr>
          <w:sz w:val="24"/>
          <w:szCs w:val="24"/>
          <w:highlight w:val="lightGray"/>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pPr>
        <w:pStyle w:val="Normal"/>
        <w:ind w:firstLine="709"/>
        <w:jc w:val="both"/>
        <w:rPr>
          <w:sz w:val="24"/>
          <w:szCs w:val="24"/>
          <w:highlight w:val="lightGray"/>
        </w:rPr>
      </w:pPr>
      <w:r>
        <w:rPr>
          <w:sz w:val="24"/>
          <w:szCs w:val="24"/>
          <w:highlight w:val="lightGray"/>
        </w:rPr>
        <w:t xml:space="preserve">расчетом, подготовленным Коммерческим оператором оптового рынка; </w:t>
      </w:r>
    </w:p>
    <w:p>
      <w:pPr>
        <w:pStyle w:val="Normal"/>
        <w:ind w:firstLine="709"/>
        <w:jc w:val="both"/>
        <w:rPr>
          <w:sz w:val="24"/>
          <w:szCs w:val="24"/>
          <w:highlight w:val="lightGray"/>
        </w:rPr>
      </w:pPr>
      <w:r>
        <w:rPr>
          <w:sz w:val="24"/>
          <w:szCs w:val="24"/>
          <w:highlight w:val="lightGray"/>
        </w:rPr>
        <w:t>и / или</w:t>
      </w:r>
    </w:p>
    <w:p>
      <w:pPr>
        <w:pStyle w:val="Normal"/>
        <w:ind w:firstLine="709"/>
        <w:jc w:val="both"/>
        <w:rPr>
          <w:sz w:val="24"/>
          <w:szCs w:val="24"/>
          <w:highlight w:val="lightGray"/>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«НП Совет рынка».</w:t>
      </w:r>
    </w:p>
    <w:p>
      <w:pPr>
        <w:pStyle w:val="Normal"/>
        <w:ind w:firstLine="709"/>
        <w:jc w:val="both"/>
        <w:rPr>
          <w:sz w:val="24"/>
          <w:szCs w:val="24"/>
          <w:highlight w:val="lightGray"/>
        </w:rPr>
      </w:pPr>
      <w:r>
        <w:rPr>
          <w:sz w:val="24"/>
          <w:szCs w:val="24"/>
          <w:highlight w:val="lightGray"/>
        </w:rPr>
        <w:t xml:space="preserve">В отношении вновь вводимого оборудования ГЭС / ГАЭС – объектов ДПМ, ДПМ ВИЭ в ценовых зонах ОРЭМ Поставщик дополнительно компенсирует </w:t>
      </w:r>
      <w:r>
        <w:rPr>
          <w:bCs/>
          <w:sz w:val="24"/>
          <w:szCs w:val="24"/>
          <w:highlight w:val="lightGray"/>
        </w:rPr>
        <w:t>Покупателю</w:t>
      </w:r>
      <w:r>
        <w:rPr>
          <w:sz w:val="24"/>
          <w:szCs w:val="24"/>
          <w:highlight w:val="lightGray"/>
        </w:rPr>
        <w:t xml:space="preserve">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ind w:firstLine="709"/>
        <w:jc w:val="both"/>
        <w:rPr>
          <w:sz w:val="24"/>
          <w:szCs w:val="24"/>
          <w:highlight w:val="lightGray"/>
        </w:rPr>
      </w:pPr>
      <w:r>
        <w:rPr>
          <w:sz w:val="24"/>
          <w:szCs w:val="24"/>
          <w:highlight w:val="lightGray"/>
        </w:rPr>
        <w:t xml:space="preserve">В отношении вновь вводимого (модернизируемого) оборудования ТЭС в отдельной территории ценовой зоны оптового рынка, ранее относившейся к неценовой зоне </w:t>
      </w:r>
      <w:r>
        <w:rPr>
          <w:bCs/>
          <w:color w:val="000000"/>
          <w:sz w:val="24"/>
          <w:szCs w:val="24"/>
          <w:highlight w:val="lightGray"/>
          <w:shd w:fill="CCCCCC" w:val="clear"/>
        </w:rPr>
        <w:t xml:space="preserve">оптового рынка </w:t>
      </w:r>
      <w:r>
        <w:rPr>
          <w:sz w:val="24"/>
          <w:szCs w:val="24"/>
          <w:highlight w:val="lightGray"/>
        </w:rPr>
        <w:t xml:space="preserve">Дальнего Востока Подрядчик дополнительно компенсирует Заказчику упущенную выгоду (выручку) в связи: </w:t>
      </w:r>
    </w:p>
    <w:p>
      <w:pPr>
        <w:pStyle w:val="ListParagraph"/>
        <w:numPr>
          <w:ilvl w:val="2"/>
          <w:numId w:val="18"/>
        </w:numPr>
        <w:ind w:left="0" w:firstLine="709"/>
        <w:jc w:val="both"/>
        <w:rPr>
          <w:sz w:val="24"/>
          <w:szCs w:val="24"/>
          <w:highlight w:val="lightGray"/>
        </w:rPr>
      </w:pPr>
      <w:r>
        <w:rPr>
          <w:sz w:val="24"/>
          <w:szCs w:val="24"/>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ind w:firstLine="709"/>
        <w:jc w:val="both"/>
        <w:rPr>
          <w:sz w:val="24"/>
          <w:szCs w:val="24"/>
          <w:highlight w:val="lightGray"/>
        </w:rPr>
      </w:pPr>
      <w:r>
        <w:rPr>
          <w:sz w:val="24"/>
          <w:szCs w:val="24"/>
          <w:highlight w:val="lightGray"/>
        </w:rPr>
        <w:t xml:space="preserve">Размер упущенной выгоды для каждого месяца просрочки определяется в соответствии с Правилами ОРЭМ. </w:t>
      </w:r>
    </w:p>
    <w:p>
      <w:pPr>
        <w:pStyle w:val="ListParagraph"/>
        <w:numPr>
          <w:ilvl w:val="2"/>
          <w:numId w:val="18"/>
        </w:numPr>
        <w:ind w:left="0" w:firstLine="709"/>
        <w:jc w:val="both"/>
        <w:rPr>
          <w:sz w:val="24"/>
          <w:szCs w:val="24"/>
          <w:highlight w:val="lightGray"/>
        </w:rPr>
      </w:pPr>
      <w:r>
        <w:rPr>
          <w:sz w:val="24"/>
          <w:szCs w:val="24"/>
          <w:highlight w:val="lightGray"/>
        </w:rPr>
        <w:t xml:space="preserve">С уменьшением тарифа на мощность генерирующего объекта в порядке, установленном договором о присоединении к торговой системе оптового рынка, </w:t>
        <w:br/>
        <w:t xml:space="preserve">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w:t>
        <w:br/>
        <w:t>в соответствии с решением Правительства Российской Федерации.</w:t>
      </w:r>
    </w:p>
    <w:p>
      <w:pPr>
        <w:pStyle w:val="Normal"/>
        <w:ind w:firstLine="709"/>
        <w:jc w:val="both"/>
        <w:rPr>
          <w:sz w:val="24"/>
          <w:szCs w:val="24"/>
          <w:highlight w:val="lightGray"/>
        </w:rPr>
      </w:pPr>
      <w:r>
        <w:rPr>
          <w:sz w:val="24"/>
          <w:szCs w:val="24"/>
          <w:highlight w:val="lightGray"/>
        </w:rPr>
        <w:t xml:space="preserve">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w:t>
        <w:br/>
        <w:t>по локализации.</w:t>
      </w:r>
    </w:p>
    <w:p>
      <w:pPr>
        <w:pStyle w:val="ListParagraph"/>
        <w:numPr>
          <w:ilvl w:val="2"/>
          <w:numId w:val="18"/>
        </w:numPr>
        <w:ind w:left="0" w:firstLine="709"/>
        <w:jc w:val="both"/>
        <w:rPr>
          <w:sz w:val="24"/>
          <w:szCs w:val="24"/>
          <w:highlight w:val="lightGray"/>
        </w:rPr>
      </w:pPr>
      <w:r>
        <w:rPr>
          <w:sz w:val="24"/>
          <w:szCs w:val="24"/>
          <w:highlight w:val="lightGray"/>
        </w:rPr>
        <w:t xml:space="preserve"> </w:t>
      </w:r>
      <w:r>
        <w:rPr>
          <w:sz w:val="24"/>
          <w:szCs w:val="24"/>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ОРЭМ</w:t>
      </w:r>
      <w:r>
        <w:rPr>
          <w:rStyle w:val="FootnoteReference"/>
          <w:sz w:val="24"/>
          <w:szCs w:val="24"/>
          <w:highlight w:val="lightGray"/>
        </w:rPr>
        <w:footnoteReference w:id="13"/>
      </w:r>
      <w:r>
        <w:rPr>
          <w:sz w:val="24"/>
          <w:szCs w:val="24"/>
          <w:highlight w:val="lightGray"/>
        </w:rPr>
        <w:t>.</w:t>
      </w:r>
    </w:p>
    <w:p>
      <w:pPr>
        <w:pStyle w:val="Normal"/>
        <w:ind w:firstLine="709"/>
        <w:jc w:val="both"/>
        <w:rPr>
          <w:sz w:val="24"/>
          <w:szCs w:val="24"/>
          <w:highlight w:val="lightGray"/>
        </w:rPr>
      </w:pPr>
      <w:r>
        <w:rPr>
          <w:sz w:val="24"/>
          <w:szCs w:val="24"/>
          <w:highlight w:val="lightGray"/>
        </w:rPr>
        <w:t>Методика</w:t>
      </w:r>
      <w:r>
        <w:rPr>
          <w:sz w:val="24"/>
          <w:szCs w:val="28"/>
          <w:highlight w:val="lightGray"/>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t>
      </w:r>
      <w:r>
        <w:rPr>
          <w:bCs/>
          <w:color w:val="000000"/>
          <w:sz w:val="24"/>
          <w:szCs w:val="24"/>
          <w:highlight w:val="lightGray"/>
          <w:shd w:fill="CCCCCC" w:val="clear"/>
        </w:rPr>
        <w:t xml:space="preserve">оптового рынка </w:t>
      </w:r>
      <w:r>
        <w:rPr>
          <w:sz w:val="24"/>
          <w:szCs w:val="28"/>
          <w:highlight w:val="lightGray"/>
        </w:rPr>
        <w:t>Дальнего Востока изложена в П</w:t>
      </w:r>
      <w:r>
        <w:rPr>
          <w:sz w:val="24"/>
          <w:szCs w:val="24"/>
          <w:highlight w:val="lightGray"/>
        </w:rPr>
        <w:t>риложении № 6 к Договору.</w:t>
      </w:r>
    </w:p>
    <w:p>
      <w:pPr>
        <w:pStyle w:val="ListParagraph"/>
        <w:widowControl/>
        <w:numPr>
          <w:ilvl w:val="1"/>
          <w:numId w:val="18"/>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1"/>
          <w:numId w:val="18"/>
        </w:numPr>
        <w:ind w:left="0" w:firstLine="709"/>
        <w:jc w:val="both"/>
        <w:rPr>
          <w:rFonts w:eastAsia="Calibri"/>
          <w:bCs/>
          <w:sz w:val="24"/>
          <w:szCs w:val="24"/>
          <w:highlight w:val="lightGray"/>
        </w:rPr>
      </w:pPr>
      <w:r>
        <w:rPr>
          <w:rFonts w:eastAsia="Calibri"/>
          <w:bCs/>
          <w:sz w:val="24"/>
          <w:szCs w:val="24"/>
          <w:highlight w:val="lightGray"/>
        </w:rPr>
        <w:t>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5 к Договору), Покупатель вправе потребовать уплаты Поставщиком штрафа в размере 15 000 (пятнадцати тысяч) рублей за каждый случай нарушения</w:t>
      </w:r>
      <w:r>
        <w:rPr>
          <w:rStyle w:val="FootnoteReference"/>
          <w:rFonts w:eastAsia="Calibri"/>
          <w:bCs/>
          <w:sz w:val="24"/>
          <w:szCs w:val="24"/>
          <w:highlight w:val="lightGray"/>
        </w:rPr>
        <w:footnoteReference w:id="14"/>
      </w:r>
      <w:r>
        <w:rPr>
          <w:rFonts w:eastAsia="Calibri"/>
          <w:bCs/>
          <w:sz w:val="24"/>
          <w:szCs w:val="24"/>
          <w:highlight w:val="lightGray"/>
        </w:rPr>
        <w:t>.</w:t>
      </w:r>
    </w:p>
    <w:p>
      <w:pPr>
        <w:pStyle w:val="ListParagraph"/>
        <w:widowControl/>
        <w:numPr>
          <w:ilvl w:val="1"/>
          <w:numId w:val="18"/>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8"/>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8"/>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8"/>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8"/>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1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rStyle w:val="FootnoteReference"/>
          <w:bCs/>
          <w:sz w:val="24"/>
          <w:szCs w:val="24"/>
          <w:highlight w:val="lightGray"/>
          <w:shd w:fill="auto" w:val="clear"/>
        </w:rPr>
        <w:footnoteReference w:id="16"/>
      </w:r>
      <w:r>
        <w:rPr>
          <w:bCs/>
          <w:sz w:val="24"/>
          <w:szCs w:val="24"/>
        </w:rPr>
        <w:t xml:space="preserve">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7"/>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8"/>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9"/>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highlight w:val="lightGray"/>
        </w:rPr>
        <w:t xml:space="preserve">Приложение № 5 </w:t>
      </w:r>
      <w:r>
        <w:rPr>
          <w:rFonts w:eastAsia="Calibri"/>
          <w:sz w:val="24"/>
          <w:szCs w:val="24"/>
          <w:highlight w:val="lightGray"/>
          <w:lang w:eastAsia="en-US"/>
        </w:rPr>
        <w:t>–</w:t>
      </w:r>
      <w:r>
        <w:rPr>
          <w:bCs/>
          <w:sz w:val="24"/>
          <w:szCs w:val="24"/>
          <w:highlight w:val="lightGray"/>
        </w:rPr>
        <w:t xml:space="preserve"> Регламент взаимодействия в ходе исполнения процессов управления проектом</w:t>
      </w:r>
      <w:r>
        <w:rPr>
          <w:bCs/>
          <w:sz w:val="24"/>
          <w:szCs w:val="24"/>
        </w:rPr>
        <w:t>.</w:t>
      </w:r>
    </w:p>
    <w:p>
      <w:pPr>
        <w:pStyle w:val="Normal"/>
        <w:ind w:firstLine="709"/>
        <w:jc w:val="both"/>
        <w:rPr>
          <w:bCs/>
          <w:sz w:val="24"/>
          <w:szCs w:val="24"/>
          <w:highlight w:val="lightGray"/>
        </w:rPr>
      </w:pPr>
      <w:r>
        <w:rPr>
          <w:bCs/>
          <w:sz w:val="24"/>
          <w:szCs w:val="24"/>
          <w:highlight w:val="lightGray"/>
        </w:rPr>
        <w:t xml:space="preserve">Приложение № 6 – Методика расчета упущенной выгоды (выручки) </w:t>
        <w:br/>
        <w:t xml:space="preserve">и дополнительных обязательств участника ОРЭМ от недопоставки электрической энергии </w:t>
        <w:br/>
        <w:t>и мощности на ОРЭМ в неценовой зоне Дальнего Востока.</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2"/>
        <w:gridCol w:w="146"/>
        <w:gridCol w:w="4640"/>
        <w:gridCol w:w="322"/>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rPr>
                <w:sz w:val="24"/>
                <w:szCs w:val="24"/>
              </w:rPr>
            </w:pPr>
            <w:r>
              <w:rPr>
                <w:sz w:val="24"/>
                <w:szCs w:val="24"/>
              </w:rPr>
              <w:t>д. 43, стр. 1</w:t>
            </w:r>
          </w:p>
          <w:p>
            <w:pPr>
              <w:pStyle w:val="Normal"/>
              <w:widowControl w:val="false"/>
              <w:rPr>
                <w:sz w:val="24"/>
                <w:szCs w:val="24"/>
              </w:rPr>
            </w:pPr>
            <w:r>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2"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2"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399"/>
        <w:gridCol w:w="631"/>
        <w:gridCol w:w="636"/>
        <w:gridCol w:w="638"/>
        <w:gridCol w:w="800"/>
        <w:gridCol w:w="765"/>
        <w:gridCol w:w="644"/>
        <w:gridCol w:w="762"/>
        <w:gridCol w:w="720"/>
        <w:gridCol w:w="382"/>
        <w:gridCol w:w="151"/>
        <w:gridCol w:w="671"/>
        <w:gridCol w:w="577"/>
        <w:gridCol w:w="534"/>
        <w:gridCol w:w="745"/>
        <w:gridCol w:w="582"/>
      </w:tblGrid>
      <w:tr>
        <w:trPr>
          <w:trHeight w:val="526" w:hRule="atLeast"/>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0"/>
            </w:r>
          </w:p>
        </w:tc>
        <w:tc>
          <w:tcPr>
            <w:tcW w:w="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21"/>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7"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22"/>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23"/>
      </w:r>
      <w:r>
        <w:rPr>
          <w:sz w:val="24"/>
          <w:szCs w:val="24"/>
        </w:rPr>
        <w:t>, а также соответствовать следующим критериям:</w:t>
      </w:r>
    </w:p>
    <w:p>
      <w:pPr>
        <w:pStyle w:val="Normal"/>
        <w:widowControl/>
        <w:numPr>
          <w:ilvl w:val="1"/>
          <w:numId w:val="15"/>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5"/>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5"/>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8">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5"/>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24"/>
      </w:r>
      <w:r>
        <w:rPr>
          <w:sz w:val="24"/>
          <w:szCs w:val="24"/>
        </w:rPr>
        <w:t xml:space="preserve">. </w:t>
      </w:r>
    </w:p>
    <w:p>
      <w:pPr>
        <w:pStyle w:val="Normal"/>
        <w:widowControl/>
        <w:numPr>
          <w:ilvl w:val="1"/>
          <w:numId w:val="15"/>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25"/>
      </w:r>
      <w:r>
        <w:rPr>
          <w:sz w:val="24"/>
          <w:szCs w:val="24"/>
        </w:rPr>
        <w:t>.</w:t>
      </w:r>
    </w:p>
    <w:p>
      <w:pPr>
        <w:pStyle w:val="Normal"/>
        <w:widowControl/>
        <w:numPr>
          <w:ilvl w:val="1"/>
          <w:numId w:val="15"/>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5"/>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5"/>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26"/>
      </w:r>
      <w:r>
        <w:rPr>
          <w:sz w:val="24"/>
          <w:szCs w:val="24"/>
        </w:rPr>
        <w:t>.</w:t>
      </w:r>
    </w:p>
    <w:p>
      <w:pPr>
        <w:pStyle w:val="Normal"/>
        <w:widowControl/>
        <w:numPr>
          <w:ilvl w:val="1"/>
          <w:numId w:val="15"/>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6"/>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6"/>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6"/>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6"/>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6"/>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5"/>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7"/>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8"/>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snapToGrid w:val="false"/>
        <w:ind w:firstLine="5103"/>
        <w:rPr>
          <w:sz w:val="22"/>
          <w:szCs w:val="22"/>
          <w:highlight w:val="lightGray"/>
        </w:rPr>
      </w:pPr>
      <w:r>
        <w:rPr>
          <w:sz w:val="22"/>
          <w:szCs w:val="22"/>
          <w:highlight w:val="lightGray"/>
        </w:rPr>
        <w:t>Приложение № 5</w:t>
      </w:r>
    </w:p>
    <w:p>
      <w:pPr>
        <w:pStyle w:val="Normal"/>
        <w:snapToGrid w:val="false"/>
        <w:ind w:firstLine="5103"/>
        <w:rPr>
          <w:sz w:val="22"/>
          <w:szCs w:val="22"/>
          <w:highlight w:val="lightGray"/>
        </w:rPr>
      </w:pPr>
      <w:r>
        <w:rPr>
          <w:sz w:val="22"/>
          <w:szCs w:val="22"/>
          <w:highlight w:val="lightGray"/>
        </w:rPr>
        <w:t>к Договору поставки</w:t>
      </w:r>
    </w:p>
    <w:p>
      <w:pPr>
        <w:pStyle w:val="Normal"/>
        <w:snapToGrid w:val="false"/>
        <w:ind w:firstLine="5103"/>
        <w:rPr>
          <w:sz w:val="22"/>
          <w:szCs w:val="22"/>
        </w:rPr>
      </w:pPr>
      <w:r>
        <w:rPr>
          <w:sz w:val="22"/>
          <w:szCs w:val="22"/>
          <w:highlight w:val="lightGray"/>
        </w:rPr>
        <w:t>от «____» __________ 20 _ г. № ____</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center"/>
        <w:rPr>
          <w:bCs/>
          <w:sz w:val="28"/>
          <w:szCs w:val="28"/>
        </w:rPr>
      </w:pPr>
      <w:r>
        <w:rPr>
          <w:bCs/>
          <w:sz w:val="28"/>
          <w:szCs w:val="28"/>
        </w:rPr>
        <w:t>Регламент взаимодействия в ходе исполнения процессов управления проектом</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ListParagraph"/>
        <w:shd w:val="clear" w:color="auto" w:fill="FFFFFF"/>
        <w:ind w:left="0" w:hanging="0"/>
        <w:jc w:val="center"/>
        <w:rPr>
          <w:bCs/>
        </w:rPr>
      </w:pPr>
      <w:r>
        <w:rPr>
          <w:bCs/>
        </w:rPr>
      </w:r>
    </w:p>
    <w:p>
      <w:pPr>
        <w:pStyle w:val="ListParagraph"/>
        <w:shd w:val="clear" w:color="auto" w:fill="FFFFFF"/>
        <w:ind w:left="0" w:hanging="0"/>
        <w:jc w:val="both"/>
        <w:rPr>
          <w:bCs/>
        </w:rPr>
      </w:pPr>
      <w:r>
        <w:rPr>
          <w:bCs/>
        </w:rPr>
      </w:r>
    </w:p>
    <w:p>
      <w:pPr>
        <w:pStyle w:val="Normal"/>
        <w:ind w:left="5103" w:hanging="0"/>
        <w:jc w:val="center"/>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widowControl/>
        <w:tabs>
          <w:tab w:val="clear" w:pos="709"/>
          <w:tab w:val="left" w:pos="5387" w:leader="none"/>
        </w:tabs>
        <w:ind w:left="5812" w:hanging="0"/>
        <w:rPr>
          <w:sz w:val="22"/>
          <w:szCs w:val="22"/>
        </w:rPr>
      </w:pPr>
      <w:r>
        <w:rPr>
          <w:sz w:val="22"/>
          <w:szCs w:val="22"/>
        </w:rPr>
        <w:t>Приложение № 6</w:t>
      </w:r>
    </w:p>
    <w:p>
      <w:pPr>
        <w:pStyle w:val="Normal"/>
        <w:widowControl/>
        <w:tabs>
          <w:tab w:val="clear" w:pos="709"/>
          <w:tab w:val="left" w:pos="5387" w:leader="none"/>
        </w:tabs>
        <w:ind w:left="5812" w:hanging="0"/>
        <w:rPr>
          <w:sz w:val="22"/>
          <w:szCs w:val="22"/>
        </w:rPr>
      </w:pPr>
      <w:r>
        <w:rPr>
          <w:sz w:val="22"/>
          <w:szCs w:val="22"/>
        </w:rPr>
        <w:t>к Договору поставки</w:t>
      </w:r>
    </w:p>
    <w:p>
      <w:pPr>
        <w:pStyle w:val="Normal"/>
        <w:widowControl/>
        <w:tabs>
          <w:tab w:val="clear" w:pos="709"/>
          <w:tab w:val="left" w:pos="5387" w:leader="none"/>
        </w:tabs>
        <w:ind w:left="5812" w:hanging="0"/>
        <w:rPr>
          <w:sz w:val="24"/>
          <w:szCs w:val="24"/>
        </w:rPr>
      </w:pPr>
      <w:r>
        <w:rPr>
          <w:sz w:val="22"/>
          <w:szCs w:val="22"/>
        </w:rPr>
        <w:t>от «____» ________ 20 _ г. №_______</w:t>
      </w:r>
    </w:p>
    <w:p>
      <w:pPr>
        <w:pStyle w:val="Normal"/>
        <w:widowControl/>
        <w:ind w:firstLine="709"/>
        <w:jc w:val="center"/>
        <w:rPr>
          <w:szCs w:val="24"/>
        </w:rPr>
      </w:pPr>
      <w:r>
        <w:rPr>
          <w:szCs w:val="24"/>
        </w:rPr>
      </w:r>
    </w:p>
    <w:p>
      <w:pPr>
        <w:pStyle w:val="Normal"/>
        <w:spacing w:lineRule="auto" w:line="240" w:before="20" w:after="20"/>
        <w:ind w:firstLine="709"/>
        <w:jc w:val="center"/>
        <w:rPr>
          <w:b/>
          <w:sz w:val="24"/>
          <w:szCs w:val="24"/>
        </w:rPr>
      </w:pPr>
      <w:bookmarkStart w:id="11" w:name="_Toc122678954_Копия_5"/>
      <w:r>
        <w:rPr>
          <w:b/>
          <w:sz w:val="24"/>
          <w:szCs w:val="24"/>
        </w:rPr>
        <w:t>Методика расчета упущенной выгоды (выручки)</w:t>
      </w:r>
      <w:bookmarkEnd w:id="11"/>
      <w:r>
        <w:rPr>
          <w:b/>
          <w:sz w:val="24"/>
          <w:szCs w:val="24"/>
        </w:rPr>
        <w:t xml:space="preserve"> </w:t>
      </w:r>
    </w:p>
    <w:p>
      <w:pPr>
        <w:pStyle w:val="Normal"/>
        <w:widowControl/>
        <w:spacing w:before="20" w:after="20"/>
        <w:ind w:firstLine="709"/>
        <w:jc w:val="center"/>
        <w:rPr>
          <w:sz w:val="24"/>
          <w:szCs w:val="24"/>
        </w:rPr>
      </w:pPr>
      <w:r>
        <w:rPr>
          <w:b/>
          <w:sz w:val="24"/>
          <w:szCs w:val="24"/>
        </w:rPr>
        <w:t>и дополнительных обязательств участника ОРЭМ от недопоставки электрической энергии и мощности на ОРЭМ в</w:t>
      </w:r>
      <w:r>
        <w:rPr>
          <w:rFonts w:eastAsia="Times New Roman" w:cs="Times New Roman"/>
          <w:b/>
          <w:color w:val="auto"/>
          <w:kern w:val="0"/>
          <w:sz w:val="24"/>
          <w:szCs w:val="24"/>
          <w:lang w:val="ru-RU" w:eastAsia="ru-RU" w:bidi="ar-SA"/>
        </w:rPr>
        <w:t xml:space="preserve"> отдельной территории ценовой зоны оптового рынка, ранее относившейся к</w:t>
      </w:r>
      <w:r>
        <w:rPr>
          <w:b/>
          <w:sz w:val="24"/>
          <w:szCs w:val="24"/>
        </w:rPr>
        <w:t> неценовой зоне отпового рынка Дальнего Востока</w:t>
      </w:r>
    </w:p>
    <w:p>
      <w:pPr>
        <w:pStyle w:val="Normal"/>
        <w:widowControl/>
        <w:spacing w:before="20" w:after="20"/>
        <w:ind w:firstLine="709"/>
        <w:jc w:val="center"/>
        <w:rPr>
          <w:sz w:val="24"/>
          <w:szCs w:val="24"/>
        </w:rPr>
      </w:pPr>
      <w:r>
        <w:rPr>
          <w:sz w:val="24"/>
          <w:szCs w:val="24"/>
        </w:rPr>
      </w:r>
    </w:p>
    <w:p>
      <w:pPr>
        <w:pStyle w:val="Normal"/>
        <w:widowControl/>
        <w:ind w:firstLine="709"/>
        <w:jc w:val="both"/>
        <w:rPr>
          <w:sz w:val="24"/>
          <w:szCs w:val="24"/>
        </w:rPr>
      </w:pPr>
      <w:r>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ListParagraph"/>
        <w:widowControl/>
        <w:numPr>
          <w:ilvl w:val="0"/>
          <w:numId w:val="19"/>
        </w:numPr>
        <w:tabs>
          <w:tab w:val="clear" w:pos="709"/>
          <w:tab w:val="left" w:pos="1276" w:leader="none"/>
          <w:tab w:val="left" w:pos="1418" w:leader="none"/>
        </w:tabs>
        <w:ind w:left="0" w:firstLine="709"/>
        <w:jc w:val="both"/>
        <w:rPr>
          <w:sz w:val="24"/>
          <w:szCs w:val="24"/>
        </w:rPr>
      </w:pPr>
      <w:r>
        <w:rPr>
          <w:sz w:val="24"/>
          <w:szCs w:val="24"/>
        </w:rPr>
        <w:t xml:space="preserve">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w:t>
        <w:br/>
        <w:t xml:space="preserve">в соответствии с п. 4 «Положения о порядке оформления, подачи, рассмотрения </w:t>
        <w:br/>
        <w:t>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widowControl/>
        <w:spacing w:before="20" w:after="20"/>
        <w:ind w:firstLine="709"/>
        <w:jc w:val="both"/>
        <w:rPr>
          <w:sz w:val="24"/>
          <w:szCs w:val="24"/>
        </w:rPr>
      </w:pPr>
      <w:r>
        <w:rPr>
          <w:sz w:val="24"/>
          <w:szCs w:val="24"/>
        </w:rPr>
        <w:t xml:space="preserve">В заявках должны быть указаны: </w:t>
      </w:r>
    </w:p>
    <w:p>
      <w:pPr>
        <w:pStyle w:val="Normal"/>
        <w:widowControl/>
        <w:numPr>
          <w:ilvl w:val="0"/>
          <w:numId w:val="17"/>
        </w:numPr>
        <w:ind w:left="0" w:firstLine="709"/>
        <w:jc w:val="both"/>
        <w:rPr>
          <w:bCs/>
          <w:sz w:val="24"/>
          <w:szCs w:val="24"/>
          <w:lang w:val="en-GB"/>
        </w:rPr>
      </w:pPr>
      <w:r>
        <w:rPr>
          <w:bCs/>
          <w:sz w:val="24"/>
          <w:szCs w:val="24"/>
          <w:lang w:val="en-GB"/>
        </w:rPr>
        <w:t>номер заявки;</w:t>
      </w:r>
    </w:p>
    <w:p>
      <w:pPr>
        <w:pStyle w:val="Normal"/>
        <w:widowControl/>
        <w:numPr>
          <w:ilvl w:val="0"/>
          <w:numId w:val="17"/>
        </w:numPr>
        <w:ind w:left="0" w:firstLine="709"/>
        <w:jc w:val="both"/>
        <w:rPr>
          <w:bCs/>
          <w:sz w:val="24"/>
          <w:szCs w:val="24"/>
          <w:lang w:val="en-GB"/>
        </w:rPr>
      </w:pPr>
      <w:r>
        <w:rPr>
          <w:bCs/>
          <w:sz w:val="24"/>
          <w:szCs w:val="24"/>
          <w:lang w:val="en-GB"/>
        </w:rPr>
        <w:t>подающее предприятие;</w:t>
      </w:r>
    </w:p>
    <w:p>
      <w:pPr>
        <w:pStyle w:val="Normal"/>
        <w:widowControl/>
        <w:numPr>
          <w:ilvl w:val="0"/>
          <w:numId w:val="17"/>
        </w:numPr>
        <w:ind w:left="0" w:firstLine="709"/>
        <w:jc w:val="both"/>
        <w:rPr>
          <w:bCs/>
          <w:sz w:val="24"/>
          <w:szCs w:val="24"/>
        </w:rPr>
      </w:pPr>
      <w:r>
        <w:rPr>
          <w:bCs/>
          <w:sz w:val="24"/>
          <w:szCs w:val="24"/>
        </w:rPr>
        <w:t>оборудование, по которому фиксируется изменение эксплуатационного состояния или технологического режима работы;</w:t>
      </w:r>
    </w:p>
    <w:p>
      <w:pPr>
        <w:pStyle w:val="Normal"/>
        <w:widowControl/>
        <w:numPr>
          <w:ilvl w:val="0"/>
          <w:numId w:val="17"/>
        </w:numPr>
        <w:ind w:left="0" w:firstLine="709"/>
        <w:jc w:val="both"/>
        <w:rPr>
          <w:bCs/>
          <w:sz w:val="24"/>
          <w:szCs w:val="24"/>
          <w:lang w:val="en-GB"/>
        </w:rPr>
      </w:pPr>
      <w:r>
        <w:rPr>
          <w:bCs/>
          <w:sz w:val="24"/>
          <w:szCs w:val="24"/>
          <w:lang w:val="en-GB"/>
        </w:rPr>
        <w:t>величина снижения максимальной мощности;</w:t>
      </w:r>
    </w:p>
    <w:p>
      <w:pPr>
        <w:pStyle w:val="Normal"/>
        <w:widowControl/>
        <w:numPr>
          <w:ilvl w:val="0"/>
          <w:numId w:val="17"/>
        </w:numPr>
        <w:ind w:left="0" w:firstLine="709"/>
        <w:jc w:val="both"/>
        <w:rPr>
          <w:bCs/>
          <w:sz w:val="24"/>
          <w:szCs w:val="24"/>
          <w:lang w:val="en-GB"/>
        </w:rPr>
      </w:pPr>
      <w:r>
        <w:rPr>
          <w:bCs/>
          <w:sz w:val="24"/>
          <w:szCs w:val="24"/>
          <w:lang w:val="en-GB"/>
        </w:rPr>
        <w:t>содержание работ;</w:t>
      </w:r>
    </w:p>
    <w:p>
      <w:pPr>
        <w:pStyle w:val="Normal"/>
        <w:widowControl/>
        <w:numPr>
          <w:ilvl w:val="0"/>
          <w:numId w:val="17"/>
        </w:numPr>
        <w:ind w:left="0" w:firstLine="709"/>
        <w:jc w:val="both"/>
        <w:rPr>
          <w:bCs/>
          <w:sz w:val="24"/>
          <w:szCs w:val="24"/>
          <w:lang w:val="en-GB"/>
        </w:rPr>
      </w:pPr>
      <w:r>
        <w:rPr>
          <w:bCs/>
          <w:sz w:val="24"/>
          <w:szCs w:val="24"/>
          <w:lang w:val="en-GB"/>
        </w:rPr>
        <w:t>время подачи заявки;</w:t>
      </w:r>
    </w:p>
    <w:p>
      <w:pPr>
        <w:pStyle w:val="Normal"/>
        <w:widowControl/>
        <w:numPr>
          <w:ilvl w:val="0"/>
          <w:numId w:val="17"/>
        </w:numPr>
        <w:ind w:left="0" w:firstLine="709"/>
        <w:jc w:val="both"/>
        <w:rPr>
          <w:bCs/>
          <w:sz w:val="24"/>
          <w:szCs w:val="24"/>
        </w:rPr>
      </w:pPr>
      <w:r>
        <w:rPr>
          <w:bCs/>
          <w:sz w:val="24"/>
          <w:szCs w:val="24"/>
        </w:rPr>
        <w:t>время начала и конца действия заявки и др.</w:t>
      </w:r>
    </w:p>
    <w:p>
      <w:pPr>
        <w:pStyle w:val="Normal"/>
        <w:widowControl/>
        <w:spacing w:before="120" w:after="20"/>
        <w:ind w:firstLine="709"/>
        <w:jc w:val="both"/>
        <w:rPr>
          <w:sz w:val="24"/>
          <w:szCs w:val="24"/>
        </w:rPr>
      </w:pPr>
      <w:r>
        <w:rPr>
          <w:sz w:val="24"/>
          <w:szCs w:val="24"/>
        </w:rPr>
        <w:t>2.</w:t>
        <w:tab/>
      </w: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r>
      <m:oMath xmlns:m="http://schemas.openxmlformats.org/officeDocument/2006/math"/>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sz w:val="24"/>
          <w:szCs w:val="24"/>
        </w:rPr>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t>
      </w:r>
      <w:r>
        <w:rPr>
          <w:rFonts w:eastAsia="Times New Roman" w:cs="Times New Roman"/>
          <w:color w:val="auto"/>
          <w:kern w:val="0"/>
          <w:sz w:val="24"/>
          <w:szCs w:val="24"/>
          <w:lang w:val="ru-RU" w:eastAsia="ru-RU" w:bidi="ar-SA"/>
        </w:rPr>
        <w:t>«</w:t>
      </w:r>
      <w:r>
        <w:rPr>
          <w:sz w:val="24"/>
          <w:szCs w:val="24"/>
        </w:rPr>
        <w:t>Порядка установления соответствия генерирующего оборудования участников оптового рынка техническим требованиям</w:t>
      </w:r>
      <w:r>
        <w:rPr>
          <w:rFonts w:eastAsia="Times New Roman" w:cs="Times New Roman"/>
          <w:color w:val="auto"/>
          <w:kern w:val="0"/>
          <w:sz w:val="24"/>
          <w:szCs w:val="24"/>
          <w:lang w:val="ru-RU" w:eastAsia="ru-RU" w:bidi="ar-SA"/>
        </w:rPr>
        <w:t>»</w:t>
      </w:r>
      <w:r>
        <w:rPr>
          <w:sz w:val="24"/>
          <w:szCs w:val="24"/>
        </w:rPr>
        <w: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r>
        <w:rPr/>
      </w:r>
      <m:oMath xmlns:m="http://schemas.openxmlformats.org/officeDocument/2006/math"/>
      <w:r>
        <w:rPr>
          <w:rFonts w:eastAsia="Times New Roman" w:cs="Times New Roman"/>
          <w:sz w:val="24"/>
          <w:szCs w:val="24"/>
        </w:rPr>
        <w:t xml:space="preserve"> </w:t>
      </w:r>
    </w:p>
    <w:p>
      <w:pPr>
        <w:pStyle w:val="Normal"/>
        <w:spacing w:lineRule="auto" w:line="240" w:before="20" w:after="20"/>
        <w:ind w:firstLine="709"/>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sz w:val="24"/>
          <w:szCs w:val="24"/>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0"/>
                    <a:srcRect l="-222" t="-329" r="-222" b="-329"/>
                    <a:stretch>
                      <a:fillRect/>
                    </a:stretch>
                  </pic:blipFill>
                  <pic:spPr bwMode="auto">
                    <a:xfrm>
                      <a:off x="0" y="0"/>
                      <a:ext cx="323850" cy="21907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согласованного планового ремонтного снижения мощности;</w:t>
      </w:r>
    </w:p>
    <w:p>
      <w:pPr>
        <w:pStyle w:val="Normal"/>
        <w:spacing w:lineRule="auto" w:line="276"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sz w:val="24"/>
          <w:szCs w:val="24"/>
        </w:rPr>
      </w:pPr>
      <w:r>
        <w:rPr/>
      </w:r>
      <m:oMath xmlns:m="http://schemas.openxmlformats.org/officeDocument/2006/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sz w:val="24"/>
          <w:szCs w:val="24"/>
        </w:rPr>
      </w:pPr>
      <w:r>
        <w:rPr>
          <w:rFonts w:eastAsia="Times New Roman" w:cs="Times New Roman"/>
          <w:sz w:val="24"/>
          <w:szCs w:val="24"/>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sz w:val="24"/>
          <w:szCs w:val="24"/>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1"/>
                    <a:stretch>
                      <a:fillRect/>
                    </a:stretch>
                  </pic:blipFill>
                  <pic:spPr bwMode="auto">
                    <a:xfrm>
                      <a:off x="0" y="0"/>
                      <a:ext cx="545465" cy="2730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sz w:val="24"/>
          <w:szCs w:val="24"/>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2"/>
                    <a:stretch>
                      <a:fillRect/>
                    </a:stretch>
                  </pic:blipFill>
                  <pic:spPr bwMode="auto">
                    <a:xfrm>
                      <a:off x="0" y="0"/>
                      <a:ext cx="524510" cy="2660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sz w:val="24"/>
          <w:szCs w:val="24"/>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3"/>
                    <a:stretch>
                      <a:fillRect/>
                    </a:stretch>
                  </pic:blipFill>
                  <pic:spPr bwMode="auto">
                    <a:xfrm>
                      <a:off x="0" y="0"/>
                      <a:ext cx="532130" cy="2724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sz w:val="24"/>
          <w:szCs w:val="24"/>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4"/>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sz w:val="24"/>
          <w:szCs w:val="24"/>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5"/>
                    <a:stretch>
                      <a:fillRect/>
                    </a:stretch>
                  </pic:blipFill>
                  <pic:spPr bwMode="auto">
                    <a:xfrm>
                      <a:off x="0" y="0"/>
                      <a:ext cx="620395" cy="32004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16"/>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17"/>
                    <a:stretch>
                      <a:fillRect/>
                    </a:stretch>
                  </pic:blipFill>
                  <pic:spPr bwMode="auto">
                    <a:xfrm>
                      <a:off x="0" y="0"/>
                      <a:ext cx="511810" cy="24130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sz w:val="24"/>
          <w:szCs w:val="24"/>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18"/>
                    <a:stretch>
                      <a:fillRect/>
                    </a:stretch>
                  </pic:blipFill>
                  <pic:spPr bwMode="auto">
                    <a:xfrm>
                      <a:off x="0" y="0"/>
                      <a:ext cx="497205" cy="2406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sz w:val="24"/>
          <w:szCs w:val="24"/>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19"/>
                    <a:stretch>
                      <a:fillRect/>
                    </a:stretch>
                  </pic:blipFill>
                  <pic:spPr bwMode="auto">
                    <a:xfrm>
                      <a:off x="0" y="0"/>
                      <a:ext cx="914400" cy="2851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sz w:val="24"/>
          <w:szCs w:val="24"/>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0"/>
                    <a:stretch>
                      <a:fillRect/>
                    </a:stretch>
                  </pic:blipFill>
                  <pic:spPr bwMode="auto">
                    <a:xfrm>
                      <a:off x="0" y="0"/>
                      <a:ext cx="1052830" cy="35750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согласованном увеличении времени включения в сеть;</w:t>
      </w:r>
    </w:p>
    <w:p>
      <w:pPr>
        <w:pStyle w:val="Normal"/>
        <w:spacing w:lineRule="auto" w:line="276" w:before="20" w:after="20"/>
        <w:ind w:firstLine="709"/>
        <w:jc w:val="both"/>
        <w:rPr>
          <w:sz w:val="24"/>
          <w:szCs w:val="24"/>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1"/>
                    <a:stretch>
                      <a:fillRect/>
                    </a:stretch>
                  </pic:blipFill>
                  <pic:spPr bwMode="auto">
                    <a:xfrm>
                      <a:off x="0" y="0"/>
                      <a:ext cx="958215" cy="3136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sz w:val="24"/>
          <w:szCs w:val="24"/>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2"/>
                    <a:stretch>
                      <a:fillRect/>
                    </a:stretch>
                  </pic:blipFill>
                  <pic:spPr bwMode="auto">
                    <a:xfrm>
                      <a:off x="0" y="0"/>
                      <a:ext cx="368300" cy="2857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3"/>
                    <a:stretch>
                      <a:fillRect/>
                    </a:stretch>
                  </pic:blipFill>
                  <pic:spPr bwMode="auto">
                    <a:xfrm>
                      <a:off x="0" y="0"/>
                      <a:ext cx="336550" cy="26733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spacing w:lineRule="auto" w:line="240" w:before="20" w:after="20"/>
        <w:jc w:val="center"/>
        <w:rPr>
          <w:sz w:val="24"/>
          <w:szCs w:val="24"/>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4"/>
                    <a:stretch>
                      <a:fillRect/>
                    </a:stretch>
                  </pic:blipFill>
                  <pic:spPr bwMode="auto">
                    <a:xfrm>
                      <a:off x="0" y="0"/>
                      <a:ext cx="1371600" cy="673100"/>
                    </a:xfrm>
                    <a:prstGeom prst="rect">
                      <a:avLst/>
                    </a:prstGeom>
                  </pic:spPr>
                </pic:pic>
              </a:graphicData>
            </a:graphic>
          </wp:inline>
        </w:drawing>
      </w:r>
    </w:p>
    <w:p>
      <w:pPr>
        <w:pStyle w:val="Normal"/>
        <w:spacing w:lineRule="auto" w:line="240" w:before="20" w:after="20"/>
        <w:ind w:firstLine="709"/>
        <w:rPr>
          <w:sz w:val="24"/>
          <w:szCs w:val="24"/>
        </w:rPr>
      </w:pPr>
      <w:r>
        <w:rPr>
          <w:sz w:val="24"/>
          <w:szCs w:val="24"/>
        </w:rPr>
        <w:t>где:</w:t>
      </w:r>
    </w:p>
    <w:p>
      <w:pPr>
        <w:pStyle w:val="Normal"/>
        <w:spacing w:lineRule="auto" w:line="240" w:before="20" w:after="20"/>
        <w:ind w:firstLine="709"/>
        <w:rPr>
          <w:sz w:val="24"/>
          <w:szCs w:val="24"/>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5"/>
                    <a:stretch>
                      <a:fillRect/>
                    </a:stretch>
                  </pic:blipFill>
                  <pic:spPr bwMode="auto">
                    <a:xfrm>
                      <a:off x="0" y="0"/>
                      <a:ext cx="293370" cy="26733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spacing w:lineRule="auto" w:line="240" w:before="20" w:after="20"/>
        <w:ind w:firstLine="709"/>
        <w:rPr>
          <w:sz w:val="24"/>
          <w:szCs w:val="24"/>
        </w:rPr>
      </w:pPr>
      <w:r>
        <w:rPr>
          <w:sz w:val="24"/>
          <w:szCs w:val="24"/>
        </w:rPr>
        <w:t xml:space="preserve">Н – количество часов, соответствующее расчетному месяцу m. </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p>
    <w:p>
      <w:pPr>
        <w:pStyle w:val="Normal"/>
        <w:spacing w:lineRule="auto" w:line="276" w:before="0" w:after="200"/>
        <w:ind w:firstLine="709"/>
        <w:rPr>
          <w:rFonts w:ascii="Times New Roman" w:hAnsi="Times New Roman" w:eastAsia="Arial" w:cs="Times New Roman"/>
          <w:sz w:val="24"/>
          <w:szCs w:val="24"/>
        </w:rPr>
      </w:pPr>
      <w:r>
        <w:rPr>
          <w:rFonts w:eastAsia="Arial" w:cs="Times New Roman"/>
          <w:sz w:val="24"/>
          <w:szCs w:val="24"/>
        </w:rPr>
        <w:t>где:</w:t>
        <w:tab/>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26"/>
                    <a:stretch>
                      <a:fillRect/>
                    </a:stretch>
                  </pic:blipFill>
                  <pic:spPr bwMode="auto">
                    <a:xfrm>
                      <a:off x="0" y="0"/>
                      <a:ext cx="185420" cy="228600"/>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 xml:space="preserve">коэффициенты </w:t>
      </w:r>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27"/>
                    <a:stretch>
                      <a:fillRect/>
                    </a:stretch>
                  </pic:blipFill>
                  <pic:spPr bwMode="auto">
                    <a:xfrm>
                      <a:off x="0" y="0"/>
                      <a:ext cx="184785" cy="277495"/>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cs="Times New Roman"/>
          <w:sz w:val="24"/>
          <w:szCs w:val="24"/>
        </w:rPr>
        <w:t xml:space="preserve">), </w:t>
      </w:r>
    </w:p>
    <w:p>
      <w:pPr>
        <w:pStyle w:val="Normal"/>
        <w:numPr>
          <w:ilvl w:val="0"/>
          <w:numId w:val="0"/>
        </w:numPr>
        <w:spacing w:lineRule="auto" w:line="276" w:before="120" w:after="120"/>
        <w:ind w:left="0" w:firstLine="567"/>
        <w:jc w:val="both"/>
        <w:outlineLvl w:val="3"/>
        <w:rPr>
          <w:sz w:val="24"/>
          <w:szCs w:val="24"/>
        </w:rPr>
      </w:pPr>
      <w:r>
        <w:rPr>
          <w:rFonts w:eastAsia="Arial" w:cs="Times New Roman"/>
          <w:sz w:val="24"/>
          <w:szCs w:val="24"/>
        </w:rPr>
        <w:t xml:space="preserve">определяемые для каждого из соответствующих им объемов невыполнения требований по готовности </w:t>
      </w:r>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28"/>
                    <a:stretch>
                      <a:fillRect/>
                    </a:stretch>
                  </pic:blipFill>
                  <pic:spPr bwMode="auto">
                    <a:xfrm>
                      <a:off x="0" y="0"/>
                      <a:ext cx="277495" cy="277495"/>
                    </a:xfrm>
                    <a:prstGeom prst="rect">
                      <a:avLst/>
                    </a:prstGeom>
                  </pic:spPr>
                </pic:pic>
              </a:graphicData>
            </a:graphic>
          </wp:inline>
        </w:drawing>
      </w:r>
      <w:r>
        <w:rPr>
          <w:rFonts w:eastAsia="Arial" w:cs="Times New Roman"/>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sz w:val="24"/>
          <w:szCs w:val="24"/>
        </w:rPr>
      </w:pPr>
      <w:r>
        <w:rPr>
          <w:rFonts w:eastAsia="Arial" w:cs="Times New Roman"/>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29"/>
                    <a:stretch>
                      <a:fillRect/>
                    </a:stretch>
                  </pic:blipFill>
                  <pic:spPr bwMode="auto">
                    <a:xfrm>
                      <a:off x="0" y="0"/>
                      <a:ext cx="636270" cy="278130"/>
                    </a:xfrm>
                    <a:prstGeom prst="rect">
                      <a:avLst/>
                    </a:prstGeom>
                  </pic:spPr>
                </pic:pic>
              </a:graphicData>
            </a:graphic>
          </wp:inline>
        </w:drawing>
      </w:r>
      <w:r>
        <w:rPr>
          <w:rFonts w:eastAsia="Arial" w:cs="Times New Roman"/>
          <w:sz w:val="24"/>
          <w:szCs w:val="24"/>
        </w:rPr>
        <w:t>.</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sz w:val="24"/>
          <w:szCs w:val="24"/>
        </w:rPr>
      </w:pPr>
      <w:r>
        <w:rPr>
          <w:rFonts w:eastAsia="Times New Roman" w:cs="Times New Roman"/>
          <w:sz w:val="24"/>
          <w:szCs w:val="24"/>
        </w:rPr>
        <w:t xml:space="preserve">  </w:t>
      </w:r>
      <w:r>
        <w:rPr>
          <w:rFonts w:eastAsia="Arial" w:cs="Times New Roman"/>
          <w:sz w:val="24"/>
          <w:szCs w:val="24"/>
        </w:rPr>
        <w:t xml:space="preserve">- </w:t>
      </w:r>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0"/>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sz w:val="24"/>
          <w:szCs w:val="24"/>
        </w:rPr>
      </w:pPr>
      <w:r>
        <w:rPr>
          <w:rFonts w:eastAsia="Arial" w:cs="Times New Roman"/>
          <w:sz w:val="24"/>
          <w:szCs w:val="24"/>
        </w:rPr>
        <w:t xml:space="preserve">- </w:t>
      </w:r>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1"/>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 сезонный коэффициент, рассчитанный для ценовой зоны оптового рынка (z) месяца (m); </w:t>
      </w:r>
    </w:p>
    <w:p>
      <w:pPr>
        <w:pStyle w:val="Normal"/>
        <w:widowControl/>
        <w:spacing w:before="120" w:after="20"/>
        <w:ind w:firstLine="709"/>
        <w:jc w:val="both"/>
        <w:rPr>
          <w:sz w:val="24"/>
          <w:szCs w:val="24"/>
        </w:rPr>
      </w:pPr>
      <w:r>
        <w:rPr>
          <w:rFonts w:eastAsia="Arial" w:cs="Times New Roman"/>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cs="Times New Roman"/>
          <w:sz w:val="24"/>
          <w:szCs w:val="24"/>
        </w:rPr>
        <w:t xml:space="preserve"> на цену </w:t>
      </w:r>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2"/>
                    <a:srcRect l="-42" t="-65" r="-42" b="-65"/>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и на коэффициент сезонности</w:t>
      </w:r>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3"/>
                    <a:srcRect l="-43" t="-65" r="-43" b="-6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w:t>
      </w:r>
    </w:p>
    <w:p>
      <w:pPr>
        <w:pStyle w:val="Normal"/>
        <w:widowControl/>
        <w:spacing w:before="120" w:after="20"/>
        <w:ind w:firstLine="709"/>
        <w:jc w:val="both"/>
        <w:rPr>
          <w:sz w:val="24"/>
          <w:szCs w:val="24"/>
        </w:rPr>
      </w:pPr>
      <w:r>
        <w:rPr>
          <w:sz w:val="24"/>
          <w:szCs w:val="24"/>
        </w:rPr>
      </w:r>
    </w:p>
    <w:tbl>
      <w:tblPr>
        <w:tblW w:w="1012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40"/>
        <w:gridCol w:w="4879"/>
      </w:tblGrid>
      <w:tr>
        <w:trPr>
          <w:trHeight w:val="282" w:hRule="atLeast"/>
        </w:trPr>
        <w:tc>
          <w:tcPr>
            <w:tcW w:w="5240" w:type="dxa"/>
            <w:tcBorders/>
          </w:tcPr>
          <w:p>
            <w:pPr>
              <w:pStyle w:val="Normal"/>
              <w:widowControl w:val="false"/>
              <w:rPr>
                <w:b/>
                <w:sz w:val="24"/>
                <w:szCs w:val="24"/>
              </w:rPr>
            </w:pPr>
            <w:r>
              <w:rPr>
                <w:b/>
                <w:sz w:val="24"/>
                <w:szCs w:val="24"/>
              </w:rPr>
            </w:r>
          </w:p>
          <w:p>
            <w:pPr>
              <w:pStyle w:val="Normal"/>
              <w:widowControl w:val="false"/>
              <w:rPr>
                <w:b/>
                <w:sz w:val="24"/>
                <w:szCs w:val="24"/>
                <w:lang w:val="en-GB"/>
              </w:rPr>
            </w:pPr>
            <w:r>
              <w:rPr>
                <w:b/>
                <w:sz w:val="24"/>
                <w:szCs w:val="24"/>
                <w:lang w:val="en-GB"/>
              </w:rPr>
              <w:t>Покупатель:</w:t>
            </w:r>
          </w:p>
        </w:tc>
        <w:tc>
          <w:tcPr>
            <w:tcW w:w="4879" w:type="dxa"/>
            <w:tcBorders/>
          </w:tcPr>
          <w:p>
            <w:pPr>
              <w:pStyle w:val="Normal"/>
              <w:widowControl w:val="false"/>
              <w:rPr>
                <w:b/>
                <w:sz w:val="24"/>
                <w:szCs w:val="24"/>
              </w:rPr>
            </w:pPr>
            <w:r>
              <w:rPr>
                <w:b/>
                <w:sz w:val="24"/>
                <w:szCs w:val="24"/>
              </w:rPr>
            </w:r>
          </w:p>
          <w:p>
            <w:pPr>
              <w:pStyle w:val="Normal"/>
              <w:widowControl w:val="false"/>
              <w:rPr>
                <w:b/>
                <w:sz w:val="24"/>
                <w:szCs w:val="24"/>
                <w:lang w:val="en-GB"/>
              </w:rPr>
            </w:pPr>
            <w:r>
              <w:rPr>
                <w:b/>
                <w:sz w:val="24"/>
                <w:szCs w:val="24"/>
              </w:rPr>
              <w:t>Поставщик</w:t>
            </w:r>
            <w:r>
              <w:rPr>
                <w:b/>
                <w:sz w:val="24"/>
                <w:szCs w:val="24"/>
                <w:lang w:val="en-GB"/>
              </w:rPr>
              <w:t>:</w:t>
            </w:r>
          </w:p>
        </w:tc>
      </w:tr>
      <w:tr>
        <w:trPr>
          <w:trHeight w:val="611" w:hRule="atLeast"/>
        </w:trPr>
        <w:tc>
          <w:tcPr>
            <w:tcW w:w="5240"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487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_______________ / _______________</w:t>
            </w:r>
          </w:p>
        </w:tc>
      </w:tr>
    </w:tbl>
    <w:p>
      <w:pPr>
        <w:pStyle w:val="Normal"/>
        <w:widowControl/>
        <w:spacing w:before="120" w:after="20"/>
        <w:jc w:val="both"/>
        <w:rPr>
          <w:sz w:val="24"/>
          <w:szCs w:val="24"/>
        </w:rPr>
      </w:pPr>
      <w:r>
        <w:rPr/>
      </w:r>
    </w:p>
    <w:sectPr>
      <w:headerReference w:type="default" r:id="rId34"/>
      <w:headerReference w:type="first" r:id="rId35"/>
      <w:footerReference w:type="default" r:id="rId36"/>
      <w:footerReference w:type="first" r:id="rId37"/>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35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5">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6">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7">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8">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10">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11">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2">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13">
    <w:p>
      <w:pPr>
        <w:pStyle w:val="FootnoteText"/>
        <w:jc w:val="both"/>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4">
    <w:p>
      <w:pPr>
        <w:pStyle w:val="FootnoteText"/>
        <w:jc w:val="both"/>
        <w:rPr>
          <w:szCs w:val="24"/>
          <w:highlight w:val="lightGray"/>
        </w:rPr>
      </w:pPr>
      <w:r>
        <w:rPr>
          <w:rStyle w:val="Style14"/>
        </w:rPr>
        <w:footnoteRef/>
      </w:r>
      <w:r>
        <w:rPr/>
        <w:t xml:space="preserve"> </w:t>
      </w:r>
      <w:r>
        <w:rPr>
          <w:highlight w:val="lightGray"/>
        </w:rPr>
        <w:t>Необходимость включения данного пункта определяется в соответствии с приказом ПАО «РусГидро</w:t>
      </w:r>
      <w:r>
        <w:rPr>
          <w:szCs w:val="24"/>
          <w:highlight w:val="lightGray"/>
        </w:rPr>
        <w:t xml:space="preserve">» </w:t>
        <w:br/>
        <w:t>от 12.01.2021 № 4.</w:t>
      </w:r>
    </w:p>
  </w:footnote>
  <w:footnote w:id="1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6">
    <w:p>
      <w:pPr>
        <w:pStyle w:val="FootnoteText"/>
        <w:rPr/>
      </w:pPr>
      <w:r>
        <w:rPr>
          <w:rStyle w:val="Style14"/>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17">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8">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9">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20">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21">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22">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23">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2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25">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26">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7">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8">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6">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image" Target="media/image1.png"/><Relationship Id="rId11" Type="http://schemas.openxmlformats.org/officeDocument/2006/relationships/image" Target="media/image2.wmf"/><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9.wmf"/><Relationship Id="rId19" Type="http://schemas.openxmlformats.org/officeDocument/2006/relationships/image" Target="media/image10.wmf"/><Relationship Id="rId20" Type="http://schemas.openxmlformats.org/officeDocument/2006/relationships/image" Target="media/image11.wmf"/><Relationship Id="rId21" Type="http://schemas.openxmlformats.org/officeDocument/2006/relationships/image" Target="media/image12.wmf"/><Relationship Id="rId22" Type="http://schemas.openxmlformats.org/officeDocument/2006/relationships/image" Target="media/image13.wmf"/><Relationship Id="rId23" Type="http://schemas.openxmlformats.org/officeDocument/2006/relationships/image" Target="media/image14.wmf"/><Relationship Id="rId24" Type="http://schemas.openxmlformats.org/officeDocument/2006/relationships/image" Target="media/image15.wmf"/><Relationship Id="rId25" Type="http://schemas.openxmlformats.org/officeDocument/2006/relationships/image" Target="media/image16.wmf"/><Relationship Id="rId26" Type="http://schemas.openxmlformats.org/officeDocument/2006/relationships/image" Target="media/image17.wmf"/><Relationship Id="rId27" Type="http://schemas.openxmlformats.org/officeDocument/2006/relationships/image" Target="media/image18.wmf"/><Relationship Id="rId28" Type="http://schemas.openxmlformats.org/officeDocument/2006/relationships/image" Target="media/image19.wmf"/><Relationship Id="rId29" Type="http://schemas.openxmlformats.org/officeDocument/2006/relationships/image" Target="media/image20.wmf"/><Relationship Id="rId30" Type="http://schemas.openxmlformats.org/officeDocument/2006/relationships/image" Target="media/image21.wmf"/><Relationship Id="rId31" Type="http://schemas.openxmlformats.org/officeDocument/2006/relationships/image" Target="media/image22.wmf"/><Relationship Id="rId32" Type="http://schemas.openxmlformats.org/officeDocument/2006/relationships/image" Target="media/image21.wmf"/><Relationship Id="rId33" Type="http://schemas.openxmlformats.org/officeDocument/2006/relationships/image" Target="media/image22.wmf"/><Relationship Id="rId34" Type="http://schemas.openxmlformats.org/officeDocument/2006/relationships/header" Target="header3.xml"/><Relationship Id="rId35" Type="http://schemas.openxmlformats.org/officeDocument/2006/relationships/header" Target="header4.xml"/><Relationship Id="rId36" Type="http://schemas.openxmlformats.org/officeDocument/2006/relationships/footer" Target="footer2.xml"/><Relationship Id="rId37" Type="http://schemas.openxmlformats.org/officeDocument/2006/relationships/footer" Target="footer3.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Relationship Id="rId44" Type="http://schemas.openxmlformats.org/officeDocument/2006/relationships/customXml" Target="../customXml/item2.xml"/><Relationship Id="rId45" Type="http://schemas.openxmlformats.org/officeDocument/2006/relationships/customXml" Target="../customXml/item3.xml"/><Relationship Id="rId4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Application>AlterOffice/3.4.0.9$Linux_X86_64 LibreOffice_project/b8daf9e823b1a5463a2f48435ddc2e8696e7d4fc</Application>
  <AppVersion>15.0000</AppVersion>
  <Pages>35</Pages>
  <Words>12110</Words>
  <Characters>87192</Characters>
  <CharactersWithSpaces>91169</CharactersWithSpaces>
  <Paragraphs>540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
  <cp:lastPrinted>2018-05-22T09:46:00Z</cp:lastPrinted>
  <dcterms:modified xsi:type="dcterms:W3CDTF">2026-06-09T13:22:33Z</dcterms:modified>
  <cp:revision>50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