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Приложение №1.1 к ТТ  ОЛ на поставку  ЩПТ, ЗВУ ПС 110 кВ Михайловка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на у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стройство зарядно-выпрямительное ( Шкафы ЗУ типа ВТЗП 60/220-УХЛ4) 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 xml:space="preserve">                                 </w:t>
      </w:r>
      <w:r>
        <w:rPr>
          <w:rFonts w:ascii="Liberation Serif" w:hAnsi="Liberation Serif"/>
          <w:color w:val="000000"/>
          <w:sz w:val="24"/>
          <w:szCs w:val="24"/>
        </w:rPr>
        <w:t xml:space="preserve">Таблица1. – технические характеристики 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ВТЗП 60/220-УХЛ4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</w:t>
      </w:r>
      <w:r>
        <w:rPr>
          <w:rFonts w:ascii="Liberation Serif" w:hAnsi="Liberation Serif"/>
          <w:color w:val="000000"/>
          <w:sz w:val="24"/>
          <w:szCs w:val="24"/>
        </w:rPr>
        <w:t xml:space="preserve">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37"/>
        <w:gridCol w:w="2551"/>
        <w:gridCol w:w="2605"/>
        <w:gridCol w:w="6"/>
        <w:gridCol w:w="2600"/>
        <w:gridCol w:w="2387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Тип зарядно-выпрямительного устройства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ВТЗП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6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0/220-УХЛ4 (либо эквивалент)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Тип выпрямителя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Полностью управляемый 6 тиристорный мост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Количество зарядно- выпрямительных устройств, шт.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Номинальный ток ЗВУ основной части, 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6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Номинальный ток ЗВУ дополнительной части, 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---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Частота переменного напряжения питания ЗВУ, Гц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50±5%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Напряжения питания ЗВУ, 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38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0</w:t>
            </w:r>
            <w:r>
              <w:rPr>
                <w:rFonts w:eastAsia="Symbol" w:cs="Symbol" w:ascii="Liberation Serif" w:hAnsi="Liberation Serif"/>
                <w:kern w:val="0"/>
                <w:sz w:val="24"/>
                <w:szCs w:val="24"/>
                <w:lang w:val="en-US" w:bidi="ar-SA"/>
              </w:rPr>
              <w:t>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15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MD" w:bidi="ar-SA"/>
              </w:rPr>
              <w:t>%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Число фаз напряжения питания ЗВУ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Номинальное выходное напряжение ЗВУ основного канала, 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220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Номинальное выходное напряжение ЗВУ дополнительного канала, 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---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Ограничение выходного тока, %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4.9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Диапазон регулирования выходного напряжения основного канала, 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bidi="ar-SA"/>
              </w:rPr>
              <w:t>150-280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4.10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bidi="ar-SA"/>
              </w:rPr>
              <w:t>Диапазон регулирования выходного напряжения дополнительного канала, 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---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4.11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Стабильность выходного напряжения при ± 10 % колебаниях сетевого напряжения и 10‐100 % изменениях нагрузки, %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 xml:space="preserve">≤ </w:t>
            </w: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>0,5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4.12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 w:eastAsiaTheme="minorHAnsi"/>
                <w:kern w:val="0"/>
                <w:sz w:val="24"/>
                <w:szCs w:val="24"/>
                <w:highlight w:val="white"/>
                <w:lang w:val="ru-RU" w:eastAsia="en-US" w:bidi="ar-SA"/>
              </w:rPr>
              <w:t>Пульсации выходного напряжения при работе на активную нагрузку с отключенной аккумуляторной батареей</w:t>
            </w: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>, %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 xml:space="preserve">≤ </w:t>
            </w: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4.13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Стабильность выходного напряжения при ±10% колебаниях сетевого напряжения и 10-100% изменениях нагрузки, %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 xml:space="preserve">≤ </w:t>
            </w: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4.14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Длительный ток нагрузки основного канала, 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en-US" w:bidi="ar-SA"/>
              </w:rPr>
              <w:t>6</w:t>
            </w: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highlight w:val="white"/>
                <w:lang w:val="ru-RU" w:bidi="ar-SA"/>
              </w:rPr>
              <w:t>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4.15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0"/>
                <w:sz w:val="24"/>
                <w:szCs w:val="24"/>
                <w:lang w:val="ru-RU" w:bidi="ar-SA"/>
              </w:rPr>
              <w:t>Коэффициент полезного действия, %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 xml:space="preserve">≥ </w:t>
            </w: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85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4.16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Режим работы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непрерывный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4.17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Диапазон рабочих температур,</w:t>
            </w:r>
            <w:r>
              <w:rPr>
                <w:rFonts w:ascii="Liberation Serif" w:hAnsi="Liberation Serif"/>
                <w:kern w:val="0"/>
                <w:sz w:val="24"/>
                <w:szCs w:val="24"/>
                <w:vertAlign w:val="superscript"/>
                <w:lang w:val="ru-RU" w:bidi="ar-SA"/>
              </w:rPr>
              <w:t xml:space="preserve"> о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+1…+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MD" w:bidi="ar-SA"/>
              </w:rPr>
              <w:t>40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4.18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Кратковременная  перегрузочная способность ЗВУ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 xml:space="preserve">10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ном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4.19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Длительная перегрузочная способность ЗВУ</w:t>
            </w:r>
          </w:p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color w:val="FF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Liberation Serif" w:hAnsi="Liberation Serif"/>
                <w:color w:val="FF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1,05 Iном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kern w:val="0"/>
                <w:sz w:val="24"/>
                <w:szCs w:val="24"/>
                <w:lang w:val="ru-RU" w:bidi="ar-SA"/>
              </w:rPr>
              <w:t>Функциональные и конструктивные особенности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Интерфейс пользователя ЗВУ должен включать графический дисплей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Модули системы мониторинга должны быть одного производителя с ЗУ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Контроль состояния и положения коммутационных аппаратов на входе/выходе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val="ru-RU" w:bidi="ar-SA"/>
              </w:rPr>
              <w:t>5.4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bidi="ar-SA"/>
              </w:rPr>
              <w:t>ЗВУ должно быть отделено от питающей сети разделительными трансформаторами (основная и дополнительная часть)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highlight w:val="white"/>
                <w:lang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Число фаз основного/дополнительного ЗВУ заряда АБ (3/3)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 (осн. часть)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Ток заряда дополнительной части не менее 40А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---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Питающий кабель для ЗВУ общий (основная и дополнительная части)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 (осн. часть)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Термокомпенсация напряжения подзаряда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Длина кабеля термодатчика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0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м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Параллельная работа ЗВУ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Графический дисплей с отображением информации о состоянии, параметрах и работе ЗВУ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Индикация режимов работы ЗПУ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Контрольно-измерительные приборы на лицевой стороне шкафа ЗПУ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Параметры, отображаемые на дисплее: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 Напряжение входной сети;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 Ток каждой фазы входной сети;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 Выходное напряжение ЗВУ;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 Напряжение АБ;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- Выходной ток ЗВУ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Нет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Дистанционная сигнализация «Общая неисправность»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Дистанционная сигнализация «Авария сети»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Дистанционная сигнализация «Низкое напряжение АБ»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Интеграция в АСУ ТП (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RS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485/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Modbus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en-US" w:bidi="ar-SA"/>
              </w:rPr>
              <w:t>RTU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Устройство контроля изоляции на шинах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5.19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Контроль состояния и положения коммутационных аппаратов на входе/выходе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Климатическое исполнение по ГОСТ 15150-69 – УХЛ4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0"/>
                <w:sz w:val="24"/>
                <w:szCs w:val="24"/>
                <w:lang w:val="ru-RU" w:bidi="ar-SA"/>
              </w:rPr>
              <w:t>Вид конструкции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Шкаф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Цвет корпуса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RAL 7035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Способ обслуживания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Односторонний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Степень защиты, по ГОСТ 14254-80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A"/>
                <w:kern w:val="0"/>
                <w:sz w:val="24"/>
                <w:szCs w:val="24"/>
                <w:lang w:val="ru-RU" w:bidi="ar-SA"/>
              </w:rPr>
              <w:t>IP20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Габаритные размеры ВхШхГ,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 xml:space="preserve"> не белее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 xml:space="preserve">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2000х800х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6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Необходимость наличия цоколя (высота),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Да, 100 мм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Срок службы,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Не менее 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Ввод кабеля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снизу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5.29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Подключение кабелей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снизу, через клеммы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kern w:val="0"/>
                <w:sz w:val="24"/>
                <w:szCs w:val="24"/>
                <w:lang w:val="ru-RU" w:bidi="ar-SA"/>
              </w:rPr>
              <w:t>Комплект поставки: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6.1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Эксплуатационная документация на русском языке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6.2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Сертификат</w:t>
            </w:r>
            <w:r>
              <w:rPr>
                <w:rFonts w:ascii="Liberation Serif" w:hAnsi="Liberation Serif"/>
                <w:bCs/>
                <w:kern w:val="0"/>
                <w:sz w:val="24"/>
                <w:szCs w:val="24"/>
                <w:lang w:bidi="ar-SA"/>
              </w:rPr>
              <w:t xml:space="preserve"> соответствия Техническому регламенту Таможенного союза ТР ТС 004/2011 «О безопасности низковольтного оборудования».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6.3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Техническое описание, инструкции по эксплуатации, электрические схемы главных и вспомогательных цепей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6.4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uppressAutoHyphens w:val="true"/>
              <w:spacing w:before="0" w:after="0"/>
              <w:ind w:left="2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bidi="ar-SA"/>
              </w:rPr>
              <w:t>Объем поставки ЗИП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Предохранители всех используемых номиналов в количестве 2 шт.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LibreOffice/7.6.7.2$Linux_X86_64 LibreOffice_project/dd47e4b30cb7dab30588d6c79c651f218165e3c5</Application>
  <AppVersion>15.0000</AppVersion>
  <Pages>5</Pages>
  <Words>887</Words>
  <Characters>5331</Characters>
  <CharactersWithSpaces>5959</CharactersWithSpaces>
  <Paragraphs>299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2026-07-08T16:37:43Z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