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suppressAutoHyphens w:val="true"/>
        <w:spacing w:before="0" w:after="0"/>
        <w:ind w:firstLine="567"/>
        <w:contextualSpacing/>
        <w:jc w:val="right"/>
        <w:rPr>
          <w:b w:val="false"/>
          <w:bCs w:val="false"/>
        </w:rPr>
      </w:pPr>
      <w:r>
        <w:rPr>
          <w:b w:val="false"/>
          <w:bCs w:val="false"/>
        </w:rPr>
        <w:t>Приложение 1</w:t>
      </w:r>
    </w:p>
    <w:p>
      <w:pPr>
        <w:pStyle w:val="Heading2"/>
        <w:keepNext w:val="false"/>
        <w:suppressAutoHyphens w:val="true"/>
        <w:spacing w:before="0" w:after="0"/>
        <w:ind w:firstLine="567"/>
        <w:contextualSpacing/>
        <w:jc w:val="center"/>
        <w:rPr>
          <w:bCs w:val="false"/>
        </w:rPr>
      </w:pPr>
      <w:r>
        <w:rPr>
          <w:bCs w:val="false"/>
        </w:rPr>
        <w:t xml:space="preserve">Опросный лист ЗВУ и аккумуляторной батареи </w:t>
      </w:r>
      <w:r>
        <w:rPr>
          <w:b/>
          <w:bCs w:val="false"/>
          <w:lang w:val="x-none" w:eastAsia="x-none"/>
        </w:rPr>
        <w:t xml:space="preserve">(в комлекте со стеллажами для установки АБ) </w:t>
      </w:r>
      <w:r>
        <w:rPr>
          <w:bCs w:val="false"/>
        </w:rPr>
        <w:t>ПС 35 кВ Западная</w:t>
      </w:r>
    </w:p>
    <w:p>
      <w:pPr>
        <w:pStyle w:val="Heading2"/>
        <w:keepNext w:val="false"/>
        <w:suppressAutoHyphens w:val="true"/>
        <w:spacing w:before="0" w:after="0"/>
        <w:ind w:firstLine="567"/>
        <w:contextualSpacing/>
        <w:jc w:val="both"/>
        <w:rPr>
          <w:bCs w:val="false"/>
          <w:iCs/>
        </w:rPr>
      </w:pPr>
      <w:r>
        <w:rPr>
          <w:bCs w:val="false"/>
          <w:iCs/>
        </w:rPr>
      </w:r>
    </w:p>
    <w:p>
      <w:pPr>
        <w:pStyle w:val="Heading2"/>
        <w:keepNext w:val="false"/>
        <w:numPr>
          <w:ilvl w:val="0"/>
          <w:numId w:val="2"/>
        </w:numPr>
        <w:suppressAutoHyphens w:val="true"/>
        <w:spacing w:before="0" w:after="0"/>
        <w:ind w:left="0" w:firstLine="567"/>
        <w:contextualSpacing/>
        <w:jc w:val="both"/>
        <w:rPr/>
      </w:pPr>
      <w:r>
        <w:rPr/>
        <w:t>Требования к ЗВУ:</w:t>
      </w:r>
    </w:p>
    <w:p>
      <w:pPr>
        <w:pStyle w:val="Normal"/>
        <w:suppressAutoHyphens w:val="true"/>
        <w:spacing w:before="0" w:after="0"/>
        <w:ind w:left="0" w:firstLine="567"/>
        <w:contextualSpacing/>
        <w:jc w:val="both"/>
        <w:rPr/>
      </w:pPr>
      <w:r>
        <w:rPr/>
      </w:r>
    </w:p>
    <w:p>
      <w:pPr>
        <w:pStyle w:val="Normal"/>
        <w:spacing w:before="0" w:after="0"/>
        <w:ind w:firstLine="567"/>
        <w:contextualSpacing/>
        <w:jc w:val="both"/>
        <w:rPr/>
      </w:pPr>
      <w:bookmarkStart w:id="0" w:name="_Hlk57728160"/>
      <w:r>
        <w:rPr/>
        <w:t>Таблица №2.1 – Технические требования к ЗВУ ПС</w:t>
      </w:r>
      <w:bookmarkEnd w:id="0"/>
      <w:r>
        <w:rPr/>
        <w:t xml:space="preserve"> 35 кВ Западная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025"/>
        <w:gridCol w:w="3907"/>
        <w:gridCol w:w="2582"/>
        <w:gridCol w:w="2690"/>
      </w:tblGrid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before="0" w:after="0"/>
              <w:ind w:left="0" w:right="-112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before="0" w:after="0"/>
              <w:ind w:left="0" w:right="0"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before="0" w:after="0"/>
              <w:ind w:left="0" w:righ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Заказчика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before="0" w:after="0"/>
              <w:ind w:left="0" w:righ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Участника</w:t>
            </w:r>
          </w:p>
        </w:tc>
      </w:tr>
      <w:tr>
        <w:trPr>
          <w:trHeight w:val="728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0" w:right="-112" w:hanging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зарядно-выпрямительного устройства, производитель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</w:t>
            </w:r>
            <w:bookmarkStart w:id="1" w:name="_GoBack"/>
            <w:bookmarkEnd w:id="1"/>
            <w:r>
              <w:rPr>
                <w:sz w:val="24"/>
                <w:szCs w:val="24"/>
              </w:rPr>
              <w:t>ЗП 60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220 -40/42 УХЛ4 – 2 шт.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0" w:right="-112" w:hanging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выпрямителя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Полностью управляемый тиристорный мост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0" w:right="-112" w:firstLine="567"/>
              <w:contextualSpacing/>
              <w:jc w:val="both"/>
              <w:rPr/>
            </w:pPr>
            <w:r>
              <w:rPr/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Электрические параметры: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Система питания от сети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3 – фазная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 ЗВУ основной части, 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 ЗВУ дополнительной части, 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переменного напряжения питания ЗВУ, Гц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>
              <w:rPr>
                <w:rFonts w:eastAsia="Symbol" w:cs="Symbol" w:ascii="Symbol" w:hAnsi="Symbol"/>
                <w:sz w:val="24"/>
                <w:szCs w:val="24"/>
                <w:lang w:val="en-US"/>
              </w:rPr>
              <w:sym w:font="Symbol" w:char="f0b1"/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Напряжения питания ЗВУ, В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400/38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rFonts w:eastAsia="Symbol" w:cs="Symbol" w:ascii="Symbol" w:hAnsi="Symbol"/>
                <w:sz w:val="24"/>
                <w:szCs w:val="24"/>
                <w:lang w:val="en-US"/>
              </w:rPr>
              <w:sym w:font="Symbol" w:char="f0b1"/>
            </w: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фаз напряжения питания ЗВУ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выходное напряжение ЗВУ основного канала, В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10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выходное напряжение ЗВУ дополнительного канала, В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11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Ограничение выходного тока , %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12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Диапазон регулирования выходного напряжения основного канала, В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150-280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13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регулирования выходного напряжения дополнительного канала, В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35-45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14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Стабильность выходного напряжения при ± 10 % колебаниях сетевого напряжения и 10‐100 % изменениях нагрузки, %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≤ </w:t>
            </w:r>
            <w:r>
              <w:rPr>
                <w:rFonts w:cs="Times New Roman" w:ascii="Times New Roman" w:hAnsi="Times New Roman"/>
                <w:color w:val="auto"/>
              </w:rPr>
              <w:t>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15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lang w:eastAsia="en-US"/>
              </w:rPr>
              <w:t>Пульсации выходного напряжения при работе на активную нагрузку с отключенной аккумуляторной батареей</w:t>
            </w:r>
            <w:r>
              <w:rPr>
                <w:rFonts w:cs="Times New Roman" w:ascii="Times New Roman" w:hAnsi="Times New Roman"/>
                <w:color w:val="auto"/>
              </w:rPr>
              <w:t xml:space="preserve">, %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≤ </w:t>
            </w:r>
            <w:r>
              <w:rPr>
                <w:rFonts w:cs="Times New Roman" w:ascii="Times New Roman" w:hAnsi="Times New Roman"/>
                <w:color w:val="auto"/>
              </w:rPr>
              <w:t>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>
          <w:trHeight w:val="391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16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Длительный ток нагрузки, 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60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17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Коэффициент полезного действия, %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Не менее 85%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>
          <w:trHeight w:val="456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18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Вид конструкции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Шкаф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>
          <w:trHeight w:val="405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19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Цвет корпуса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RAL7035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>
          <w:trHeight w:val="450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20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Способ обслуживания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Односторонний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21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Степень защиты, по ГОСТ 14254-80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lang w:val="en-US"/>
              </w:rPr>
              <w:t>IP20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cs="Times New Roman" w:ascii="Times New Roman" w:hAnsi="Times New Roman"/>
                <w:color w:val="auto"/>
                <w:lang w:val="en-US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22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Охлаждение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Естественная вентиляция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>
          <w:trHeight w:val="451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23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Режим работы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непрерывный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>
          <w:trHeight w:val="450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24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Диапазон рабочих температур,</w:t>
            </w:r>
            <w:r>
              <w:rPr>
                <w:vertAlign w:val="superscript"/>
              </w:rPr>
              <w:t xml:space="preserve"> о</w:t>
            </w:r>
            <w:r>
              <w:rPr/>
              <w:t>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+1…+50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25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Влажность окружающей среды (без конденсации), %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&lt; 95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26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Высота над уровнем моря, м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spacing w:before="0" w:after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≤ </w:t>
            </w:r>
            <w:r>
              <w:rPr>
                <w:rFonts w:cs="Times New Roman" w:ascii="Times New Roman" w:hAnsi="Times New Roman"/>
                <w:color w:val="auto"/>
              </w:rPr>
              <w:t>1000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0"/>
              <w:ind w:firstLine="56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27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размеры ВхШхГ, мм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28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Необходимость наличия цоколя (высота), мм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Да, 100 мм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3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29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службы, лет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30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установленный ресурс, час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31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Кратковременная  перегрузочная способность ЗВУ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ном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32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Длительная перегрузочная способность ЗВУ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 Iном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33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Интерфейс пользователя ЗВУ должен включать графический дисплей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34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микроконтроллерного комплекса автоматизации (МКА) модульного типа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35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Модули системы мониторинга должны быть одного производителя с ЗУ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36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состояния и положения коммутационных аппаратов на входе/выходе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37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 должно быть отделено от питающей сети разделительными трансформаторами (основная и дополнительная часть)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38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фаз основного/дополнительного ЗВУ заряда АБ (3/3)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39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 заряда дополнительной части не менее 40 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40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Питающий кабель для ЗВУ общий (основная и дополнительная части)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41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срабатывания защиты от токов внутренних и внешних коротких замыканий- не более 0,03с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42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Дополнительная часть ЗВУ должна иметь 3-х уровневый режим работы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22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43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Напольное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0" w:right="-112" w:firstLine="567"/>
              <w:contextualSpacing/>
              <w:jc w:val="both"/>
              <w:rPr/>
            </w:pPr>
            <w:r>
              <w:rPr/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Функциональные характеристики: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09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44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Термокомпенсация напряжения подзаряда АБ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Да, стандартно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49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45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Длина кабеля термодатчика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 xml:space="preserve">До </w:t>
            </w:r>
            <w:r>
              <w:rPr>
                <w:lang w:val="en-US"/>
              </w:rPr>
              <w:t>40</w:t>
            </w:r>
            <w:r>
              <w:rPr/>
              <w:t>м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46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Автоматическая блокировка режима заряда при отключенной вентиляции помещения АБ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Да, стандартно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47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Управление вентиляцией помещения АБ в режиме заряда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Нет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48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Параллельная работа ЗВУ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49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Индикация режимов работы ЗВУ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50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Контрольно-измерительные приборы на лицевой стороне шкафа ЗВУ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51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Тип приборов измерения выходного тока и напряжения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Цифровой, с точностью не менее 0.1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52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Параметры, отображаемые на дисплее: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 Напряжение входной сети;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 Ток каждой фазы входной сети;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 Выходное напряжение ЗВУ;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 Напряжение АБ;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 Выходной ток ЗВУ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 температура АБ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*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 xml:space="preserve">Да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53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Дистанционная сигнализация «Общая неисправность»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54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Дистанционная сигнализация «Авария сети»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55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Дистанционная сигнализация «Низкое напряжение АБ»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56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Интеграция в АСУ ТП (</w:t>
            </w:r>
            <w:r>
              <w:rPr>
                <w:lang w:val="en-US"/>
              </w:rPr>
              <w:t>RS</w:t>
            </w:r>
            <w:r>
              <w:rPr/>
              <w:t xml:space="preserve">485/ </w:t>
            </w:r>
            <w:r>
              <w:rPr>
                <w:lang w:val="en-US"/>
              </w:rPr>
              <w:t>Modbus</w:t>
            </w:r>
            <w:r>
              <w:rPr/>
              <w:t xml:space="preserve"> </w:t>
            </w:r>
            <w:r>
              <w:rPr>
                <w:lang w:val="en-US"/>
              </w:rPr>
              <w:t>RTU</w:t>
            </w:r>
            <w:r>
              <w:rPr/>
              <w:t>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57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Марка и сечение кабеля на вводе в ЗВУ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Да, ВВГнг 4х25 мм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58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Марка и сечение кабеля на выходе ЗВУ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Да, ВВГнг 4х25мм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59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Устройство контроля изоляции на шинах распределения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60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Контроль состояния и положения коммутационных аппаратов на входе/выходе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61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Климатическое исполнение по ГОСТ 15150-69 – УХЛ4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09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62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 xml:space="preserve">Расположение ввода АБ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Снизу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63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Расположение ввода отходящих линий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Снизу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64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Сечение кабеля на вводе устройства, мм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До 35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07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65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Сечение кабеля на вводе АБ, мм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До 35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519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66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Комплект поставки: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67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Питающий кабель для ЗВУ общий (основная и дополнительная части)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Нет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743" w:hRule="atLeast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68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 xml:space="preserve">Эксплуатационная документация на русском языке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 (в двух экземплярах)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69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  <w:r>
              <w:rPr>
                <w:bCs/>
                <w:sz w:val="24"/>
                <w:szCs w:val="24"/>
              </w:rPr>
              <w:t xml:space="preserve"> соответствия Техническому регламенту Таможенного союза ТР ТС 004/2011 «О безопасности низковольтного оборудования».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70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Паспорт, техническое описание, инструкции по эксплуатации, заводские протоколы испытаний, электрические схемы главных и вспомогательных цепей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 + копии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71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 на предлагаемое оборудование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spacing w:before="0" w:after="0"/>
              <w:ind w:left="57" w:right="-112" w:hanging="0"/>
              <w:contextualSpacing/>
              <w:jc w:val="center"/>
              <w:rPr/>
            </w:pPr>
            <w:r>
              <w:rPr/>
              <w:t>74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both"/>
              <w:rPr/>
            </w:pPr>
            <w:r>
              <w:rPr>
                <w:rStyle w:val="FontStyle20"/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Обучение оперативного и ремонтного персонала правилам использования и обслуживания АБ и ЗВУ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3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widowControl w:val="false"/>
              <w:spacing w:before="0" w:after="0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0"/>
        <w:ind w:left="0" w:right="0" w:firstLine="737"/>
        <w:contextualSpacing/>
        <w:jc w:val="both"/>
        <w:rPr/>
      </w:pPr>
      <w:r>
        <w:rPr/>
      </w:r>
    </w:p>
    <w:p>
      <w:pPr>
        <w:pStyle w:val="Normal"/>
        <w:spacing w:before="0" w:after="0"/>
        <w:ind w:firstLine="567"/>
        <w:contextualSpacing/>
        <w:jc w:val="both"/>
        <w:rPr/>
      </w:pPr>
      <w:r>
        <w:rPr/>
        <w:t>Примечания:</w:t>
      </w:r>
    </w:p>
    <w:p>
      <w:pPr>
        <w:pStyle w:val="Normal"/>
        <w:spacing w:before="0" w:after="0"/>
        <w:ind w:firstLine="567"/>
        <w:contextualSpacing/>
        <w:jc w:val="both"/>
        <w:rPr/>
      </w:pPr>
      <w:r>
        <w:rPr/>
        <w:t>1. Параметры, отмеченные *, должны быть представлены производителем.</w:t>
      </w:r>
    </w:p>
    <w:p>
      <w:pPr>
        <w:pStyle w:val="Normal"/>
        <w:spacing w:before="0" w:after="0"/>
        <w:ind w:firstLine="567"/>
        <w:contextualSpacing/>
        <w:jc w:val="both"/>
        <w:rPr/>
      </w:pPr>
      <w:r>
        <w:rPr/>
      </w:r>
    </w:p>
    <w:p>
      <w:pPr>
        <w:pStyle w:val="Normal"/>
        <w:spacing w:before="0" w:after="0"/>
        <w:ind w:firstLine="567"/>
        <w:contextualSpacing/>
        <w:jc w:val="both"/>
        <w:rPr/>
      </w:pPr>
      <w:r>
        <w:rPr/>
      </w:r>
    </w:p>
    <w:p>
      <w:pPr>
        <w:pStyle w:val="Heading2"/>
        <w:keepNext w:val="false"/>
        <w:suppressAutoHyphens w:val="true"/>
        <w:spacing w:before="0" w:after="0"/>
        <w:ind w:firstLine="567"/>
        <w:contextualSpacing/>
        <w:jc w:val="both"/>
        <w:rPr/>
      </w:pPr>
      <w:r>
        <w:rPr/>
        <w:t>Требования к АБ:</w:t>
      </w:r>
    </w:p>
    <w:p>
      <w:pPr>
        <w:pStyle w:val="Normal"/>
        <w:numPr>
          <w:ilvl w:val="2"/>
          <w:numId w:val="1"/>
        </w:numPr>
        <w:spacing w:before="0" w:after="0"/>
        <w:ind w:left="0" w:firstLine="567"/>
        <w:contextualSpacing/>
        <w:jc w:val="both"/>
        <w:rPr/>
      </w:pPr>
      <w:r>
        <w:rPr/>
        <w:t xml:space="preserve">АБ герметизированные, необслуживаемые, с клапаном регулирования </w:t>
      </w:r>
      <w:r>
        <w:rPr>
          <w:lang w:val="en-US"/>
        </w:rPr>
        <w:t>VRLA</w:t>
      </w:r>
      <w:r>
        <w:rPr/>
        <w:t xml:space="preserve">, </w:t>
      </w:r>
      <w:bookmarkStart w:id="2" w:name="_Hlk106957573"/>
      <w:r>
        <w:rPr/>
        <w:t xml:space="preserve">выполненные по </w:t>
      </w:r>
      <w:r>
        <w:rPr>
          <w:lang w:val="en-US"/>
        </w:rPr>
        <w:t>AGM</w:t>
      </w:r>
      <w:r>
        <w:rPr/>
        <w:t xml:space="preserve"> технологии</w:t>
      </w:r>
      <w:bookmarkEnd w:id="2"/>
      <w:r>
        <w:rPr/>
        <w:t>, в соответствии с ГОСТ Р МЭК 60896-22—2015.</w:t>
      </w:r>
    </w:p>
    <w:p>
      <w:pPr>
        <w:pStyle w:val="Normal"/>
        <w:numPr>
          <w:ilvl w:val="2"/>
          <w:numId w:val="1"/>
        </w:numPr>
        <w:spacing w:before="0" w:after="0"/>
        <w:ind w:left="0" w:firstLine="567"/>
        <w:contextualSpacing/>
        <w:jc w:val="both"/>
        <w:rPr/>
      </w:pPr>
      <w:r>
        <w:rPr/>
        <w:t>Номинальное напряжение аккумулятора: 2В</w:t>
      </w:r>
    </w:p>
    <w:p>
      <w:pPr>
        <w:pStyle w:val="Normal"/>
        <w:numPr>
          <w:ilvl w:val="2"/>
          <w:numId w:val="1"/>
        </w:numPr>
        <w:spacing w:before="0" w:after="0"/>
        <w:ind w:left="0" w:firstLine="567"/>
        <w:contextualSpacing/>
        <w:jc w:val="both"/>
        <w:rPr/>
      </w:pPr>
      <w:r>
        <w:rPr/>
        <w:t>Номинальная ёмкость АБ не менее 220 Ач (</w:t>
      </w:r>
      <w:r>
        <w:rPr>
          <w:lang w:val="en-US"/>
        </w:rPr>
        <w:t>C</w:t>
      </w:r>
      <w:r>
        <w:rPr>
          <w:vertAlign w:val="subscript"/>
        </w:rPr>
        <w:t>10</w:t>
      </w:r>
      <w:r>
        <w:rPr/>
        <w:t xml:space="preserve"> до 1,8В/элемент) и достаточная для обеспечения работоспособности всех потребителей постоянного оперативного тока на объектах, с учетом времени работы в аварийном режиме не менее 2 часов и наличием толчковой нагрузки в начале и в конце аварийного режима;</w:t>
      </w:r>
    </w:p>
    <w:p>
      <w:pPr>
        <w:pStyle w:val="Normal"/>
        <w:numPr>
          <w:ilvl w:val="2"/>
          <w:numId w:val="1"/>
        </w:numPr>
        <w:spacing w:before="0" w:after="0"/>
        <w:ind w:left="0" w:firstLine="567"/>
        <w:contextualSpacing/>
        <w:jc w:val="both"/>
        <w:rPr/>
      </w:pPr>
      <w:r>
        <w:rPr/>
        <w:t>Расположение выводов сверху;</w:t>
      </w:r>
    </w:p>
    <w:p>
      <w:pPr>
        <w:pStyle w:val="Normal"/>
        <w:numPr>
          <w:ilvl w:val="2"/>
          <w:numId w:val="1"/>
        </w:numPr>
        <w:spacing w:before="0" w:after="0"/>
        <w:ind w:left="0" w:firstLine="567"/>
        <w:contextualSpacing/>
        <w:jc w:val="both"/>
        <w:rPr/>
      </w:pPr>
      <w:r>
        <w:rPr/>
        <w:t>Комплект стеллажей.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both"/>
        <w:rPr/>
      </w:pPr>
      <w:r>
        <w:rPr/>
      </w:r>
    </w:p>
    <w:p>
      <w:pPr>
        <w:pStyle w:val="Normal"/>
        <w:spacing w:before="0" w:after="0"/>
        <w:ind w:firstLine="567"/>
        <w:contextualSpacing/>
        <w:jc w:val="both"/>
        <w:rPr/>
      </w:pPr>
      <w:r>
        <w:rPr/>
        <w:t xml:space="preserve">Таблица №1.2– Технические требования к аккумуляторной батарее ПС </w:t>
      </w:r>
      <w:r>
        <w:rPr/>
        <w:t>35</w:t>
      </w:r>
      <w:r>
        <w:rPr/>
        <w:t xml:space="preserve"> кВ </w:t>
      </w:r>
      <w:r>
        <w:rPr/>
        <w:t>Западная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noVBand="0" w:val="0000" w:noHBand="0" w:lastColumn="0" w:firstColumn="0" w:lastRow="0" w:firstRow="0"/>
      </w:tblPr>
      <w:tblGrid>
        <w:gridCol w:w="1069"/>
        <w:gridCol w:w="5104"/>
        <w:gridCol w:w="2015"/>
        <w:gridCol w:w="2016"/>
      </w:tblGrid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Технические характеристики</w:t>
            </w:r>
          </w:p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(наименование параметра)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Требование Заказчика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Предложение Участника</w:t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firstLine="567"/>
              <w:contextualSpacing/>
              <w:jc w:val="both"/>
              <w:rPr/>
            </w:pPr>
            <w:r>
              <w:rPr/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Основные технические характеристики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Изготовитель и тип АБ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АГН 2-220М или аналог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1.1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Расчетная емкость аккумулятора (элемента) С</w:t>
            </w:r>
            <w:r>
              <w:rPr>
                <w:vertAlign w:val="subscript"/>
              </w:rPr>
              <w:t>10</w:t>
            </w:r>
            <w:r>
              <w:rPr/>
              <w:t>, Ач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не менее</w:t>
            </w:r>
            <w:r>
              <w:rPr>
                <w:lang w:val="en-US"/>
              </w:rPr>
              <w:t xml:space="preserve"> </w:t>
            </w:r>
            <w:r>
              <w:rPr/>
              <w:t>220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58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1.2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Номинальное напряжение аккумулятора, 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502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1.3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Напряжение постоянного подзаряда, В/элемент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lang w:val="en-US"/>
              </w:rPr>
            </w:pPr>
            <w:r>
              <w:rPr/>
              <w:t>2,27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1.4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Допустимая величина пульсации по напряжению, не более, %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1%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49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1.5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Количество элементов в батарее, шт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120 элементов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1.6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Внутреннее сопротивление, не более, мОм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0,5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1.7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Режим работы аккумуляторов: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 кратковременный разряд большими токами,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 длительная нагрузка с отбором большой емкости,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 постоянный подзаряд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1.8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Разрядный ток при 3-часовом разряде до напряжения 1,8 В/эл, не менее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27"/>
              <w:contextualSpacing/>
              <w:jc w:val="center"/>
              <w:rPr/>
            </w:pPr>
            <w:r>
              <w:rPr/>
              <w:t>59,4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1.9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Разрядный ток при 1-часовом разряде до напряжения 1,8 В/эл, не менее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27"/>
              <w:contextualSpacing/>
              <w:jc w:val="center"/>
              <w:rPr/>
            </w:pPr>
            <w:r>
              <w:rPr/>
              <w:t>133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Технические требования к конструкции, изготовлению и материалам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center"/>
              <w:rPr/>
            </w:pPr>
            <w:r>
              <w:rPr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2.1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Конструктивное исполнение элемента: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 xml:space="preserve">Герметизированный с регулирующим клапаном, выполненный по </w:t>
            </w:r>
            <w:r>
              <w:rPr>
                <w:lang w:val="en-US"/>
              </w:rPr>
              <w:t>AGM</w:t>
            </w:r>
            <w:r>
              <w:rPr/>
              <w:t>-технологии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18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2.2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Конструкция положительного электрода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lang w:val="en-US"/>
              </w:rPr>
            </w:pPr>
            <w:r>
              <w:rPr/>
              <w:t>Намазная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2.3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Перемычка между элементами: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медные в исполнении под болтовое соединение элементов, изолированные, возможен замер напряжения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3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2.4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Габариты аккумулятора (дл/ш/в), не более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*/*/*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firstLine="243"/>
              <w:contextualSpacing/>
              <w:rPr/>
            </w:pPr>
            <w:r>
              <w:rPr/>
              <w:t xml:space="preserve">   </w:t>
            </w:r>
            <w:r>
              <w:rPr/>
              <w:t>2.5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Масса аккумулятора не менее, кг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lang w:val="en-US"/>
              </w:rPr>
            </w:pPr>
            <w:r>
              <w:rPr/>
              <w:t>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2.6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Выдерживаемое повышенное или пониженное давление по сравнению с атмосферным при герметизации в выводах, между крышкой и баком, пробкой при температуре 25</w:t>
            </w:r>
            <w:r>
              <w:rPr>
                <w:rFonts w:eastAsia="Symbol" w:cs="Symbol" w:ascii="Symbol" w:hAnsi="Symbol"/>
              </w:rPr>
              <w:sym w:font="Symbol" w:char="f0b1"/>
            </w:r>
            <w:r>
              <w:rPr/>
              <w:t xml:space="preserve">10 </w:t>
            </w:r>
            <w:r>
              <w:rPr>
                <w:rFonts w:eastAsia="Symbol" w:cs="Symbol" w:ascii="Symbol" w:hAnsi="Symbol"/>
              </w:rPr>
              <w:sym w:font="Symbol" w:char="f0b0"/>
            </w:r>
            <w:r>
              <w:rPr/>
              <w:t>С, не менее, кПа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2.7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Материал бака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lang w:val="en-US"/>
              </w:rPr>
            </w:pPr>
            <w:r>
              <w:rPr/>
              <w:t>Полипропилен (</w:t>
            </w:r>
            <w:r>
              <w:rPr>
                <w:lang w:val="en-US"/>
              </w:rPr>
              <w:t>PP)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>
                <w:lang w:val="en-US"/>
              </w:rPr>
            </w:pPr>
            <w:r>
              <w:rPr/>
              <w:t>2.</w:t>
            </w:r>
            <w:r>
              <w:rPr>
                <w:lang w:val="en-US"/>
              </w:rPr>
              <w:t>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Категория размещения и климатическое исполнение по ГОСТ 15150-69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УХЛ4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513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>
                <w:lang w:val="en-US"/>
              </w:rPr>
            </w:pPr>
            <w:r>
              <w:rPr/>
              <w:t>2.</w:t>
            </w:r>
            <w:r>
              <w:rPr>
                <w:lang w:val="en-US"/>
              </w:rPr>
              <w:t>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Высота установки над уровнем моря, м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до 1000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>
                <w:lang w:val="en-US"/>
              </w:rPr>
            </w:pPr>
            <w:r>
              <w:rPr/>
              <w:t>2.</w:t>
            </w:r>
            <w:r>
              <w:rPr>
                <w:lang w:val="en-US"/>
              </w:rPr>
              <w:t>10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Сейсмостойкость, баллов по шкале MSK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>
                <w:lang w:val="en-US"/>
              </w:rPr>
            </w:pPr>
            <w:r>
              <w:rPr/>
              <w:t>2.1</w:t>
            </w:r>
            <w:r>
              <w:rPr>
                <w:lang w:val="en-US"/>
              </w:rPr>
              <w:t>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 xml:space="preserve">Диапазон рабочих температур, </w:t>
            </w:r>
            <w:r>
              <w:rPr>
                <w:rFonts w:eastAsia="Symbol" w:cs="Symbol" w:ascii="Symbol" w:hAnsi="Symbol"/>
              </w:rPr>
              <w:sym w:font="Symbol" w:char="f0b0"/>
            </w:r>
            <w:r>
              <w:rPr/>
              <w:t>С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+5…+45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Требования по надежности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center"/>
              <w:rPr/>
            </w:pPr>
            <w:r>
              <w:rPr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48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3.1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Гарантийный срок эксплуатации, не менее, лет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3.2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Полный срок службы в режиме постоянного подзаряда, не менее, лет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3.3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Допустимый срок хранения аккумулятора от выпуска до приведения в рабочее состояние, не менее, месяцев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3.4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Периодичность и объем технического обслуживания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согласно инструкции и ПТЭ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Комплектность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4.1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Аккумуляторы заряженные, в собранном состоянии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4.2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Межэлементное соединение (перемычка) в сборе (болт, шайбы, полюсный наконечник, изолирующий колпачок) для болтового соединения, (да, нет)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32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4.3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Концевой вывод (пластина), да / нет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31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4.4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Кабельные наконечники, (да, нет)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4.6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Комплект самоклеящихся номерных знаков, (да, нет)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38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4.7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Комплект для монтажа аккумуляторов, (да, нет)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437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4.8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Комплект стеллажей для установки АБ (да, нет)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Да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4.9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 xml:space="preserve">Эксплуатационная документация на русском языке, экз. 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-техническое описание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-инструкция по монтажу аккумуляторов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-инструкция по эксплуатации аккумуляторов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-паспорт на аккумулятор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-рекомендации по сбору стеллажей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 экземпляра</w:t>
            </w:r>
          </w:p>
          <w:p>
            <w:pPr>
              <w:pStyle w:val="Normal"/>
              <w:widowControl w:val="false"/>
              <w:spacing w:before="0"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Маркировка, упаковка и консервация по ГОСТ 14192, ГОСТ 23216 и ГОСТ 15150-69 (да, нет)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да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144" w:hanging="0"/>
              <w:contextualSpacing/>
              <w:jc w:val="center"/>
              <w:rPr/>
            </w:pPr>
            <w:r>
              <w:rPr/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/>
              <w:t>Условия транспортирования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/>
            </w:pPr>
            <w:r>
              <w:rPr/>
              <w:t>Закрытым авто/жд транспортом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firstLine="567"/>
              <w:contextualSpacing/>
              <w:jc w:val="both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/>
        <w:t>*- Заполняет Участник</w:t>
      </w:r>
    </w:p>
    <w:sectPr>
      <w:type w:val="nextPage"/>
      <w:pgSz w:w="11906" w:h="16838"/>
      <w:pgMar w:left="1134" w:right="567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ISOCPEUR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  <w:rPr>
        <w:b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/>
    </w:lvl>
    <w:lvl w:ilvl="2">
      <w:start w:val="3"/>
      <w:numFmt w:val="bullet"/>
      <w:lvlText w:val="-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i w:val="false"/>
        <w:b w:val="false"/>
        <w:color w:val="000000"/>
      </w:rPr>
    </w:lvl>
    <w:lvl w:ilvl="3">
      <w:start w:val="1"/>
      <w:numFmt w:val="decimal"/>
      <w:lvlText w:val="6.%4."/>
      <w:lvlJc w:val="left"/>
      <w:pPr>
        <w:tabs>
          <w:tab w:val="num" w:pos="0"/>
        </w:tabs>
        <w:ind w:left="1080" w:hanging="720"/>
      </w:pPr>
      <w:rPr>
        <w:i w:val="false"/>
        <w:b w:val="false"/>
        <w:color w:val="000000"/>
      </w:rPr>
    </w:lvl>
    <w:lvl w:ilvl="4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2."/>
      <w:lvlJc w:val="left"/>
      <w:pPr>
        <w:tabs>
          <w:tab w:val="num" w:pos="0"/>
        </w:tabs>
        <w:ind w:left="2008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e3fb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rsid w:val="00de3fb9"/>
    <w:pPr>
      <w:keepNext w:val="true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de3fb9"/>
    <w:pPr>
      <w:keepNext w:val="true"/>
      <w:outlineLvl w:val="1"/>
    </w:pPr>
    <w:rPr>
      <w:b/>
      <w:bCs/>
    </w:rPr>
  </w:style>
  <w:style w:type="paragraph" w:styleId="Heading3">
    <w:name w:val="Heading 3"/>
    <w:basedOn w:val="Normal"/>
    <w:next w:val="Normal"/>
    <w:link w:val="3"/>
    <w:qFormat/>
    <w:rsid w:val="00de3fb9"/>
    <w:pPr>
      <w:keepNext w:val="true"/>
      <w:jc w:val="center"/>
      <w:outlineLvl w:val="2"/>
    </w:pPr>
    <w:rPr>
      <w:rFonts w:ascii="Arial" w:hAnsi="Arial" w:eastAsia="Arial Unicode MS" w:cs="Arial"/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de3fb9"/>
    <w:pPr>
      <w:keepNext w:val="true"/>
      <w:outlineLvl w:val="3"/>
    </w:pPr>
    <w:rPr>
      <w:b/>
      <w:i/>
      <w:sz w:val="26"/>
      <w:szCs w:val="28"/>
    </w:rPr>
  </w:style>
  <w:style w:type="paragraph" w:styleId="Heading6">
    <w:name w:val="Heading 6"/>
    <w:basedOn w:val="Normal"/>
    <w:next w:val="Normal"/>
    <w:qFormat/>
    <w:rsid w:val="00de3fb9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de3fb9"/>
    <w:pPr>
      <w:spacing w:before="240" w:after="60"/>
      <w:outlineLvl w:val="7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de3fb9"/>
    <w:rPr>
      <w:color w:val="0000FF"/>
      <w:u w:val="single"/>
    </w:rPr>
  </w:style>
  <w:style w:type="character" w:styleId="1" w:customStyle="1">
    <w:name w:val="Пункт Знак1"/>
    <w:link w:val="Style12"/>
    <w:qFormat/>
    <w:rsid w:val="00ee70a1"/>
    <w:rPr>
      <w:sz w:val="28"/>
      <w:lang w:val="ru-RU" w:eastAsia="ru-RU" w:bidi="ar-SA"/>
    </w:rPr>
  </w:style>
  <w:style w:type="character" w:styleId="3" w:customStyle="1">
    <w:name w:val="Заголовок 3 Знак"/>
    <w:qFormat/>
    <w:rsid w:val="0012643e"/>
    <w:rPr>
      <w:rFonts w:ascii="Arial" w:hAnsi="Arial" w:eastAsia="Arial Unicode MS" w:cs="Arial"/>
      <w:b/>
      <w:bCs/>
    </w:rPr>
  </w:style>
  <w:style w:type="character" w:styleId="Style3" w:customStyle="1">
    <w:name w:val="Основной текст с отступом Знак"/>
    <w:qFormat/>
    <w:rsid w:val="0012643e"/>
    <w:rPr>
      <w:b/>
      <w:bCs/>
      <w:i/>
      <w:iCs/>
      <w:sz w:val="24"/>
      <w:szCs w:val="24"/>
    </w:rPr>
  </w:style>
  <w:style w:type="character" w:styleId="Style4" w:customStyle="1">
    <w:name w:val="Текст сноски Знак"/>
    <w:basedOn w:val="DefaultParagraphFont"/>
    <w:qFormat/>
    <w:rsid w:val="00114733"/>
    <w:rPr/>
  </w:style>
  <w:style w:type="character" w:styleId="Style5">
    <w:name w:val="Символ сноски"/>
    <w:uiPriority w:val="99"/>
    <w:qFormat/>
    <w:rsid w:val="0011473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uiPriority w:val="99"/>
    <w:unhideWhenUsed/>
    <w:qFormat/>
    <w:rsid w:val="00a97bc6"/>
    <w:rPr>
      <w:sz w:val="16"/>
      <w:szCs w:val="16"/>
    </w:rPr>
  </w:style>
  <w:style w:type="character" w:styleId="Style6" w:customStyle="1">
    <w:name w:val="Текст примечания Знак"/>
    <w:link w:val="Annotationtext"/>
    <w:uiPriority w:val="99"/>
    <w:qFormat/>
    <w:rsid w:val="00a97bc6"/>
    <w:rPr>
      <w:lang w:eastAsia="ar-SA"/>
    </w:rPr>
  </w:style>
  <w:style w:type="character" w:styleId="31" w:customStyle="1">
    <w:name w:val="Основной текст 3 Знак"/>
    <w:basedOn w:val="DefaultParagraphFont"/>
    <w:link w:val="BodyText3"/>
    <w:qFormat/>
    <w:rsid w:val="00471ce8"/>
    <w:rPr>
      <w:sz w:val="16"/>
      <w:szCs w:val="16"/>
    </w:rPr>
  </w:style>
  <w:style w:type="character" w:styleId="FontStyle20" w:customStyle="1">
    <w:name w:val="Font Style20"/>
    <w:uiPriority w:val="99"/>
    <w:qFormat/>
    <w:rsid w:val="00471ce8"/>
    <w:rPr>
      <w:rFonts w:ascii="Arial" w:hAnsi="Arial" w:cs="Arial"/>
      <w:sz w:val="20"/>
      <w:szCs w:val="20"/>
    </w:rPr>
  </w:style>
  <w:style w:type="character" w:styleId="Style7" w:customStyle="1">
    <w:name w:val="Таблица шапка Знак"/>
    <w:link w:val="Style17"/>
    <w:qFormat/>
    <w:locked/>
    <w:rsid w:val="00471ce8"/>
    <w:rPr>
      <w:sz w:val="22"/>
    </w:rPr>
  </w:style>
  <w:style w:type="character" w:styleId="Style8" w:customStyle="1">
    <w:name w:val="Таблица текст Знак"/>
    <w:link w:val="Style16"/>
    <w:qFormat/>
    <w:locked/>
    <w:rsid w:val="00471ce8"/>
    <w:rPr>
      <w:sz w:val="24"/>
      <w:szCs w:val="24"/>
    </w:rPr>
  </w:style>
  <w:style w:type="character" w:styleId="Style9" w:customStyle="1">
    <w:name w:val="Тема примечания Знак"/>
    <w:basedOn w:val="Style6"/>
    <w:link w:val="Annotationsubject"/>
    <w:semiHidden/>
    <w:qFormat/>
    <w:rsid w:val="0035150d"/>
    <w:rPr>
      <w:b/>
      <w:bCs/>
      <w:lang w:eastAsia="ar-SA"/>
    </w:rPr>
  </w:style>
  <w:style w:type="character" w:styleId="Emphasis">
    <w:name w:val="Emphasis"/>
    <w:basedOn w:val="DefaultParagraphFont"/>
    <w:qFormat/>
    <w:rsid w:val="00e2637c"/>
    <w:rPr>
      <w:i/>
      <w:iCs/>
    </w:rPr>
  </w:style>
  <w:style w:type="character" w:styleId="FontStyle19" w:customStyle="1">
    <w:name w:val="Font Style19"/>
    <w:basedOn w:val="DefaultParagraphFont"/>
    <w:uiPriority w:val="99"/>
    <w:qFormat/>
    <w:rsid w:val="007d6a9d"/>
    <w:rPr>
      <w:rFonts w:ascii="Times New Roman" w:hAnsi="Times New Roman" w:cs="Times New Roman"/>
      <w:b/>
      <w:bCs/>
      <w:sz w:val="22"/>
      <w:szCs w:val="22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rsid w:val="00de3fb9"/>
    <w:pPr>
      <w:jc w:val="right"/>
    </w:pPr>
    <w:rPr>
      <w:sz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de3fb9"/>
    <w:pPr>
      <w:spacing w:lineRule="auto" w:line="360" w:before="60" w:after="0"/>
      <w:jc w:val="both"/>
    </w:pPr>
    <w:rPr>
      <w:sz w:val="28"/>
    </w:rPr>
  </w:style>
  <w:style w:type="paragraph" w:styleId="BodyTextIndent">
    <w:name w:val="Body Text Indent"/>
    <w:basedOn w:val="Normal"/>
    <w:link w:val="Style3"/>
    <w:rsid w:val="00de3fb9"/>
    <w:pPr>
      <w:ind w:firstLine="540"/>
      <w:jc w:val="both"/>
    </w:pPr>
    <w:rPr>
      <w:b/>
      <w:bCs/>
      <w:i/>
      <w:iCs/>
    </w:rPr>
  </w:style>
  <w:style w:type="paragraph" w:styleId="BodyTextIndent2">
    <w:name w:val="Body Text Indent 2"/>
    <w:basedOn w:val="Normal"/>
    <w:qFormat/>
    <w:rsid w:val="00de3fb9"/>
    <w:pPr>
      <w:ind w:firstLine="240"/>
      <w:jc w:val="both"/>
    </w:pPr>
    <w:rPr/>
  </w:style>
  <w:style w:type="paragraph" w:styleId="BodyTextIndent3">
    <w:name w:val="Body Text Indent 3"/>
    <w:basedOn w:val="Normal"/>
    <w:qFormat/>
    <w:rsid w:val="00de3fb9"/>
    <w:pPr>
      <w:ind w:firstLine="360"/>
      <w:jc w:val="both"/>
    </w:pPr>
    <w:rPr/>
  </w:style>
  <w:style w:type="paragraph" w:styleId="Style12" w:customStyle="1">
    <w:name w:val="Пункт"/>
    <w:basedOn w:val="Normal"/>
    <w:link w:val="1"/>
    <w:qFormat/>
    <w:rsid w:val="00ee70a1"/>
    <w:pPr>
      <w:tabs>
        <w:tab w:val="clear" w:pos="708"/>
        <w:tab w:val="left" w:pos="1844" w:leader="none"/>
      </w:tabs>
      <w:spacing w:lineRule="auto" w:line="360"/>
      <w:ind w:left="1844" w:hanging="1134"/>
      <w:jc w:val="both"/>
    </w:pPr>
    <w:rPr>
      <w:sz w:val="28"/>
      <w:szCs w:val="20"/>
    </w:rPr>
  </w:style>
  <w:style w:type="paragraph" w:styleId="Style13" w:customStyle="1">
    <w:name w:val="Подпункт"/>
    <w:basedOn w:val="Style12"/>
    <w:qFormat/>
    <w:rsid w:val="00ee70a1"/>
    <w:pPr>
      <w:tabs>
        <w:tab w:val="clear" w:pos="1844"/>
        <w:tab w:val="left" w:pos="360" w:leader="none"/>
        <w:tab w:val="left" w:pos="2880" w:leader="none"/>
      </w:tabs>
      <w:ind w:left="360" w:hanging="360"/>
    </w:pPr>
    <w:rPr/>
  </w:style>
  <w:style w:type="paragraph" w:styleId="Style14" w:customStyle="1">
    <w:name w:val="Подподпункт"/>
    <w:basedOn w:val="Style13"/>
    <w:qFormat/>
    <w:rsid w:val="00ee70a1"/>
    <w:pPr>
      <w:tabs>
        <w:tab w:val="clear" w:pos="2880"/>
        <w:tab w:val="left" w:pos="360" w:leader="none"/>
        <w:tab w:val="left" w:pos="3600" w:leader="none"/>
      </w:tabs>
    </w:pPr>
    <w:rPr/>
  </w:style>
  <w:style w:type="paragraph" w:styleId="Style15" w:customStyle="1">
    <w:name w:val="Знак"/>
    <w:basedOn w:val="Normal"/>
    <w:qFormat/>
    <w:rsid w:val="003c1df2"/>
    <w:pPr>
      <w:tabs>
        <w:tab w:val="clear" w:pos="708"/>
        <w:tab w:val="left" w:pos="360" w:leader="none"/>
      </w:tabs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qFormat/>
    <w:rsid w:val="00c342de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506e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FootnoteText">
    <w:name w:val="Footnote Text"/>
    <w:basedOn w:val="Normal"/>
    <w:link w:val="Style4"/>
    <w:rsid w:val="00114733"/>
    <w:pPr/>
    <w:rPr>
      <w:sz w:val="20"/>
      <w:szCs w:val="20"/>
    </w:rPr>
  </w:style>
  <w:style w:type="paragraph" w:styleId="Msonormalcxspmiddle" w:customStyle="1">
    <w:name w:val="msonormalcxspmiddle"/>
    <w:basedOn w:val="Normal"/>
    <w:qFormat/>
    <w:rsid w:val="002711a7"/>
    <w:pPr>
      <w:spacing w:beforeAutospacing="1" w:afterAutospacing="1"/>
    </w:pPr>
    <w:rPr/>
  </w:style>
  <w:style w:type="paragraph" w:styleId="Annotationtext">
    <w:name w:val="annotation text"/>
    <w:basedOn w:val="Normal"/>
    <w:link w:val="Style6"/>
    <w:uiPriority w:val="99"/>
    <w:unhideWhenUsed/>
    <w:qFormat/>
    <w:rsid w:val="00a97bc6"/>
    <w:pPr/>
    <w:rPr>
      <w:sz w:val="20"/>
      <w:szCs w:val="20"/>
      <w:lang w:eastAsia="ar-SA"/>
    </w:rPr>
  </w:style>
  <w:style w:type="paragraph" w:styleId="BodyText3">
    <w:name w:val="Body Text 3"/>
    <w:basedOn w:val="Normal"/>
    <w:link w:val="31"/>
    <w:qFormat/>
    <w:rsid w:val="00471ce8"/>
    <w:pPr>
      <w:spacing w:before="0" w:after="120"/>
    </w:pPr>
    <w:rPr>
      <w:sz w:val="16"/>
      <w:szCs w:val="16"/>
    </w:rPr>
  </w:style>
  <w:style w:type="paragraph" w:styleId="Default" w:customStyle="1">
    <w:name w:val="Default"/>
    <w:qFormat/>
    <w:rsid w:val="00471ce8"/>
    <w:pPr>
      <w:widowControl/>
      <w:suppressAutoHyphens w:val="true"/>
      <w:bidi w:val="0"/>
      <w:spacing w:before="0" w:after="0"/>
      <w:jc w:val="left"/>
    </w:pPr>
    <w:rPr>
      <w:rFonts w:ascii="ISOCPEUR" w:hAnsi="ISOCPEUR" w:eastAsia="Times New Roman" w:cs="ISOCPEUR"/>
      <w:color w:val="000000"/>
      <w:kern w:val="0"/>
      <w:sz w:val="24"/>
      <w:szCs w:val="24"/>
      <w:lang w:val="ru-RU" w:eastAsia="ru-RU" w:bidi="ar-SA"/>
    </w:rPr>
  </w:style>
  <w:style w:type="paragraph" w:styleId="Style16" w:customStyle="1">
    <w:name w:val="Таблица текст"/>
    <w:basedOn w:val="Normal"/>
    <w:link w:val="Style8"/>
    <w:qFormat/>
    <w:rsid w:val="00471ce8"/>
    <w:pPr>
      <w:spacing w:before="40" w:after="40"/>
      <w:ind w:left="57" w:right="57" w:hanging="0"/>
    </w:pPr>
    <w:rPr/>
  </w:style>
  <w:style w:type="paragraph" w:styleId="Style17" w:customStyle="1">
    <w:name w:val="Таблица шапка"/>
    <w:basedOn w:val="Normal"/>
    <w:link w:val="Style7"/>
    <w:qFormat/>
    <w:rsid w:val="00471ce8"/>
    <w:pPr>
      <w:keepNext w:val="true"/>
      <w:spacing w:before="40" w:after="40"/>
      <w:ind w:left="57" w:right="57" w:hanging="0"/>
    </w:pPr>
    <w:rPr>
      <w:sz w:val="22"/>
      <w:szCs w:val="20"/>
    </w:rPr>
  </w:style>
  <w:style w:type="paragraph" w:styleId="Annotationsubject">
    <w:name w:val="annotation subject"/>
    <w:basedOn w:val="Annotationtext"/>
    <w:next w:val="Annotationtext"/>
    <w:link w:val="Style9"/>
    <w:semiHidden/>
    <w:unhideWhenUsed/>
    <w:qFormat/>
    <w:rsid w:val="0035150d"/>
    <w:pPr/>
    <w:rPr>
      <w:b/>
      <w:bCs/>
      <w:lang w:eastAsia="ru-RU"/>
    </w:rPr>
  </w:style>
  <w:style w:type="paragraph" w:styleId="Style18" w:customStyle="1">
    <w:name w:val="Ариал Таблица"/>
    <w:basedOn w:val="Normal"/>
    <w:qFormat/>
    <w:rsid w:val="007d6a9d"/>
    <w:pPr>
      <w:jc w:val="both"/>
    </w:pPr>
    <w:rPr>
      <w:rFonts w:ascii="Arial" w:hAnsi="Arial" w:cs="Arial"/>
      <w:szCs w:val="20"/>
    </w:rPr>
  </w:style>
  <w:style w:type="paragraph" w:styleId="Style51" w:customStyle="1">
    <w:name w:val="Style5"/>
    <w:basedOn w:val="Normal"/>
    <w:uiPriority w:val="99"/>
    <w:qFormat/>
    <w:rsid w:val="007d6a9d"/>
    <w:pPr>
      <w:widowControl w:val="false"/>
      <w:spacing w:lineRule="exact" w:line="250"/>
      <w:jc w:val="center"/>
    </w:pPr>
    <w:rPr/>
  </w:style>
  <w:style w:type="paragraph" w:styleId="Style121" w:customStyle="1">
    <w:name w:val="Style12"/>
    <w:basedOn w:val="Normal"/>
    <w:uiPriority w:val="99"/>
    <w:qFormat/>
    <w:rsid w:val="007d6a9d"/>
    <w:pPr>
      <w:widowControl w:val="false"/>
      <w:spacing w:lineRule="exact" w:line="418"/>
      <w:ind w:hanging="355"/>
    </w:pPr>
    <w:rPr/>
  </w:style>
  <w:style w:type="paragraph" w:styleId="Style31" w:customStyle="1">
    <w:name w:val="Style3"/>
    <w:basedOn w:val="Normal"/>
    <w:uiPriority w:val="99"/>
    <w:qFormat/>
    <w:rsid w:val="007d6a9d"/>
    <w:pPr>
      <w:widowControl w:val="false"/>
      <w:spacing w:lineRule="exact" w:line="283"/>
    </w:pPr>
    <w:rPr/>
  </w:style>
  <w:style w:type="paragraph" w:styleId="Style91" w:customStyle="1">
    <w:name w:val="Style9"/>
    <w:basedOn w:val="Normal"/>
    <w:uiPriority w:val="99"/>
    <w:qFormat/>
    <w:rsid w:val="007d6a9d"/>
    <w:pPr>
      <w:widowControl w:val="false"/>
    </w:pPr>
    <w:rPr/>
  </w:style>
  <w:style w:type="paragraph" w:styleId="Style21" w:customStyle="1">
    <w:name w:val="Style2"/>
    <w:basedOn w:val="Normal"/>
    <w:uiPriority w:val="99"/>
    <w:qFormat/>
    <w:rsid w:val="007d6a9d"/>
    <w:pPr>
      <w:widowControl w:val="false"/>
    </w:pPr>
    <w:rPr/>
  </w:style>
  <w:style w:type="paragraph" w:styleId="Style101" w:customStyle="1">
    <w:name w:val="Style10"/>
    <w:basedOn w:val="Normal"/>
    <w:uiPriority w:val="99"/>
    <w:qFormat/>
    <w:rsid w:val="007d6a9d"/>
    <w:pPr>
      <w:widowControl w:val="false"/>
    </w:pPr>
    <w:rPr>
      <w:rFonts w:eastAsia="" w:eastAsiaTheme="minorEastAsia"/>
    </w:rPr>
  </w:style>
  <w:style w:type="paragraph" w:styleId="Formattext" w:customStyle="1">
    <w:name w:val="formattext"/>
    <w:basedOn w:val="Normal"/>
    <w:qFormat/>
    <w:rsid w:val="007b11e3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rsid w:val="00535b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1E0F9-14F8-40D8-B30A-9D9EDC72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Application>AlterOffice/3.4.0.6$Linux_X86_64 LibreOffice_project/ad8c41dce69105450bf791d4900d64b1f82e10d0</Application>
  <AppVersion>15.0000</AppVersion>
  <Pages>6</Pages>
  <Words>1208</Words>
  <Characters>7141</Characters>
  <CharactersWithSpaces>7981</CharactersWithSpaces>
  <Paragraphs>379</Paragraphs>
  <Company>ОАО Амурэнерго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2023-07-11T01:57:00Z</dcterms:created>
  <dc:creator>user1</dc:creator>
  <dc:description/>
  <dc:language>ru-RU</dc:language>
  <cp:lastModifiedBy>filipenko_gv</cp:lastModifiedBy>
  <cp:lastPrinted>2021-12-16T05:49:00Z</cp:lastPrinted>
  <dcterms:modified xsi:type="dcterms:W3CDTF">2026-07-06T16:22:40Z</dcterms:modified>
  <cp:revision>22</cp:revision>
  <dc:subject/>
  <dc:title>Открытое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