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Приложение № 1.1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6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tabs>
          <w:tab w:val="clear" w:pos="708"/>
          <w:tab w:val="left" w:pos="360" w:leader="none"/>
        </w:tabs>
        <w:ind w:left="0" w:firstLine="567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– характеристики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Блока 110 кВ РГНП-2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left="0"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201"/>
        <w:gridCol w:w="2375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ind w:left="0" w:hanging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Блок 110 кВ РГНП-2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18"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21" w:right="64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23" w:right="65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23" w:right="65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54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340" w:right="113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Блок 110 кВ РГНП-1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сборе с металлоконструкциями и оборудованием: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Разъединитель трёхполюсный 110 кВ с двумя комплектами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заземляющих ножей РГНП.1а-110/1000/40 УХЛ1, Iном=1000 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Iтерм=40 кА, Iдин=100 кА, привод главных и заземляющих ножей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ручной ПРГ-6 УХЛ1,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H=2800 мм,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лоток металлический кабельный,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18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9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6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9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340" w:right="227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3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3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34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4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1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4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1" w:hanging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bidi w:val="0"/>
              <w:ind w:left="0" w:right="0" w:hanging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/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7124169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9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0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15" w:customStyle="1">
    <w:name w:val="Таблица текст"/>
    <w:basedOn w:val="Normal"/>
    <w:qFormat/>
    <w:rsid w:val="003f0860"/>
    <w:pPr>
      <w:widowControl/>
      <w:spacing w:before="40" w:after="40"/>
      <w:ind w:left="57" w:right="57" w:hanging="0"/>
    </w:pPr>
    <w:rPr>
      <w:sz w:val="24"/>
      <w:szCs w:val="24"/>
    </w:rPr>
  </w:style>
  <w:style w:type="paragraph" w:styleId="Style16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 w:hanging="0"/>
    </w:pPr>
    <w:rPr>
      <w:sz w:val="22"/>
    </w:rPr>
  </w:style>
  <w:style w:type="paragraph" w:styleId="Style17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 w:hanging="0"/>
      <w:contextualSpacing/>
    </w:pPr>
    <w:rPr>
      <w:sz w:val="24"/>
      <w:szCs w:val="24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>
      <w:rFonts w:eastAsia="Calibri"/>
    </w:rPr>
  </w:style>
  <w:style w:type="paragraph" w:styleId="Style22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AlterOffice/3.3.0.4$Linux_X86_64 LibreOffice_project/fa736b558560ebea8f92088bfd7720f4b3918f3f</Application>
  <AppVersion>15.0000</AppVersion>
  <Pages>3</Pages>
  <Words>478</Words>
  <Characters>2928</Characters>
  <CharactersWithSpaces>3257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>korneev_ds</cp:lastModifiedBy>
  <dcterms:modified xsi:type="dcterms:W3CDTF">2026-07-10T14:05:59Z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