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Приложение № 1.8.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Блока 35 кВ ШО-3,6-1,0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0" w:left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ШО-3,6-1,0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 35 кВ ШО-3,6-1,0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шинная опора ШОП-35 кВ УХЛ1 в комплекте с шинодержателем для жесткой ошиновки D 80х5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изолятор ОСК-5-35-А-3 УХЛ1 (в составе ШОП -35),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 3600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LibreOffice/7.6.7.2$Linux_X86_64 LibreOffice_project/dd47e4b30cb7dab30588d6c79c651f218165e3c5</Application>
  <AppVersion>15.0000</AppVersion>
  <Pages>3</Pages>
  <Words>473</Words>
  <Characters>2855</Characters>
  <CharactersWithSpaces>3184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2026-07-09T18:44:29Z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