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Приложение № 1.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5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Б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110 кВ ШО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ШО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лок 110 кВ ШО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- Шинная опора 110 кВ ШОП-110-УХЛ1 в комплекте 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шинодержателем для жёсткой ошиновки (О 105х5 мм),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изолятор ОСК-10/110-А-3 УХЛ1 (в составе ШОП)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 xml:space="preserve">- металлоконструкции H= 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50</w:t>
            </w: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C9211E"/>
              </w:rPr>
            </w:pPr>
            <w:r>
              <w:rPr>
                <w:rFonts w:ascii="Liberation Serif" w:hAnsi="Liberation Serif"/>
                <w:color w:val="C9211E"/>
                <w:sz w:val="24"/>
                <w:szCs w:val="24"/>
              </w:rPr>
              <w:t>9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C9211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C9211E"/>
              </w:rPr>
            </w:pPr>
            <w:r>
              <w:rPr>
                <w:rFonts w:cs="Times New Roman" w:ascii="Liberation Serif" w:hAnsi="Liberation Serif"/>
                <w:color w:val="C9211E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LibreOffice/7.6.7.2$Linux_X86_64 LibreOffice_project/dd47e4b30cb7dab30588d6c79c651f218165e3c5</Application>
  <AppVersion>15.0000</AppVersion>
  <Pages>3</Pages>
  <Words>472</Words>
  <Characters>2843</Characters>
  <CharactersWithSpaces>3170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2026-07-09T17:48:49Z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