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Приложение № 1.2.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характеристики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Б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лока 110 кВ ШО и ОПН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025"/>
        <w:gridCol w:w="2551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Б</w:t>
            </w: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лок 110 кВ ШО и ОПН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21" w:right="64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4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113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Блок 110 кВ ШО и ОПН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в сборе с металлоконструкциями и оборудованием: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Ограничитель перенапряжений 110 кВ ОПН-ВЛ-П1-110/77/10/1,36 IV УХЛ1,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Шинная опора 110 кВ ШОП-110-УХЛ1 в комплекте с арматурой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для крепления одного провода в фазу АС-120/19,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датчик тока ДТУ-0,3,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регистратор срабатывания ИТ-Д 2.03,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металлоконструкции H= 3500 мм,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227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4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rPr>
          <w:color w:val="000000"/>
        </w:rPr>
      </w:pPr>
      <w:r>
        <w:rPr>
          <w:rFonts w:ascii="Liberation Serif" w:hAnsi="Liberation Serif"/>
          <w:color w:val="000000"/>
          <w:sz w:val="24"/>
          <w:szCs w:val="24"/>
        </w:rPr>
        <w:t>Примечание * - заполняется участником</w:t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LibreOffice/7.6.7.2$Linux_X86_64 LibreOffice_project/dd47e4b30cb7dab30588d6c79c651f218165e3c5</Application>
  <AppVersion>15.0000</AppVersion>
  <Pages>3</Pages>
  <Words>505</Words>
  <Characters>3007</Characters>
  <CharactersWithSpaces>3357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2026-07-09T17:34:53Z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