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03F2E" w:rsidRDefault="006670BB">
      <w:pPr>
        <w:keepNext/>
        <w:keepLines/>
        <w:spacing w:before="5400" w:after="24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 НА ПОСТАВКУ МТР</w:t>
      </w:r>
    </w:p>
    <w:p w:rsidR="00E03F2E" w:rsidRDefault="006670BB">
      <w:pPr>
        <w:keepNext/>
        <w:keepLines/>
        <w:spacing w:after="0"/>
        <w:jc w:val="center"/>
      </w:pPr>
      <w:r>
        <w:rPr>
          <w:rFonts w:ascii="Times New Roman" w:eastAsia="Calibri" w:hAnsi="Times New Roman" w:cs="Times New Roman"/>
          <w:caps/>
          <w:sz w:val="24"/>
          <w:szCs w:val="24"/>
          <w:lang w:eastAsia="ru-RU"/>
        </w:rPr>
        <w:t>ОКПД2 28.99.39.190 Поставка мнемонического щита управления</w:t>
      </w:r>
    </w:p>
    <w:p w:rsidR="00E03F2E" w:rsidRDefault="006670BB">
      <w:pPr>
        <w:keepNext/>
        <w:keepLines/>
        <w:spacing w:after="0"/>
        <w:jc w:val="center"/>
      </w:pPr>
      <w:r>
        <w:rPr>
          <w:rFonts w:ascii="Times New Roman" w:eastAsia="Calibri" w:hAnsi="Times New Roman" w:cs="Times New Roman"/>
          <w:caps/>
          <w:sz w:val="24"/>
          <w:szCs w:val="24"/>
          <w:lang w:eastAsia="ru-RU"/>
        </w:rPr>
        <w:t>ДЛЯ ЧИРКЕЙСКОЙ ГЭС в РЕСПУБЛИКЕ ДАГЕСТАН С. ЧИРКЕЙ</w:t>
      </w:r>
    </w:p>
    <w:p w:rsidR="00E03F2E" w:rsidRDefault="006670BB">
      <w:pPr>
        <w:spacing w:before="240" w:after="0" w:line="240" w:lineRule="auto"/>
        <w:jc w:val="center"/>
      </w:pPr>
      <w:r>
        <w:rPr>
          <w:rFonts w:ascii="Times New Roman" w:eastAsia="Calibri" w:hAnsi="Times New Roman" w:cs="Times New Roman"/>
          <w:sz w:val="24"/>
          <w:szCs w:val="24"/>
        </w:rPr>
        <w:t>Лот № 00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00"/>
        </w:rPr>
        <w:t>35</w:t>
      </w:r>
      <w:r>
        <w:rPr>
          <w:rFonts w:ascii="Times New Roman" w:eastAsia="Calibri" w:hAnsi="Times New Roman" w:cs="Times New Roman"/>
          <w:sz w:val="24"/>
          <w:szCs w:val="24"/>
        </w:rPr>
        <w:t>-ТПиР ИТ ДОХ-2026-РГЦР</w:t>
      </w:r>
      <w:r>
        <w:br w:type="page"/>
      </w:r>
    </w:p>
    <w:p w:rsidR="00E03F2E" w:rsidRDefault="006670BB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СОДЕРЖАНИЕ</w:t>
      </w:r>
    </w:p>
    <w:sdt>
      <w:sdtPr>
        <w:id w:val="-932132550"/>
        <w:docPartObj>
          <w:docPartGallery w:val="Table of Contents"/>
          <w:docPartUnique/>
        </w:docPartObj>
      </w:sdtPr>
      <w:sdtEndPr/>
      <w:sdtContent>
        <w:p w:rsidR="00E03F2E" w:rsidRDefault="006670B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r>
            <w:fldChar w:fldCharType="begin"/>
          </w:r>
          <w:r>
            <w:rPr>
              <w:rStyle w:val="afff4"/>
              <w:rFonts w:eastAsia="Calibri" w:cs="Times New Roman"/>
              <w:webHidden/>
              <w:lang w:val="x-none" w:eastAsia="x-none"/>
            </w:rPr>
            <w:instrText xml:space="preserve"> TOC \z \o "1-4" \u \h</w:instrText>
          </w:r>
          <w:r>
            <w:rPr>
              <w:rStyle w:val="afff4"/>
              <w:rFonts w:eastAsia="Calibri" w:cs="Times New Roman"/>
              <w:lang w:val="x-none" w:eastAsia="x-none"/>
            </w:rPr>
            <w:fldChar w:fldCharType="separate"/>
          </w:r>
          <w:hyperlink w:anchor="_Toc219818646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1.</w:t>
            </w:r>
            <w:r>
              <w:rPr>
                <w:rStyle w:val="afff4"/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rFonts w:eastAsia="Calibri" w:cs="Times New Roman"/>
                <w:lang w:val="x-none" w:eastAsia="x-none"/>
              </w:rPr>
              <w:t>Общие сведения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_Toc219818646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47">
            <w:r>
              <w:rPr>
                <w:rStyle w:val="afff4"/>
                <w:webHidden/>
              </w:rPr>
              <w:t>1.1.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Обозначения и сокращения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_Toc219818647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48">
            <w:r>
              <w:rPr>
                <w:rStyle w:val="afff4"/>
                <w:webHidden/>
              </w:rPr>
              <w:t>1.2.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Наименование закупаемой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_Toc219818648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49">
            <w:r>
              <w:rPr>
                <w:rStyle w:val="afff4"/>
                <w:webHidden/>
              </w:rPr>
              <w:t>1.3.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Цель использования закупаемой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_Toc219818649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50">
            <w:r>
              <w:rPr>
                <w:rStyle w:val="afff4"/>
                <w:webHidden/>
              </w:rPr>
              <w:t>1.4.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Существующее положение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51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Таблица</w:t>
            </w:r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 xml:space="preserve"> 1. Перечень объектов заказчика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52">
            <w:r>
              <w:rPr>
                <w:rStyle w:val="afff4"/>
                <w:webHidden/>
              </w:rPr>
              <w:t>1.5.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Информация в отношении исполнения договора, которая должна быть учтена при подготовке заяв</w:t>
            </w:r>
            <w:r>
              <w:rPr>
                <w:rStyle w:val="afff4"/>
              </w:rPr>
              <w:t>ки (в том числе перечень ресурсов, услуг и документов, предоставляемых заказчиком на этапе исполнения договора)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54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2.</w:t>
            </w:r>
            <w:r>
              <w:rPr>
                <w:rStyle w:val="afff4"/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rFonts w:eastAsia="Calibri" w:cs="Times New Roman"/>
                <w:lang w:val="x-none" w:eastAsia="x-none"/>
              </w:rPr>
              <w:t>Требования к</w:t>
            </w:r>
            <w:r>
              <w:rPr>
                <w:rStyle w:val="afff4"/>
                <w:rFonts w:eastAsia="Calibri" w:cs="Times New Roman"/>
                <w:lang w:val="x-none" w:eastAsia="x-none"/>
              </w:rPr>
              <w:t xml:space="preserve">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_Toc219818654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55">
            <w:r>
              <w:rPr>
                <w:rStyle w:val="afff4"/>
                <w:webHidden/>
              </w:rPr>
              <w:t>2.1.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Требования по объемам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_Toc219818655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left" w:pos="88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56">
            <w:r>
              <w:rPr>
                <w:rStyle w:val="afff4"/>
                <w:webHidden/>
                <w:lang w:val="x-none" w:eastAsia="x-none"/>
              </w:rPr>
              <w:t>2.1.1.</w:t>
            </w:r>
            <w:r>
              <w:rPr>
                <w:rStyle w:val="afff4"/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lang w:val="x-none" w:eastAsia="x-none"/>
              </w:rPr>
              <w:t>Требования к видам и объемам поставок МТР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_Toc219818656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57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Таблица 2.1. Перечень и объем закупаем</w:t>
            </w:r>
            <w:r>
              <w:rPr>
                <w:rStyle w:val="afff4"/>
                <w:rFonts w:eastAsia="Calibri" w:cs="Times New Roman"/>
                <w:lang w:eastAsia="x-none"/>
              </w:rPr>
              <w:t>ой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_Toc219818657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58">
            <w:r>
              <w:rPr>
                <w:rStyle w:val="afff4"/>
                <w:webHidden/>
              </w:rPr>
              <w:t>2.2.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Требования к срокам поставки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_Toc219818658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59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Таблица 2.2. Требования к срокам поставки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_Toc219818659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42"/>
            <w:rPr>
              <w:rFonts w:asciiTheme="minorHAnsi" w:eastAsiaTheme="minorEastAsia" w:hAnsiTheme="minorHAnsi" w:cstheme="minorBidi"/>
              <w:iCs w:val="0"/>
              <w:lang w:eastAsia="ru-RU"/>
            </w:rPr>
          </w:pPr>
          <w:hyperlink w:anchor="_Toc219818660">
            <w:r>
              <w:rPr>
                <w:rStyle w:val="afff4"/>
                <w:webHidden/>
              </w:rPr>
              <w:t>2.3.</w:t>
            </w:r>
            <w:r>
              <w:rPr>
                <w:rStyle w:val="afff4"/>
                <w:rFonts w:asciiTheme="minorHAnsi" w:eastAsiaTheme="minorEastAsia" w:hAnsiTheme="minorHAnsi" w:cstheme="minorBidi"/>
                <w:iCs w:val="0"/>
                <w:lang w:eastAsia="ru-RU"/>
              </w:rPr>
              <w:tab/>
            </w:r>
            <w:r>
              <w:rPr>
                <w:rStyle w:val="afff4"/>
              </w:rPr>
              <w:t>Требования к продукции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_Toc219818660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61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Таблица 2.3. Требования к поставляемому оборудованию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_Toc219818661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62">
            <w:r>
              <w:rPr>
                <w:rStyle w:val="afff4"/>
                <w:rFonts w:eastAsia="Calibri" w:cs="Times New Roman"/>
                <w:webHidden/>
                <w:lang w:val="x-none" w:eastAsia="x-none"/>
              </w:rPr>
              <w:t>3.</w:t>
            </w:r>
            <w:r>
              <w:rPr>
                <w:rStyle w:val="afff4"/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rFonts w:eastAsia="Calibri" w:cs="Times New Roman"/>
                <w:lang w:val="x-none" w:eastAsia="x-none"/>
              </w:rPr>
              <w:t>Требования к документации по ценообраз</w:t>
            </w:r>
            <w:r>
              <w:rPr>
                <w:rStyle w:val="afff4"/>
                <w:rFonts w:eastAsia="Calibri" w:cs="Times New Roman"/>
                <w:lang w:val="x-none" w:eastAsia="x-none"/>
              </w:rPr>
              <w:t>ованию на этапе закупки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_Toc219818662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14</w:t>
            </w:r>
            <w:r>
              <w:rPr>
                <w:webHidden/>
              </w:rPr>
              <w:fldChar w:fldCharType="end"/>
            </w:r>
          </w:hyperlink>
        </w:p>
        <w:p w:rsidR="00E03F2E" w:rsidRDefault="006670BB">
          <w:pPr>
            <w:pStyle w:val="18"/>
            <w:tabs>
              <w:tab w:val="left" w:pos="440"/>
              <w:tab w:val="right" w:leader="dot" w:pos="9911"/>
            </w:tabs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219818663">
            <w:r>
              <w:rPr>
                <w:rStyle w:val="afff4"/>
                <w:webHidden/>
                <w:lang w:val="x-none" w:eastAsia="x-none"/>
              </w:rPr>
              <w:t>4.</w:t>
            </w:r>
            <w:r>
              <w:rPr>
                <w:rStyle w:val="afff4"/>
                <w:rFonts w:asciiTheme="minorHAnsi" w:eastAsiaTheme="minorEastAsia" w:hAnsiTheme="minorHAnsi" w:cstheme="minorBidi"/>
                <w:b w:val="0"/>
                <w:bCs w:val="0"/>
                <w:sz w:val="22"/>
                <w:szCs w:val="22"/>
              </w:rPr>
              <w:tab/>
            </w:r>
            <w:r>
              <w:rPr>
                <w:rStyle w:val="afff4"/>
                <w:lang w:val="x-none" w:eastAsia="x-none"/>
              </w:rPr>
              <w:t>Приложения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_Toc219818663 \h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rStyle w:val="afff4"/>
              </w:rPr>
              <w:tab/>
              <w:t>14</w:t>
            </w:r>
            <w:r>
              <w:rPr>
                <w:webHidden/>
              </w:rPr>
              <w:fldChar w:fldCharType="end"/>
            </w:r>
          </w:hyperlink>
          <w:r>
            <w:rPr>
              <w:rStyle w:val="afff4"/>
            </w:rPr>
            <w:fldChar w:fldCharType="end"/>
          </w:r>
        </w:p>
      </w:sdtContent>
    </w:sdt>
    <w:p w:rsidR="00E03F2E" w:rsidRDefault="00E03F2E">
      <w:pPr>
        <w:pStyle w:val="18"/>
        <w:tabs>
          <w:tab w:val="left" w:pos="440"/>
          <w:tab w:val="right" w:leader="dot" w:pos="10194"/>
        </w:tabs>
        <w:rPr>
          <w:rFonts w:asciiTheme="minorHAnsi" w:eastAsiaTheme="minorEastAsia" w:hAnsiTheme="minorHAnsi" w:cstheme="minorBidi"/>
          <w:bCs w:val="0"/>
        </w:rPr>
      </w:pPr>
    </w:p>
    <w:p w:rsidR="00E03F2E" w:rsidRDefault="006670B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br w:type="page"/>
      </w:r>
    </w:p>
    <w:p w:rsidR="00E03F2E" w:rsidRDefault="006670B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219818646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Общие сведения</w:t>
      </w:r>
      <w:bookmarkEnd w:id="0"/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1" w:name="_Toc219818647"/>
      <w:bookmarkStart w:id="2" w:name="_Toc46743505"/>
      <w:bookmarkStart w:id="3" w:name="_Toc130201860"/>
      <w:r>
        <w:t>Обозначения и сокращения</w:t>
      </w:r>
      <w:bookmarkEnd w:id="1"/>
      <w:bookmarkEnd w:id="2"/>
      <w:bookmarkEnd w:id="3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698"/>
        <w:gridCol w:w="7213"/>
      </w:tblGrid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АСУТП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автоматизированная система управления технологическими процессами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ГЭС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гидроэлектростанция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ДЦ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диспетчерский центр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ЗЗИ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задание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заводу-изготовителю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КА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коммутационная аппаратура (выключатели, разъединители, заземляющие ножи)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Служба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СИиТС</w:t>
            </w:r>
            <w:proofErr w:type="spellEnd"/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  <w:lang w:val="en-US"/>
              </w:rPr>
              <w:t>C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лужба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 связи информационных и технологических систем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САУ ОРУ 110/220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кВ</w:t>
            </w:r>
            <w:proofErr w:type="spellEnd"/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КА открытых РУ 110/220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кВ.</w:t>
            </w:r>
            <w:proofErr w:type="spellEnd"/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САУ 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КРУЭ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КА комплексного РУ </w:t>
            </w: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элегазового</w:t>
            </w:r>
            <w:proofErr w:type="spellEnd"/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САУ ГТ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автоматизированного управления КА главных трансформаторов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САУ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ЭТО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система автоматизированного управления электротехническим оборудованием 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ССПИ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система сбора и пер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едачи информации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СМР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строительно-монтажные работы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ОЭ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опытная эксплуатация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ПНР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пуско-наладочные работы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программное обеспечение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ПОБИ АСУТП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подсистема обеспечения безопасности информации АСУТП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ППР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план производства работ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ТЗ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техническое задание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ТТ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технические требования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ЦППС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центральная приемо-передающая станция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ОРУ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открытое распределительное устройство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РД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рабочая документация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РУ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распределительное устройство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МЩУ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мнемонический щит управления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pStyle w:val="affc"/>
              <w:widowControl w:val="0"/>
              <w:tabs>
                <w:tab w:val="left" w:pos="426"/>
              </w:tabs>
              <w:spacing w:before="60" w:after="60"/>
              <w:ind w:left="0"/>
              <w:contextualSpacing w:val="0"/>
              <w:jc w:val="both"/>
              <w:rPr>
                <w:rFonts w:eastAsia="Times New Roman"/>
                <w:bCs/>
                <w:iCs/>
                <w:shd w:val="clear" w:color="auto" w:fill="FFFFFF"/>
              </w:rPr>
            </w:pPr>
            <w:r>
              <w:rPr>
                <w:rFonts w:eastAsia="Times New Roman"/>
                <w:bCs/>
                <w:iCs/>
                <w:color w:val="000000"/>
                <w:shd w:val="clear" w:color="auto" w:fill="FFFFFF"/>
              </w:rPr>
              <w:t>УСО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устройство связи с объектом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ВУ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верхний уровень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03F2E" w:rsidRDefault="006670BB">
            <w:pPr>
              <w:pStyle w:val="affc"/>
              <w:widowControl w:val="0"/>
              <w:tabs>
                <w:tab w:val="left" w:pos="307"/>
              </w:tabs>
              <w:spacing w:before="60" w:after="60"/>
              <w:ind w:left="0"/>
              <w:contextualSpacing w:val="0"/>
              <w:rPr>
                <w:rFonts w:eastAsia="Times New Roman"/>
                <w:iCs/>
                <w:shd w:val="clear" w:color="auto" w:fill="FFFFFF"/>
              </w:rPr>
            </w:pPr>
            <w:r>
              <w:rPr>
                <w:rFonts w:eastAsia="Times New Roman"/>
                <w:iCs/>
                <w:color w:val="000000"/>
                <w:shd w:val="clear" w:color="auto" w:fill="FFFFFF"/>
              </w:rPr>
              <w:t>ОРС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(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Open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Platform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Communications</w:t>
            </w:r>
            <w:proofErr w:type="spellEnd"/>
            <w:r>
              <w:rPr>
                <w:rStyle w:val="afc"/>
                <w:rFonts w:ascii="Times New Roman" w:hAnsi="Times New Roman" w:cs="Times New Roman"/>
                <w:b w:val="0"/>
                <w:iCs/>
                <w:color w:val="000000"/>
                <w:sz w:val="24"/>
                <w:szCs w:val="24"/>
                <w:shd w:val="clear" w:color="auto" w:fill="FFFFFF"/>
              </w:rPr>
              <w:t>) — стандарт, обеспечивающий коммуникации на открытой платформе.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313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ТСПД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технологическая сеть передачи данных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pStyle w:val="Standard"/>
              <w:widowControl w:val="0"/>
              <w:tabs>
                <w:tab w:val="left" w:pos="157"/>
              </w:tabs>
              <w:spacing w:before="60" w:after="60"/>
              <w:jc w:val="both"/>
              <w:rPr>
                <w:rFonts w:ascii="Times New Roman" w:hAnsi="Times New Roman"/>
                <w:iCs/>
                <w:kern w:val="0"/>
              </w:rPr>
            </w:pPr>
            <w:r>
              <w:rPr>
                <w:rFonts w:ascii="Times New Roman" w:hAnsi="Times New Roman"/>
                <w:iCs/>
                <w:kern w:val="0"/>
              </w:rPr>
              <w:t>ЭМП</w:t>
            </w:r>
          </w:p>
        </w:tc>
        <w:tc>
          <w:tcPr>
            <w:tcW w:w="72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электромагнитные помехи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АРМ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автоматизированное рабочее место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lastRenderedPageBreak/>
              <w:t>ЗИП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Style w:val="afc"/>
                <w:rFonts w:ascii="Times New Roman" w:hAnsi="Times New Roman" w:cs="Times New Roman"/>
                <w:b w:val="0"/>
                <w:iCs/>
                <w:color w:val="333333"/>
                <w:sz w:val="24"/>
                <w:szCs w:val="24"/>
                <w:shd w:val="clear" w:color="auto" w:fill="FFFFFF"/>
              </w:rPr>
              <w:t xml:space="preserve">запасные части, инструменты и </w:t>
            </w:r>
            <w:r>
              <w:rPr>
                <w:rStyle w:val="afc"/>
                <w:rFonts w:ascii="Times New Roman" w:hAnsi="Times New Roman" w:cs="Times New Roman"/>
                <w:b w:val="0"/>
                <w:iCs/>
                <w:color w:val="333333"/>
                <w:sz w:val="24"/>
                <w:szCs w:val="24"/>
                <w:shd w:val="clear" w:color="auto" w:fill="FFFFFF"/>
              </w:rPr>
              <w:t>принадлежности</w:t>
            </w:r>
            <w:r>
              <w:rPr>
                <w:rFonts w:ascii="Times New Roman" w:hAnsi="Times New Roman" w:cs="Times New Roman"/>
                <w:bCs/>
                <w:iCs/>
                <w:color w:val="333333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РЗА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релейная защита и автоматика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Заказчик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ООО «РГЦР»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Функциональный заказчик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Обособленное подразделение ООО «РГЦР» в г. Санкт-Петербурге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Поставщик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победитель закупочной процедуры получивший право заключения договора</w:t>
            </w:r>
          </w:p>
        </w:tc>
      </w:tr>
      <w:tr w:rsidR="00E03F2E">
        <w:trPr>
          <w:cantSplit/>
          <w:jc w:val="center"/>
        </w:trPr>
        <w:tc>
          <w:tcPr>
            <w:tcW w:w="2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Энергообъекты</w:t>
            </w:r>
          </w:p>
        </w:tc>
        <w:tc>
          <w:tcPr>
            <w:tcW w:w="7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 w:line="240" w:lineRule="auto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>Чиркейская</w:t>
            </w:r>
            <w:proofErr w:type="spellEnd"/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  <w:shd w:val="clear" w:color="auto" w:fill="FFFFFF"/>
              </w:rPr>
              <w:t xml:space="preserve"> ГЭС</w:t>
            </w:r>
          </w:p>
        </w:tc>
      </w:tr>
    </w:tbl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4" w:name="_Toc219818648"/>
      <w:bookmarkStart w:id="5" w:name="_Toc130201861"/>
      <w:r>
        <w:t>Наименование закупаемой продукции</w:t>
      </w:r>
      <w:bookmarkEnd w:id="4"/>
      <w:bookmarkEnd w:id="5"/>
    </w:p>
    <w:p w:rsidR="00E03F2E" w:rsidRDefault="006670B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28.99.39.190 Поставка мнемонического щита управления для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Чиркейской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ГЭС в Республике Дагестан с. Чиркей (лот № 00</w:t>
      </w:r>
      <w:r>
        <w:rPr>
          <w:rFonts w:ascii="Times New Roman" w:eastAsia="Calibri" w:hAnsi="Times New Roman" w:cs="Times New Roman"/>
          <w:sz w:val="24"/>
          <w:szCs w:val="24"/>
          <w:shd w:val="clear" w:color="auto" w:fill="FFFF00"/>
          <w:lang w:eastAsia="ru-RU"/>
        </w:rPr>
        <w:t>35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-ТПиР ИТ ДОХ-2026-РГЦР).</w:t>
      </w:r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6" w:name="_Toc46743507"/>
      <w:bookmarkStart w:id="7" w:name="_Toc219818649"/>
      <w:bookmarkStart w:id="8" w:name="_Toc130201862"/>
      <w:bookmarkEnd w:id="6"/>
      <w:r>
        <w:t>Цель использования закупаемой продукции</w:t>
      </w:r>
      <w:bookmarkEnd w:id="7"/>
      <w:bookmarkEnd w:id="8"/>
      <w:r>
        <w:t xml:space="preserve"> </w:t>
      </w:r>
    </w:p>
    <w:p w:rsidR="00E03F2E" w:rsidRDefault="006670B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Целью использования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закупаемой продукции является модернизация ГЩУ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Чиркейской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ГЭС.</w:t>
      </w:r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9" w:name="_Toc219818650"/>
      <w:bookmarkStart w:id="10" w:name="_Toc46743508"/>
      <w:bookmarkStart w:id="11" w:name="_Toc130201863"/>
      <w:r>
        <w:t>Существующее положение</w:t>
      </w:r>
      <w:bookmarkEnd w:id="9"/>
      <w:bookmarkEnd w:id="10"/>
      <w:bookmarkEnd w:id="11"/>
    </w:p>
    <w:p w:rsidR="00E03F2E" w:rsidRDefault="006670BB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</w:rPr>
        <w:t>ГЩУ является резервным средством отображения и управления оборудованием ГЭС. Режим работы ГЩУ круглосуточный, ежедневный. Допускается вывод из работы и отключения отдель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ных секций щита для проведения регламентных и ремонтных работ.</w:t>
      </w:r>
    </w:p>
    <w:p w:rsidR="00E03F2E" w:rsidRDefault="006670BB">
      <w:pPr>
        <w:spacing w:after="0" w:line="240" w:lineRule="auto"/>
        <w:ind w:firstLine="709"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 xml:space="preserve">Все системы автоматизации строились как самостоятельные закрытые системы с отсутствием единого подхода к средствам автоматики, средствам визуализации и управления. 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Рабочее место оперативного пе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рсонала оснащено АРМами АСУТП: ГРАМ, ССПИ, САУ ОРУ, СТТ, АПС, АРМ технологических приложений. Отсутствует возможность работы в единой среде отображения информации. Недостаточная эргономика рабочих мест оперативного персонала</w:t>
      </w:r>
      <w:r>
        <w:rPr>
          <w:rFonts w:ascii="Times New Roman" w:eastAsia="Times New Roman" w:hAnsi="Times New Roman" w:cs="SimSun"/>
          <w:kern w:val="2"/>
          <w:sz w:val="24"/>
          <w:szCs w:val="24"/>
          <w:lang w:eastAsia="zh-CN"/>
        </w:rPr>
        <w:t>.</w:t>
      </w:r>
    </w:p>
    <w:p w:rsidR="00E03F2E" w:rsidRDefault="006670B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</w:rPr>
        <w:t xml:space="preserve">В связи с модернизацией ВУ </w:t>
      </w:r>
      <w:r>
        <w:rPr>
          <w:rFonts w:ascii="Times New Roman" w:eastAsia="Times New Roman" w:hAnsi="Times New Roman" w:cs="SimSun"/>
          <w:kern w:val="2"/>
          <w:sz w:val="24"/>
          <w:szCs w:val="24"/>
        </w:rPr>
        <w:t>АСУТП, необходимо выполнить мероприятия по модернизации мнемонического щита управления.</w:t>
      </w:r>
    </w:p>
    <w:p w:rsidR="00E03F2E" w:rsidRDefault="006670B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SimSun"/>
          <w:kern w:val="2"/>
          <w:sz w:val="24"/>
          <w:szCs w:val="24"/>
        </w:rPr>
      </w:pPr>
      <w:r>
        <w:rPr>
          <w:rFonts w:ascii="Times New Roman" w:eastAsia="Times New Roman" w:hAnsi="Times New Roman" w:cs="SimSun"/>
          <w:kern w:val="2"/>
          <w:sz w:val="24"/>
          <w:szCs w:val="24"/>
        </w:rPr>
        <w:t>Основанием для выполнения работ является СТО РусГидро 01.01.150-2024 «Гидроэлектростанции. Общие требования к мозаичным мнемоническим щитам управления».</w:t>
      </w:r>
    </w:p>
    <w:p w:rsidR="00E03F2E" w:rsidRDefault="006670BB">
      <w:pPr>
        <w:keepNext/>
        <w:spacing w:before="120" w:after="60" w:line="240" w:lineRule="auto"/>
        <w:jc w:val="right"/>
        <w:outlineLvl w:val="0"/>
        <w:rPr>
          <w:rFonts w:eastAsia="Calibri"/>
          <w:lang w:val="x-none" w:eastAsia="x-none"/>
        </w:rPr>
      </w:pPr>
      <w:bookmarkStart w:id="12" w:name="_Toc219818651"/>
      <w:bookmarkStart w:id="13" w:name="_Toc54970179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Таблица 1. Пере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чень объектов заказчика</w:t>
      </w:r>
      <w:bookmarkEnd w:id="12"/>
      <w:bookmarkEnd w:id="13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14"/>
        <w:gridCol w:w="2880"/>
        <w:gridCol w:w="2701"/>
        <w:gridCol w:w="3616"/>
      </w:tblGrid>
      <w:tr w:rsidR="00E03F2E">
        <w:trPr>
          <w:tblHeader/>
        </w:trPr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2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объекта</w:t>
            </w: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Расположение объекта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(место поставки МТР)</w:t>
            </w:r>
          </w:p>
        </w:tc>
        <w:tc>
          <w:tcPr>
            <w:tcW w:w="3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основного средства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br/>
              <w:t>(в отношении которого выполняются работы, оказываются услуги)</w:t>
            </w:r>
          </w:p>
        </w:tc>
      </w:tr>
      <w:tr w:rsidR="00E03F2E">
        <w:trPr>
          <w:tblHeader/>
        </w:trPr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2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3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E03F2E">
        <w:trPr>
          <w:trHeight w:val="350"/>
        </w:trPr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E03F2E">
            <w:pPr>
              <w:widowControl w:val="0"/>
              <w:numPr>
                <w:ilvl w:val="0"/>
                <w:numId w:val="6"/>
              </w:numPr>
              <w:spacing w:after="60" w:line="240" w:lineRule="auto"/>
              <w:ind w:left="0" w:firstLine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suppressAutoHyphens w:val="0"/>
              <w:spacing w:after="60" w:line="240" w:lineRule="auto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>Мнемонический щит управления</w:t>
            </w:r>
          </w:p>
        </w:tc>
        <w:tc>
          <w:tcPr>
            <w:tcW w:w="2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pStyle w:val="affc"/>
              <w:widowControl w:val="0"/>
              <w:tabs>
                <w:tab w:val="left" w:pos="438"/>
              </w:tabs>
              <w:spacing w:after="60"/>
              <w:ind w:left="0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>
              <w:rPr>
                <w:rFonts w:eastAsia="Times New Roman" w:cs="SimSun"/>
                <w:kern w:val="2"/>
                <w:lang w:eastAsia="en-US"/>
              </w:rPr>
              <w:t xml:space="preserve">Российская Федерация, </w:t>
            </w:r>
            <w:r>
              <w:rPr>
                <w:rFonts w:eastAsia="Times New Roman" w:cs="SimSun"/>
                <w:kern w:val="2"/>
                <w:lang w:eastAsia="en-US"/>
              </w:rPr>
              <w:t xml:space="preserve">Республика Дагестан, Буйнакский район, с. Чиркей, </w:t>
            </w:r>
            <w:proofErr w:type="spellStart"/>
            <w:r>
              <w:rPr>
                <w:rFonts w:eastAsia="Times New Roman" w:cs="SimSun"/>
                <w:kern w:val="2"/>
                <w:lang w:eastAsia="en-US"/>
              </w:rPr>
              <w:t>Чиркейская</w:t>
            </w:r>
            <w:proofErr w:type="spellEnd"/>
            <w:r>
              <w:rPr>
                <w:rFonts w:eastAsia="Times New Roman" w:cs="SimSun"/>
                <w:kern w:val="2"/>
                <w:lang w:eastAsia="en-US"/>
              </w:rPr>
              <w:t xml:space="preserve"> ГЭС.</w:t>
            </w:r>
          </w:p>
        </w:tc>
        <w:tc>
          <w:tcPr>
            <w:tcW w:w="36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/>
              <w:ind w:right="113"/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</w:pPr>
            <w:r>
              <w:rPr>
                <w:rFonts w:ascii="Times New Roman" w:eastAsia="Times New Roman" w:hAnsi="Times New Roman" w:cs="SimSun"/>
                <w:kern w:val="2"/>
                <w:sz w:val="24"/>
                <w:szCs w:val="24"/>
              </w:rPr>
              <w:t>4380400</w:t>
            </w:r>
          </w:p>
          <w:p w:rsidR="00E03F2E" w:rsidRDefault="006670BB">
            <w:pPr>
              <w:pStyle w:val="affc"/>
              <w:widowControl w:val="0"/>
              <w:tabs>
                <w:tab w:val="left" w:pos="438"/>
              </w:tabs>
              <w:ind w:left="0" w:right="113"/>
              <w:contextualSpacing w:val="0"/>
              <w:rPr>
                <w:rFonts w:eastAsia="Times New Roman" w:cs="SimSun"/>
                <w:kern w:val="2"/>
                <w:lang w:eastAsia="en-US"/>
              </w:rPr>
            </w:pPr>
            <w:r>
              <w:rPr>
                <w:rFonts w:eastAsia="Times New Roman" w:cs="SimSun"/>
                <w:kern w:val="2"/>
                <w:lang w:eastAsia="en-US"/>
              </w:rPr>
              <w:t>Технологические системы управления</w:t>
            </w:r>
          </w:p>
        </w:tc>
      </w:tr>
    </w:tbl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14" w:name="_Toc219818652"/>
      <w:bookmarkStart w:id="15" w:name="_Toc130201865"/>
      <w:r>
        <w:t xml:space="preserve">Информация в отношении исполнения договора, </w:t>
      </w:r>
      <w:bookmarkStart w:id="16" w:name="_Hlk46492347"/>
      <w:r>
        <w:t xml:space="preserve">которая должна быть учтена при подготовке заявки </w:t>
      </w:r>
      <w:bookmarkEnd w:id="16"/>
      <w:r>
        <w:t xml:space="preserve">(в том числе перечень ресурсов, услуг и документов, </w:t>
      </w:r>
      <w:r>
        <w:t>предоставляемых заказчиком на этапе исполнения договора)</w:t>
      </w:r>
      <w:bookmarkEnd w:id="14"/>
      <w:bookmarkEnd w:id="15"/>
      <w:r>
        <w:t xml:space="preserve"> </w:t>
      </w:r>
    </w:p>
    <w:p w:rsidR="00E03F2E" w:rsidRDefault="006670BB">
      <w:pPr>
        <w:pStyle w:val="affc"/>
        <w:numPr>
          <w:ilvl w:val="2"/>
          <w:numId w:val="7"/>
        </w:numPr>
        <w:spacing w:before="60" w:after="60"/>
        <w:ind w:left="709" w:hanging="709"/>
        <w:contextualSpacing w:val="0"/>
        <w:jc w:val="both"/>
      </w:pPr>
      <w:r>
        <w:t>В ходе исполнения договора Заказчик предоставляет для выполнения работ в месте размещения объектов автоматизации на безвозмездной основе Поставщику следующие виды ресурсов:</w:t>
      </w:r>
    </w:p>
    <w:p w:rsidR="00E03F2E" w:rsidRDefault="006670BB">
      <w:pPr>
        <w:pStyle w:val="affc"/>
        <w:numPr>
          <w:ilvl w:val="2"/>
          <w:numId w:val="11"/>
        </w:numPr>
        <w:spacing w:before="60" w:after="60"/>
        <w:ind w:left="1418" w:hanging="709"/>
        <w:contextualSpacing w:val="0"/>
        <w:jc w:val="both"/>
      </w:pPr>
      <w:r>
        <w:t>Складские помещения и пло</w:t>
      </w:r>
      <w:r>
        <w:t>щадки для погрузки / разгрузки / складирования / хранения материально-технических ресурсов, оборудования Поставщика;</w:t>
      </w:r>
    </w:p>
    <w:p w:rsidR="00E03F2E" w:rsidRDefault="006670BB">
      <w:pPr>
        <w:pStyle w:val="affc"/>
        <w:numPr>
          <w:ilvl w:val="2"/>
          <w:numId w:val="11"/>
        </w:numPr>
        <w:spacing w:before="60" w:after="60"/>
        <w:ind w:left="1418" w:hanging="709"/>
        <w:contextualSpacing w:val="0"/>
        <w:jc w:val="both"/>
      </w:pPr>
      <w:r>
        <w:t>Грузоподъёмные механизмы, необходимые для разгрузки оборудования.</w:t>
      </w:r>
    </w:p>
    <w:p w:rsidR="00E03F2E" w:rsidRDefault="006670BB">
      <w:pPr>
        <w:pStyle w:val="affc"/>
        <w:numPr>
          <w:ilvl w:val="2"/>
          <w:numId w:val="7"/>
        </w:numPr>
        <w:spacing w:before="60" w:after="60"/>
        <w:ind w:left="709" w:hanging="709"/>
        <w:contextualSpacing w:val="0"/>
        <w:jc w:val="both"/>
      </w:pPr>
      <w:r>
        <w:lastRenderedPageBreak/>
        <w:t>В ходе исполнения договора Поставщику необходимо учесть наличие обновлени</w:t>
      </w:r>
      <w:r>
        <w:t>я Производителями модельного ряда поставляемого серийного оборудования и при использовании новых моделей обеспечить полную сохранность функциональности, заданной в проектной документации и в сопроводительных и закрывающих документах указать актуальные заво</w:t>
      </w:r>
      <w:r>
        <w:t>дские артикулы взамен указанных в Приложениях № 2 к Техническим требованиям.</w:t>
      </w:r>
    </w:p>
    <w:p w:rsidR="00E03F2E" w:rsidRDefault="006670B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17" w:name="_Toc219818653"/>
      <w:bookmarkStart w:id="18" w:name="_Toc219818654"/>
      <w:bookmarkStart w:id="19" w:name="_Toc51339693"/>
      <w:bookmarkStart w:id="20" w:name="_Toc130201867"/>
      <w:bookmarkEnd w:id="17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продукции</w:t>
      </w:r>
      <w:bookmarkEnd w:id="18"/>
      <w:bookmarkEnd w:id="19"/>
      <w:bookmarkEnd w:id="20"/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21" w:name="_Toc219818655"/>
      <w:bookmarkStart w:id="22" w:name="_Toc130201868"/>
      <w:r>
        <w:t>Требования по объемам</w:t>
      </w:r>
      <w:bookmarkEnd w:id="21"/>
      <w:bookmarkEnd w:id="22"/>
    </w:p>
    <w:p w:rsidR="00E03F2E" w:rsidRDefault="006670BB">
      <w:pPr>
        <w:pStyle w:val="affc"/>
        <w:keepNext/>
        <w:numPr>
          <w:ilvl w:val="2"/>
          <w:numId w:val="3"/>
        </w:numPr>
        <w:tabs>
          <w:tab w:val="left" w:pos="0"/>
        </w:tabs>
        <w:spacing w:before="120" w:after="60"/>
        <w:ind w:left="0" w:firstLine="0"/>
        <w:contextualSpacing w:val="0"/>
        <w:outlineLvl w:val="0"/>
        <w:rPr>
          <w:b/>
          <w:lang w:val="x-none" w:eastAsia="x-none"/>
        </w:rPr>
      </w:pPr>
      <w:bookmarkStart w:id="23" w:name="_Toc219818656"/>
      <w:bookmarkStart w:id="24" w:name="_Toc166871910"/>
      <w:bookmarkStart w:id="25" w:name="_Toc164155634"/>
      <w:bookmarkStart w:id="26" w:name="_Toc130201869"/>
      <w:r>
        <w:rPr>
          <w:b/>
          <w:lang w:val="x-none" w:eastAsia="x-none"/>
        </w:rPr>
        <w:t>Требования к видам и объемам поставок МТР</w:t>
      </w:r>
      <w:bookmarkEnd w:id="23"/>
      <w:bookmarkEnd w:id="24"/>
      <w:bookmarkEnd w:id="25"/>
      <w:bookmarkEnd w:id="26"/>
    </w:p>
    <w:p w:rsidR="00E03F2E" w:rsidRDefault="006670B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eastAsia="x-none"/>
        </w:rPr>
      </w:pPr>
      <w:bookmarkStart w:id="27" w:name="_Toc51339695"/>
      <w:bookmarkStart w:id="28" w:name="_Toc130201870"/>
      <w:bookmarkStart w:id="29" w:name="_Toc190365072"/>
      <w:bookmarkStart w:id="30" w:name="_Toc209081087"/>
      <w:bookmarkStart w:id="31" w:name="_Toc219818657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2.1. Перечень и объем </w:t>
      </w:r>
      <w:bookmarkEnd w:id="27"/>
      <w:bookmarkEnd w:id="28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закупаем</w:t>
      </w:r>
      <w:bookmarkEnd w:id="29"/>
      <w:bookmarkEnd w:id="30"/>
      <w:r>
        <w:rPr>
          <w:rFonts w:ascii="Times New Roman" w:eastAsia="Calibri" w:hAnsi="Times New Roman" w:cs="Times New Roman"/>
          <w:sz w:val="24"/>
          <w:szCs w:val="24"/>
          <w:lang w:eastAsia="x-none"/>
        </w:rPr>
        <w:t>ой продукции</w:t>
      </w:r>
      <w:bookmarkEnd w:id="31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15"/>
        <w:gridCol w:w="4930"/>
        <w:gridCol w:w="2040"/>
        <w:gridCol w:w="2226"/>
      </w:tblGrid>
      <w:tr w:rsidR="00E03F2E">
        <w:trPr>
          <w:trHeight w:val="384"/>
        </w:trPr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4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продукции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Единица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измерения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E03F2E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E03F2E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E03F2E">
            <w:pPr>
              <w:pStyle w:val="affc"/>
              <w:widowControl w:val="0"/>
              <w:numPr>
                <w:ilvl w:val="0"/>
                <w:numId w:val="9"/>
              </w:numPr>
              <w:spacing w:before="60" w:after="60"/>
              <w:contextualSpacing w:val="0"/>
              <w:jc w:val="center"/>
            </w:pPr>
          </w:p>
        </w:tc>
        <w:tc>
          <w:tcPr>
            <w:tcW w:w="4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spacing w:before="60"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ОКПД2 28.99.39.190 Поставка мнемонического щита управления для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Чиркейской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ГЭС в Республике Дагестан с. Чиркей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2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E03F2E" w:rsidRDefault="006670BB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соответствии с Приложением № 1 к Техническим требованиям – Спецификация поставляемого оборудования</w:t>
            </w:r>
          </w:p>
        </w:tc>
      </w:tr>
    </w:tbl>
    <w:p w:rsidR="00E03F2E" w:rsidRDefault="006670B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2" w:name="_Toc46743510"/>
      <w:bookmarkEnd w:id="32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Единичные расценки (цена за единицу продукции по каждой позиции товара) должны включать в себя расходы все сопутствующие расходы, таможенные, налоговые и иные обязательные платежи, расходы по изготовлению, заводским испытаниям, доставке, страхованию груза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и транспортировке до места поставки и прочие затраты, и расходы Поставщика, связанные с поставкой товара, предусмотренные договором.</w:t>
      </w:r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33" w:name="_Toc219818658"/>
      <w:r>
        <w:t>Требования к срокам поставки</w:t>
      </w:r>
      <w:bookmarkEnd w:id="33"/>
      <w:r>
        <w:t xml:space="preserve"> </w:t>
      </w:r>
      <w:bookmarkStart w:id="34" w:name="_Toc190365075"/>
    </w:p>
    <w:p w:rsidR="00E03F2E" w:rsidRDefault="006670B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bookmarkStart w:id="35" w:name="_Toc209081090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– дата, следующая за датой подписания договора (далее – Х).</w:t>
      </w:r>
    </w:p>
    <w:p w:rsidR="00E03F2E" w:rsidRDefault="006670BB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Сроки поставки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продукции рассчитывается в календарных днях относительно даты начала в формате «Х +…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к.д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>.».</w:t>
      </w:r>
    </w:p>
    <w:p w:rsidR="00E03F2E" w:rsidRDefault="00E03F2E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6" w:name="_Toc219818659"/>
    </w:p>
    <w:p w:rsidR="00E03F2E" w:rsidRDefault="006670B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2.2. </w:t>
      </w:r>
      <w:bookmarkStart w:id="37" w:name="_Hlk50465284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Требования к срокам </w:t>
      </w:r>
      <w:bookmarkEnd w:id="37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поставки продукции</w:t>
      </w:r>
      <w:bookmarkEnd w:id="34"/>
      <w:bookmarkEnd w:id="35"/>
      <w:bookmarkEnd w:id="36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715"/>
        <w:gridCol w:w="5041"/>
        <w:gridCol w:w="1979"/>
        <w:gridCol w:w="2176"/>
      </w:tblGrid>
      <w:tr w:rsidR="00E03F2E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поставки</w:t>
            </w:r>
          </w:p>
        </w:tc>
      </w:tr>
      <w:tr w:rsidR="00E03F2E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03F2E" w:rsidRDefault="006670BB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E03F2E">
        <w:tc>
          <w:tcPr>
            <w:tcW w:w="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E03F2E">
            <w:pPr>
              <w:pStyle w:val="affc"/>
              <w:widowControl w:val="0"/>
              <w:numPr>
                <w:ilvl w:val="0"/>
                <w:numId w:val="10"/>
              </w:numPr>
              <w:spacing w:before="60" w:after="60"/>
              <w:contextualSpacing w:val="0"/>
              <w:jc w:val="center"/>
            </w:pPr>
          </w:p>
        </w:tc>
        <w:tc>
          <w:tcPr>
            <w:tcW w:w="5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03F2E" w:rsidRDefault="006670BB">
            <w:pPr>
              <w:pStyle w:val="affc"/>
              <w:widowControl w:val="0"/>
              <w:spacing w:before="60" w:after="60"/>
              <w:ind w:left="0"/>
              <w:contextualSpacing w:val="0"/>
            </w:pPr>
            <w:r>
              <w:t xml:space="preserve">ОКПД2 28.99.39.190 Поставка мнемонических щитов управления для </w:t>
            </w:r>
            <w:proofErr w:type="spellStart"/>
            <w:r>
              <w:t>Чиркейской</w:t>
            </w:r>
            <w:proofErr w:type="spellEnd"/>
            <w:r>
              <w:t xml:space="preserve"> ГЭС в Республике Дагестан с. Чиркей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>
              <w:t>Х</w:t>
            </w:r>
          </w:p>
        </w:tc>
        <w:tc>
          <w:tcPr>
            <w:tcW w:w="2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03F2E" w:rsidRDefault="006670BB">
            <w:pPr>
              <w:pStyle w:val="affc"/>
              <w:widowControl w:val="0"/>
              <w:spacing w:before="60" w:after="60"/>
              <w:ind w:left="0"/>
              <w:contextualSpacing w:val="0"/>
              <w:jc w:val="center"/>
            </w:pPr>
            <w:r>
              <w:t xml:space="preserve">Х + 90 </w:t>
            </w:r>
            <w:proofErr w:type="spellStart"/>
            <w:r>
              <w:t>к.д</w:t>
            </w:r>
            <w:proofErr w:type="spellEnd"/>
            <w:r>
              <w:t>.</w:t>
            </w:r>
          </w:p>
        </w:tc>
      </w:tr>
    </w:tbl>
    <w:p w:rsidR="00E03F2E" w:rsidRDefault="006670BB">
      <w:pPr>
        <w:sectPr w:rsidR="00E03F2E">
          <w:footerReference w:type="default" r:id="rId8"/>
          <w:footerReference w:type="first" r:id="rId9"/>
          <w:pgSz w:w="11906" w:h="16838"/>
          <w:pgMar w:top="567" w:right="567" w:bottom="709" w:left="1418" w:header="0" w:footer="567" w:gutter="0"/>
          <w:cols w:space="720"/>
          <w:formProt w:val="0"/>
          <w:titlePg/>
          <w:docGrid w:linePitch="381" w:charSpace="32768"/>
        </w:sectPr>
      </w:pPr>
      <w:r>
        <w:t xml:space="preserve"> </w:t>
      </w:r>
    </w:p>
    <w:p w:rsidR="00E03F2E" w:rsidRDefault="006670BB">
      <w:pPr>
        <w:pStyle w:val="4"/>
        <w:numPr>
          <w:ilvl w:val="1"/>
          <w:numId w:val="3"/>
        </w:numPr>
        <w:spacing w:before="240"/>
        <w:ind w:left="0" w:firstLine="0"/>
      </w:pPr>
      <w:bookmarkStart w:id="38" w:name="_Toc219818660"/>
      <w:r>
        <w:lastRenderedPageBreak/>
        <w:t>Требования к продукции</w:t>
      </w:r>
      <w:bookmarkEnd w:id="38"/>
    </w:p>
    <w:p w:rsidR="00E03F2E" w:rsidRDefault="006670BB">
      <w:pPr>
        <w:spacing w:after="60"/>
        <w:rPr>
          <w:b/>
        </w:rPr>
      </w:pPr>
      <w:r>
        <w:rPr>
          <w:rFonts w:ascii="Times New Roman" w:hAnsi="Times New Roman" w:cs="Times New Roman"/>
          <w:b/>
          <w:sz w:val="24"/>
          <w:szCs w:val="24"/>
        </w:rPr>
        <w:t>Наименование продукции (позиция № 1 Таблицы 2.2.):</w:t>
      </w:r>
    </w:p>
    <w:p w:rsidR="00E03F2E" w:rsidRDefault="006670B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28.99.39.190 Поставка мнемонического щита управления для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eastAsia="ru-RU"/>
        </w:rPr>
        <w:t>Чиркейской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ГЭС в Республике Дагестан с. Чиркей</w:t>
      </w:r>
      <w:r>
        <w:rPr>
          <w:rFonts w:ascii="Times New Roman" w:eastAsia="Calibri" w:hAnsi="Times New Roman" w:cs="Times New Roman"/>
          <w:sz w:val="24"/>
          <w:szCs w:val="20"/>
          <w:lang w:eastAsia="ru-RU"/>
        </w:rPr>
        <w:t xml:space="preserve"> (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лот № </w:t>
      </w:r>
      <w:r>
        <w:rPr>
          <w:rFonts w:ascii="Times New Roman" w:eastAsia="Calibri" w:hAnsi="Times New Roman" w:cs="Times New Roman"/>
          <w:sz w:val="24"/>
          <w:szCs w:val="20"/>
          <w:lang w:eastAsia="ru-RU"/>
        </w:rPr>
        <w:t>00</w:t>
      </w:r>
      <w:r>
        <w:rPr>
          <w:rFonts w:ascii="Times New Roman" w:eastAsia="Calibri" w:hAnsi="Times New Roman" w:cs="Times New Roman"/>
          <w:sz w:val="24"/>
          <w:szCs w:val="20"/>
          <w:shd w:val="clear" w:color="auto" w:fill="FFFF00"/>
          <w:lang w:eastAsia="ru-RU"/>
        </w:rPr>
        <w:t>35</w:t>
      </w:r>
      <w:r>
        <w:rPr>
          <w:rFonts w:ascii="Times New Roman" w:eastAsia="Calibri" w:hAnsi="Times New Roman" w:cs="Times New Roman"/>
          <w:sz w:val="24"/>
          <w:szCs w:val="20"/>
          <w:lang w:eastAsia="ru-RU"/>
        </w:rPr>
        <w:t>-ТПиР ИТ ДОХ-2026-РГЦР).</w:t>
      </w:r>
    </w:p>
    <w:p w:rsidR="00E03F2E" w:rsidRDefault="006670BB">
      <w:pPr>
        <w:keepNext/>
        <w:spacing w:before="120" w:after="60" w:line="240" w:lineRule="auto"/>
        <w:jc w:val="right"/>
        <w:outlineLvl w:val="0"/>
        <w:rPr>
          <w:rFonts w:ascii="Times New Roman" w:eastAsia="Calibri" w:hAnsi="Times New Roman" w:cs="Times New Roman"/>
          <w:sz w:val="24"/>
          <w:szCs w:val="24"/>
          <w:lang w:val="x-none" w:eastAsia="x-none"/>
        </w:rPr>
      </w:pPr>
      <w:bookmarkStart w:id="39" w:name="_Toc219818661"/>
      <w:bookmarkStart w:id="40" w:name="_Toc209081093"/>
      <w:bookmarkStart w:id="41" w:name="_Toc190365078"/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 xml:space="preserve">Таблица 2.3. Требования к </w:t>
      </w:r>
      <w:r>
        <w:rPr>
          <w:rFonts w:ascii="Times New Roman" w:eastAsia="Calibri" w:hAnsi="Times New Roman" w:cs="Times New Roman"/>
          <w:sz w:val="24"/>
          <w:szCs w:val="24"/>
          <w:lang w:val="x-none" w:eastAsia="x-none"/>
        </w:rPr>
        <w:t>поставляемому оборудованию</w:t>
      </w:r>
      <w:bookmarkEnd w:id="39"/>
      <w:bookmarkEnd w:id="40"/>
      <w:bookmarkEnd w:id="41"/>
    </w:p>
    <w:tbl>
      <w:tblPr>
        <w:tblStyle w:val="affffc"/>
        <w:tblW w:w="5000" w:type="pct"/>
        <w:tblLayout w:type="fixed"/>
        <w:tblLook w:val="04A0" w:firstRow="1" w:lastRow="0" w:firstColumn="1" w:lastColumn="0" w:noHBand="0" w:noVBand="1"/>
      </w:tblPr>
      <w:tblGrid>
        <w:gridCol w:w="756"/>
        <w:gridCol w:w="3379"/>
        <w:gridCol w:w="11559"/>
      </w:tblGrid>
      <w:tr w:rsidR="00E03F2E">
        <w:trPr>
          <w:tblHeader/>
        </w:trPr>
        <w:tc>
          <w:tcPr>
            <w:tcW w:w="756" w:type="dxa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Cs w:val="20"/>
                <w:lang w:eastAsia="ru-RU"/>
              </w:rPr>
              <w:t>№ п/п</w:t>
            </w:r>
          </w:p>
        </w:tc>
        <w:tc>
          <w:tcPr>
            <w:tcW w:w="3381" w:type="dxa"/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1567" w:type="dxa"/>
            <w:vAlign w:val="center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Cs w:val="20"/>
                <w:lang w:eastAsia="ru-RU"/>
              </w:rPr>
              <w:t>Требование Заказчика</w:t>
            </w:r>
          </w:p>
        </w:tc>
      </w:tr>
      <w:tr w:rsidR="00E03F2E">
        <w:trPr>
          <w:tblHeader/>
        </w:trPr>
        <w:tc>
          <w:tcPr>
            <w:tcW w:w="756" w:type="dxa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81" w:type="dxa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567" w:type="dxa"/>
          </w:tcPr>
          <w:p w:rsidR="00E03F2E" w:rsidRDefault="006670BB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Требования к техническим и функциональным характеристикам (включая гарантируемые показатели)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Номенклатура и объем поставляемой продукции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Номенклатура и объем </w:t>
            </w:r>
            <w:r>
              <w:rPr>
                <w:rFonts w:eastAsia="Times New Roman"/>
                <w:iCs/>
              </w:rPr>
              <w:t>поставляемой продукции должны соответствовать данным, указанным</w:t>
            </w:r>
            <w:r>
              <w:rPr>
                <w:rFonts w:eastAsia="Times New Roman"/>
                <w:iCs/>
              </w:rPr>
              <w:br/>
              <w:t>в Таблицы 2.2. и в Приложении № 1 к Техническим требованиям – Спецификация поставляемого оборудования.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>Поставляемое оборудование должно быть изготовлено Поставщиком в соответствии с документац</w:t>
            </w:r>
            <w:r>
              <w:rPr>
                <w:rFonts w:eastAsia="Times New Roman"/>
                <w:iCs/>
              </w:rPr>
              <w:t>ией – Приложением № 2 к Техническим требованиям:</w:t>
            </w:r>
          </w:p>
          <w:tbl>
            <w:tblPr>
              <w:tblW w:w="4600" w:type="pct"/>
              <w:tblInd w:w="835" w:type="dxa"/>
              <w:tblLayout w:type="fixed"/>
              <w:tblCellMar>
                <w:top w:w="28" w:type="dxa"/>
                <w:left w:w="28" w:type="dxa"/>
                <w:bottom w:w="28" w:type="dxa"/>
                <w:right w:w="28" w:type="dxa"/>
              </w:tblCellMar>
              <w:tblLook w:val="04A0" w:firstRow="1" w:lastRow="0" w:firstColumn="1" w:lastColumn="0" w:noHBand="0" w:noVBand="1"/>
            </w:tblPr>
            <w:tblGrid>
              <w:gridCol w:w="473"/>
              <w:gridCol w:w="5390"/>
              <w:gridCol w:w="4567"/>
            </w:tblGrid>
            <w:tr w:rsidR="00E03F2E">
              <w:trPr>
                <w:trHeight w:val="43"/>
              </w:trPr>
              <w:tc>
                <w:tcPr>
                  <w:tcW w:w="474" w:type="dxa"/>
                  <w:tcBorders>
                    <w:top w:val="single" w:sz="2" w:space="0" w:color="000000"/>
                    <w:left w:val="single" w:sz="2" w:space="0" w:color="000000"/>
                    <w:bottom w:val="single" w:sz="4" w:space="0" w:color="000000"/>
                    <w:right w:val="single" w:sz="2" w:space="0" w:color="000000"/>
                  </w:tcBorders>
                </w:tcPr>
                <w:p w:rsidR="00E03F2E" w:rsidRDefault="006670B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№</w:t>
                  </w:r>
                </w:p>
              </w:tc>
              <w:tc>
                <w:tcPr>
                  <w:tcW w:w="5396" w:type="dxa"/>
                  <w:tcBorders>
                    <w:top w:val="single" w:sz="2" w:space="0" w:color="000000"/>
                    <w:left w:val="single" w:sz="2" w:space="0" w:color="000000"/>
                    <w:bottom w:val="single" w:sz="4" w:space="0" w:color="000000"/>
                    <w:right w:val="single" w:sz="2" w:space="0" w:color="000000"/>
                  </w:tcBorders>
                </w:tcPr>
                <w:p w:rsidR="00E03F2E" w:rsidRDefault="006670B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Номенклатура</w:t>
                  </w:r>
                </w:p>
              </w:tc>
              <w:tc>
                <w:tcPr>
                  <w:tcW w:w="4572" w:type="dxa"/>
                  <w:tcBorders>
                    <w:top w:val="single" w:sz="2" w:space="0" w:color="000000"/>
                    <w:left w:val="single" w:sz="2" w:space="0" w:color="000000"/>
                    <w:bottom w:val="single" w:sz="4" w:space="0" w:color="000000"/>
                    <w:right w:val="single" w:sz="2" w:space="0" w:color="000000"/>
                  </w:tcBorders>
                </w:tcPr>
                <w:p w:rsidR="00E03F2E" w:rsidRDefault="006670BB">
                  <w:pPr>
                    <w:pStyle w:val="affffa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/>
                      <w:sz w:val="20"/>
                      <w:szCs w:val="20"/>
                    </w:rPr>
                    <w:t>Раздел</w:t>
                  </w:r>
                </w:p>
              </w:tc>
            </w:tr>
            <w:tr w:rsidR="00E03F2E">
              <w:trPr>
                <w:trHeight w:val="410"/>
              </w:trPr>
              <w:tc>
                <w:tcPr>
                  <w:tcW w:w="47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3F2E" w:rsidRDefault="00E03F2E">
                  <w:pPr>
                    <w:pStyle w:val="affc"/>
                    <w:widowControl w:val="0"/>
                    <w:numPr>
                      <w:ilvl w:val="0"/>
                      <w:numId w:val="1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contextualSpacing w:val="0"/>
                    <w:jc w:val="center"/>
                    <w:rPr>
                      <w:rFonts w:eastAsia="Times New Roman"/>
                    </w:rPr>
                  </w:pPr>
                </w:p>
              </w:tc>
              <w:tc>
                <w:tcPr>
                  <w:tcW w:w="539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3F2E" w:rsidRDefault="006670BB">
                  <w:pPr>
                    <w:pStyle w:val="affffa"/>
                    <w:spacing w:before="60" w:after="60" w:line="240" w:lineRule="auto"/>
                    <w:ind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МЩУ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Чиркейской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ГЭС</w:t>
                  </w:r>
                </w:p>
              </w:tc>
              <w:tc>
                <w:tcPr>
                  <w:tcW w:w="457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E03F2E" w:rsidRDefault="006670BB">
                  <w:pPr>
                    <w:pStyle w:val="affffa"/>
                    <w:spacing w:before="60" w:after="60" w:line="240" w:lineRule="auto"/>
                    <w:ind w:left="57" w:right="57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16091306.657152.062</w:t>
                  </w:r>
                </w:p>
              </w:tc>
            </w:tr>
          </w:tbl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Используемые при изготовлении МЩУ материалы, компоненты и серийное оборудование могут быть заменены на эквивалентные, указанным в ЗЗИ, по </w:t>
            </w:r>
            <w:r>
              <w:rPr>
                <w:rFonts w:eastAsia="Times New Roman"/>
                <w:iCs/>
              </w:rPr>
              <w:t>техническим и функциональным характеристикам, не уступающим и/или превосходящим характеристики, заявленным в конструкторской документации, в том числе, по гарантийным срокам и срокам эксплуатации. При этом Поставщик должен за счет собственных сил и средств</w:t>
            </w:r>
            <w:r>
              <w:rPr>
                <w:rFonts w:eastAsia="Times New Roman"/>
                <w:iCs/>
              </w:rPr>
              <w:t xml:space="preserve"> внести изменения в конструкторскую документацию и проектные решения, вызванные применением эквивалентной продукции и перед началом фактической поставки осуществить согласование измененных документов с Заказчиком, экспертными, контролирующими и надзорными </w:t>
            </w:r>
            <w:r>
              <w:rPr>
                <w:rFonts w:eastAsia="Times New Roman"/>
                <w:iCs/>
              </w:rPr>
              <w:t>органами.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>Оборудование должно быть полностью готовым к монтажу на объекте и последующей эксплуатации.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Основные технические требования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</w:rPr>
            </w:pPr>
            <w:r>
              <w:rPr>
                <w:rFonts w:eastAsia="Times New Roman"/>
                <w:iCs/>
              </w:rPr>
              <w:t xml:space="preserve">Оборудование должно быть изготовлено в соответствии со стандартами МЭК (IEC) и следующей нормативно-технической </w:t>
            </w:r>
            <w:r>
              <w:rPr>
                <w:rFonts w:eastAsia="Times New Roman"/>
                <w:iCs/>
              </w:rPr>
              <w:t>документацией, в действующей редакции: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>
              <w:rPr>
                <w:rFonts w:eastAsia="Times New Roman"/>
                <w:iCs/>
              </w:rPr>
              <w:t>ГОСТ 12.2.</w:t>
            </w:r>
            <w:r>
              <w:rPr>
                <w:rFonts w:eastAsia="Times New Roman"/>
                <w:iCs/>
                <w:color w:val="000000" w:themeColor="text1"/>
              </w:rPr>
              <w:t>049-80 «Оборудование производственное. Общие эргономические требования».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iCs/>
                <w:color w:val="000000" w:themeColor="text1"/>
              </w:rPr>
            </w:pPr>
            <w:r>
              <w:rPr>
                <w:rFonts w:eastAsia="Times New Roman"/>
                <w:iCs/>
                <w:color w:val="000000" w:themeColor="text1"/>
              </w:rPr>
              <w:t>Правила устройства электроустановок.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suppressAutoHyphens w:val="0"/>
              <w:spacing w:before="60" w:after="60"/>
              <w:ind w:left="851" w:hanging="851"/>
              <w:contextualSpacing w:val="0"/>
            </w:pPr>
            <w:r>
              <w:rPr>
                <w:rFonts w:eastAsia="Times New Roman"/>
                <w:iCs/>
                <w:color w:val="000000" w:themeColor="text1"/>
              </w:rPr>
              <w:lastRenderedPageBreak/>
              <w:t>Техническая политика ПАО «РусГидро» (Приложение № 3 к Техническим требованиям).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Требования к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безопасности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Общие требования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Устройства ПТК должны соответствовать требованиям безопасности персонала при монтаже, наладке, эксплуатации, обслуживании и ремонте технических средств, установленными действующей редакцией, следующих НТД: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12.1.004-91 П</w:t>
            </w:r>
            <w:r>
              <w:rPr>
                <w:rFonts w:eastAsia="Times New Roman"/>
              </w:rPr>
              <w:t>ожарная безопасность. Общие требования.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12.1.010-76 Система стандартов безопасности труда (ССБТ). Взрывобезопасность. Общие требования.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12.1.012-2004 Система стандартов безопасности труда (ССБТ). Вибрационная безопасность. Общие требования.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ГОСТ </w:t>
            </w:r>
            <w:r>
              <w:rPr>
                <w:rFonts w:eastAsia="Times New Roman"/>
              </w:rPr>
              <w:t>12.1.003 Шум. Общие требования безопасности.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26329-84 (СТ СЭВ 4292-83) Машины вычислительные и системы обработки данных. Допустимые уровни шума технических средств и методы их определения.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12.1.030-81 Электробезопасность. Защитное заземление, зан</w:t>
            </w:r>
            <w:r>
              <w:rPr>
                <w:rFonts w:eastAsia="Times New Roman"/>
              </w:rPr>
              <w:t>уление.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14254-96 (МЭК 529-89) Степени защиты, обеспечиваемые оболочками (код IP).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Р 50462-2009 Идентификация проводников посредством цветов и буквенно-цифровых обозначений.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20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rPr>
                <w:rFonts w:eastAsia="Times New Roman"/>
              </w:rPr>
              <w:t xml:space="preserve">ГОСТ 25861-83 Машины вычислительные и системы обработки данных. </w:t>
            </w:r>
            <w:r>
              <w:rPr>
                <w:rFonts w:eastAsia="Times New Roman"/>
              </w:rPr>
              <w:t>Требования по электрической и механической безопасности и методы испытаний.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 эксплуатации ВУ АСУТП программными и аппаратными средствами должно быть обеспечено надежное отключение оборудования при возникновении нештатных ситуаций.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При подготовке рабочег</w:t>
            </w:r>
            <w:r>
              <w:rPr>
                <w:rFonts w:eastAsia="Times New Roman"/>
              </w:rPr>
              <w:t>о места, установке ПТК, проведении испытаний, наладочных и ремонтных работ должны быть соблюдены требования: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РД 153-34.0-03.301-00 Правила пожарной безопасности для энергетических предприятий Российской Федерации.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3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РД 153-34.0-03.205-2001 Правила безопаснос</w:t>
            </w:r>
            <w:r>
              <w:rPr>
                <w:rFonts w:eastAsia="Times New Roman"/>
              </w:rPr>
              <w:t>ти при обслуживании гидротехнических сооружений и гидромеханического оборудования энергоснабжающих организаций.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Степень защиты шкафов ПТК, должна быть не ниже IP54 по ГОСТ 14254-96 «Степени защиты, обеспечиваемые оболочками (код IP)».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rPr>
                <w:rFonts w:eastAsia="Times New Roman"/>
              </w:rPr>
              <w:t>Оборудование ПТК долж</w:t>
            </w:r>
            <w:r>
              <w:rPr>
                <w:rFonts w:eastAsia="Times New Roman"/>
              </w:rPr>
              <w:t>но иметь маркировку сигнальными цветами и знаками безопасности по ГОСТ 12.4.026-2015 «Межгосударственный стандарт. Система стандартов безопасности труда. Цвета сигнальные, знаки безопасности и разметка сигнальная. Назначение и правила применения. Общие тех</w:t>
            </w:r>
            <w:r>
              <w:rPr>
                <w:rFonts w:eastAsia="Times New Roman"/>
              </w:rPr>
              <w:t>нические требования и характеристики. Методы испытаний.»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Требования к электробезопасности</w:t>
            </w:r>
          </w:p>
        </w:tc>
        <w:tc>
          <w:tcPr>
            <w:tcW w:w="11567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По условиям электробезопасности ПТК должны относиться к электроустановкам с напряжением до 1000 В.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В соответствии с ГОСТ 12.2.007.0-75 «Система стандартов </w:t>
            </w:r>
            <w:r>
              <w:rPr>
                <w:rFonts w:eastAsia="Times New Roman"/>
              </w:rPr>
              <w:t>безопасности труда. Изделия электротехнические. Общие требования безопасности» ПТК должны относится к 1 классу по способу защиты человека от поражения электрическим током.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ПТК должны быть оборудованы сигнализацией наличия сетевого напряжения питания с соот</w:t>
            </w:r>
            <w:r>
              <w:rPr>
                <w:rFonts w:eastAsia="Times New Roman"/>
              </w:rPr>
              <w:t>ветствующей табличкой – указателем.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t>Все внешние элементы технических средств ПТК, находящихся под напряжением, должны быть защищены от случайного прикосновения к ним обслуживающего персонала.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Требования к заземлению</w:t>
            </w:r>
          </w:p>
        </w:tc>
        <w:tc>
          <w:tcPr>
            <w:tcW w:w="11567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Все металлические части </w:t>
            </w:r>
            <w:r>
              <w:rPr>
                <w:rFonts w:eastAsia="Times New Roman"/>
              </w:rPr>
              <w:t>электроустановок, корпуса электрооборудования и металлоконструкций, которые могут оказаться под напряжением, подлежат заземлению. Устройства ПТК должны иметь приспособления для подключения к заземляющему контуру (устройство защитного заземления, минимальны</w:t>
            </w:r>
            <w:r>
              <w:rPr>
                <w:rFonts w:eastAsia="Times New Roman"/>
              </w:rPr>
              <w:t>й диаметр болта заземления – М5, минимальный диаметр площадки – 14 мм.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Сопротивление заземления средств вычислительной техники и промышленных контроллеров, относительно болта заземления, к которому подключается шина заземления, проложенная в помещении, не </w:t>
            </w:r>
            <w:r>
              <w:rPr>
                <w:rFonts w:eastAsia="Times New Roman"/>
              </w:rPr>
              <w:t>должно превышать 0,1 Ом.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rPr>
                <w:rFonts w:eastAsia="Times New Roman"/>
              </w:rPr>
              <w:t>Сопротивление изоляции цепей ПТК относительно корпуса и между собой должно выдерживать в течение одной минуты при нормальных условиях испытательное напряжение</w:t>
            </w:r>
            <w:r>
              <w:rPr>
                <w:iCs/>
              </w:rPr>
              <w:t>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 цепях до 40 В - 250 В частоты 50 Гц.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4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в цепях свыше 100 В - 1000 В </w:t>
            </w:r>
            <w:r>
              <w:rPr>
                <w:rFonts w:eastAsia="Times New Roman"/>
              </w:rPr>
              <w:t>частоты 50 Гц.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Электрическое сопротивление изоляции цепей ПТК относительно корпуса и друг друга при нормальных условиях должно быть не менее 100 МОм.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Требования к конструкции, изготовлению и материалам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>Контроль качества используемых комплектующих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должен обеспечить входной контроль используемых материалов и запасных частей, включающий в себя проверку: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Наличия сертификатов для продукции, включенной Единый перечень продукции, подлежащей обязательной сертификации и в Единый перечень продукции</w:t>
            </w:r>
            <w:r>
              <w:rPr>
                <w:rFonts w:eastAsia="Times New Roman"/>
              </w:rPr>
              <w:t>, подлежащей декларированию, утвержденные Правительством РФ и действующие в период действия договора.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</w:t>
            </w:r>
            <w:r>
              <w:rPr>
                <w:rFonts w:eastAsia="Times New Roman"/>
              </w:rPr>
              <w:t>аментирующем технические требования к данной продукции.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Наличия маркировки, сохранности упаковки, наличия и сохранности защитных и окрасочных покрытий.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Требования к используемым запасным частям и материалам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tabs>
                <w:tab w:val="left" w:pos="175"/>
                <w:tab w:val="left" w:pos="1416"/>
              </w:tabs>
              <w:spacing w:before="60" w:after="60"/>
              <w:ind w:left="0"/>
              <w:contextualSpacing w:val="0"/>
              <w:jc w:val="both"/>
            </w:pPr>
            <w:r>
              <w:rPr>
                <w:rFonts w:eastAsia="Times New Roman"/>
              </w:rPr>
              <w:t xml:space="preserve">Все </w:t>
            </w:r>
            <w:r>
              <w:rPr>
                <w:rFonts w:eastAsia="Times New Roman"/>
              </w:rPr>
              <w:t>поставляемые и применяемые запасные части, и материалы должны быть новыми и не использованными ранее.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Контроль качества используемых запасных частей и материалов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должен обеспечить входной контроль поступающих материалов и запасных частей,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включающий в себя проверку: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Наличия и надлежащего заполнения документа о качестве и соответствии приведенных в нем данных характеристикам, установленным в нормативном документе, регламентирующем технические требования к данной продукции.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Наличия маркировки</w:t>
            </w:r>
            <w:r>
              <w:rPr>
                <w:rFonts w:eastAsia="Times New Roman"/>
              </w:rPr>
              <w:t>, сохранности упаковки, наличия и сохранности защитных и окрасочных покрытий.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Комплектности поставляемых материалов.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Требования к климатическому исполнению и стойкости к воздействующим климатическим факторам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Общие требования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ГОСТ 15150-69 Машины, </w:t>
            </w:r>
            <w:r>
              <w:rPr>
                <w:rFonts w:eastAsia="Times New Roman"/>
              </w:rPr>
              <w:t>приборы и другие технические изделия. Исполнения для различных клима</w:t>
            </w:r>
            <w:r>
              <w:rPr>
                <w:rFonts w:eastAsia="Times New Roman"/>
              </w:rPr>
              <w:lastRenderedPageBreak/>
              <w:t>тических районов. Категории, условия эксплуатации, хранения и транспортирования в части воздействия климатических факторов внешней среды.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Виды климатических исполнений и категорий размещен</w:t>
            </w:r>
            <w:r>
              <w:rPr>
                <w:rFonts w:eastAsia="Times New Roman"/>
              </w:rPr>
              <w:t>ия шкафов, предназначенных для районов с умеренным климатом – УХЛ4.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сборке и проведению испытаний шкафного оборудования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tabs>
                <w:tab w:val="left" w:pos="0"/>
              </w:tabs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</w:tcPr>
          <w:p w:rsidR="00E03F2E" w:rsidRDefault="006670BB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Место и порядок проведения промежуточных приемо-сдаточных испытаний</w:t>
            </w:r>
          </w:p>
        </w:tc>
        <w:tc>
          <w:tcPr>
            <w:tcW w:w="11567" w:type="dxa"/>
          </w:tcPr>
          <w:p w:rsidR="00E03F2E" w:rsidRDefault="006670BB">
            <w:pPr>
              <w:suppressAutoHyphens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ходе исполнения договора, в связи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производственной необходимостью Заказчика в безотрывном графике работы персонала, Поставщиком должно быть обеспечено следующее: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Проведение промежуточных приемо-сдаточных испытаний изготовленных шкафов ВУ АСУТП, </w:t>
            </w:r>
            <w:proofErr w:type="spellStart"/>
            <w:r>
              <w:rPr>
                <w:rFonts w:eastAsia="Times New Roman"/>
              </w:rPr>
              <w:t>общестанционных</w:t>
            </w:r>
            <w:proofErr w:type="spellEnd"/>
            <w:r>
              <w:rPr>
                <w:rFonts w:eastAsia="Times New Roman"/>
              </w:rPr>
              <w:t xml:space="preserve"> систем и МЩУ ГЩУ в соответств</w:t>
            </w:r>
            <w:r>
              <w:rPr>
                <w:rFonts w:eastAsia="Times New Roman"/>
              </w:rPr>
              <w:t>ии с Приложением № 4 к Техническим Требованиям комиссией в составе уполномоченных представителей Заказчика и Поставщика непосредственно на площадке, расположенной в городской черте Санкт-Петербурга, с подписанием Акта.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Перед началом приемо-сдаточных испыта</w:t>
            </w:r>
            <w:r>
              <w:rPr>
                <w:rFonts w:eastAsia="Times New Roman"/>
              </w:rPr>
              <w:t>ний Заказчику должен быть предоставлен паспорт (или протокол) с отметкой службы ОТК разрешающий подачу питания на изделие и обеспечено присутствие в комиссии специалистов службы ОТК Поставщика.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Предоставление площадки для проведения промежуточных приемо-сд</w:t>
            </w:r>
            <w:r>
              <w:rPr>
                <w:rFonts w:eastAsia="Times New Roman"/>
              </w:rPr>
              <w:t>аточных испытаний, которая должна соответствовать следующим требованиям: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5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для обеспечения проверок качества сборки изделий и заявленных технических характеристик оснащенность следующим испытательным оборудованием:</w:t>
            </w:r>
          </w:p>
          <w:p w:rsidR="00E03F2E" w:rsidRDefault="006670BB">
            <w:pPr>
              <w:pStyle w:val="affc"/>
              <w:numPr>
                <w:ilvl w:val="3"/>
                <w:numId w:val="16"/>
              </w:numPr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источник питания 220В постоянного тока дост</w:t>
            </w:r>
            <w:r>
              <w:rPr>
                <w:rFonts w:eastAsia="Times New Roman"/>
              </w:rPr>
              <w:t>аточной мощности для электропитания изделий;</w:t>
            </w:r>
          </w:p>
          <w:p w:rsidR="00E03F2E" w:rsidRDefault="006670BB">
            <w:pPr>
              <w:pStyle w:val="affc"/>
              <w:numPr>
                <w:ilvl w:val="3"/>
                <w:numId w:val="16"/>
              </w:numPr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мультиметр цифровой;</w:t>
            </w:r>
          </w:p>
          <w:p w:rsidR="00E03F2E" w:rsidRDefault="006670BB">
            <w:pPr>
              <w:pStyle w:val="affc"/>
              <w:numPr>
                <w:ilvl w:val="3"/>
                <w:numId w:val="16"/>
              </w:numPr>
              <w:suppressAutoHyphens w:val="0"/>
              <w:spacing w:before="60" w:after="60"/>
              <w:ind w:left="1985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мегомметр.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5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наличие внешних цепей электропитания 220, 50Гц;|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5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наличие заземляющего контура в соответствии ПУЭ для защиты персонала от поражения электрическим током в ходе проведения испытаний.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Наличие у Поставщика возможности оперативного (до 1 суток) устранения замечаний по сборке, выявленных в ходе приемо-сдаточных испытаний для своевременного завершения испытаний перед отправкой оборудования на Объект.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Требования к доставке, маркировке, 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упаковке, транспортировке, перемещению, условиям хранения, приемке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</w:tcBorders>
          </w:tcPr>
          <w:p w:rsidR="00E03F2E" w:rsidRDefault="006670BB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Место поставки</w:t>
            </w:r>
          </w:p>
        </w:tc>
        <w:tc>
          <w:tcPr>
            <w:tcW w:w="11567" w:type="dxa"/>
            <w:tcBorders>
              <w:top w:val="nil"/>
            </w:tcBorders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 соответствии с Таблицей № 1 Технических Требований.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  <w:right w:val="nil"/>
            </w:tcBorders>
          </w:tcPr>
          <w:p w:rsidR="00E03F2E" w:rsidRDefault="006670BB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Входной контроль при поставке</w:t>
            </w:r>
          </w:p>
        </w:tc>
        <w:tc>
          <w:tcPr>
            <w:tcW w:w="11567" w:type="dxa"/>
            <w:tcBorders>
              <w:top w:val="nil"/>
            </w:tcBorders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обязан предварительно официальным письмом уведомить Заказчика о дате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поставки и данных транспортного средства для организации допуска на территорию Объекта.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  <w:right w:val="nil"/>
            </w:tcBorders>
          </w:tcPr>
          <w:p w:rsidR="00E03F2E" w:rsidRDefault="006670BB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Условия доставки</w:t>
            </w:r>
          </w:p>
        </w:tc>
        <w:tc>
          <w:tcPr>
            <w:tcW w:w="11567" w:type="dxa"/>
            <w:tcBorders>
              <w:top w:val="nil"/>
            </w:tcBorders>
            <w:vAlign w:val="center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Комплектация оборудования, транспортировка, контроль состояния продукции в процессе транспортировки, погрузка – разгрузка, контроль состояния </w:t>
            </w:r>
            <w:r>
              <w:rPr>
                <w:rFonts w:eastAsia="Times New Roman"/>
              </w:rPr>
              <w:t>продукции при погрузочно-разгрузочных работах, входной контроль при поставке, размещение на складе Заказчика выполняются силами и за счет средств Поставщика.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Габаритный груз должен быть в заводской упаковке, без механического воздействия на упаковку.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Тре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бования к эксплуатации, обеспечению и утилизации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Назначенный срок службы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Должен составлять не менее 20 лет.</w:t>
            </w:r>
          </w:p>
        </w:tc>
      </w:tr>
      <w:tr w:rsidR="00E03F2E">
        <w:tc>
          <w:tcPr>
            <w:tcW w:w="756" w:type="dxa"/>
            <w:tcBorders>
              <w:top w:val="nil"/>
            </w:tcBorders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Требования к техническому обеспечению</w:t>
            </w:r>
          </w:p>
        </w:tc>
        <w:tc>
          <w:tcPr>
            <w:tcW w:w="11567" w:type="dxa"/>
            <w:tcBorders>
              <w:top w:val="nil"/>
            </w:tcBorders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Подвод кабелей осуществляется с нижней части шкафа через сальниковые вводы с подключением жил на клеммные </w:t>
            </w:r>
            <w:r>
              <w:rPr>
                <w:rFonts w:eastAsia="Times New Roman"/>
              </w:rPr>
              <w:t>ряды зажимов.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Внутренняя кабельная разводка в шкафах проходит по желобам обеспечивая легкий доступ к ней.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Сечение и цвет используемых проводов должен соответствовать действующим нормам и ГОСТ Р 50462 «Идентификация проводников по цветам или цифровым </w:t>
            </w:r>
            <w:r>
              <w:rPr>
                <w:rFonts w:eastAsia="Times New Roman"/>
              </w:rPr>
              <w:t>обозначениям».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Внутренняя кабельная разводка должна иметь маркировку </w:t>
            </w:r>
            <w:proofErr w:type="spellStart"/>
            <w:r>
              <w:rPr>
                <w:rFonts w:eastAsia="Times New Roman"/>
              </w:rPr>
              <w:t>термоусадочными</w:t>
            </w:r>
            <w:proofErr w:type="spellEnd"/>
            <w:r>
              <w:rPr>
                <w:rFonts w:eastAsia="Times New Roman"/>
              </w:rPr>
              <w:t xml:space="preserve"> трубками с печатной буквенной и цифровой информацией.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Обозначение монтажных элементов должно производиться посредством наклеивания бирок на акриловой основе.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Требования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к гарантиям, гарантийному и послегарантийному обслуживанию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Сроки гарантии</w:t>
            </w:r>
          </w:p>
        </w:tc>
        <w:tc>
          <w:tcPr>
            <w:tcW w:w="11567" w:type="dxa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Гарантийные обязательства на все поставляемое оборудование действуют в течение 12 месяца с даты ввода оборудования в промышленную эксплуатацию, но не более 24 месяцев с даты </w:t>
            </w:r>
            <w:r>
              <w:rPr>
                <w:rFonts w:eastAsia="Times New Roman"/>
              </w:rPr>
              <w:t>поставки оборудования.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Срок использования программного продукта и сертификатов технической поддержки должен соответствовать рабочей документации.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Требования к комплектации и документам, поставляемым вместе с продукцией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Документы, передаваемые вместе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 оборудованием</w:t>
            </w:r>
          </w:p>
        </w:tc>
        <w:tc>
          <w:tcPr>
            <w:tcW w:w="11567" w:type="dxa"/>
            <w:shd w:val="clear" w:color="auto" w:fill="auto"/>
            <w:vAlign w:val="center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Поставщик обязан одновременно с передачей оборудования передать Заказчику относящиеся к нему, оформленные надлежащим образом следующие документы: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Сертификаты качества.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Технические паспорта.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Руководства по эксплуатации.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Протоколы испытаний в</w:t>
            </w:r>
            <w:r>
              <w:rPr>
                <w:rFonts w:eastAsia="Times New Roman"/>
              </w:rPr>
              <w:t xml:space="preserve"> соответствии с п. 26 РД 34.45-51.300-97.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Упаковочные листы.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Упаковочные ярлыки.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Товарно-транспортную накладную формы № 1-Т.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7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Товарную накладную унифицированной формы № ТОРГ-12 в 2 экз.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Отчетная документация предоставляется Поставщиком на бумажном и электро</w:t>
            </w:r>
            <w:r>
              <w:rPr>
                <w:rFonts w:eastAsia="Times New Roman"/>
              </w:rPr>
              <w:t>нном видах. Электронный вид документов должен быть записан носитель.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Наличие сертификатов соответствия ГОСТ на поставляемое оборудование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Поставляемое оборудование должно быть сертифицировано.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Поставщик обязан одновременно с передачей оборудования </w:t>
            </w:r>
            <w:r>
              <w:rPr>
                <w:rFonts w:eastAsia="Times New Roman"/>
              </w:rPr>
              <w:t>передать Заказчику относящиеся к нему, оформленные надлежащим образом следующие документы: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Сертификат происхождения.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Сертификат качества.</w:t>
            </w:r>
          </w:p>
          <w:p w:rsidR="00E03F2E" w:rsidRDefault="006670BB">
            <w:pPr>
              <w:pStyle w:val="affc"/>
              <w:widowControl w:val="0"/>
              <w:numPr>
                <w:ilvl w:val="0"/>
                <w:numId w:val="18"/>
              </w:numPr>
              <w:tabs>
                <w:tab w:val="left" w:pos="426"/>
              </w:tabs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rPr>
                <w:rFonts w:eastAsia="Times New Roman"/>
              </w:rPr>
              <w:t>Сертификаты соответствия для оборудования, включенного в Единый перечень продукции, подлежащей обязательной сертификац</w:t>
            </w:r>
            <w:r>
              <w:rPr>
                <w:rFonts w:eastAsia="Times New Roman"/>
              </w:rPr>
              <w:t>ии и в Единый перечень продукции, подлежащей декларированию, утвержденные Правительством РФ и действующие в период действия договора..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соблюдению положений нормативной и иной обязательной для поставщика документации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  <w:shd w:val="clear" w:color="auto" w:fill="auto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Соответствие продукции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нормативно-техническим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документам</w:t>
            </w:r>
          </w:p>
        </w:tc>
        <w:tc>
          <w:tcPr>
            <w:tcW w:w="11567" w:type="dxa"/>
            <w:shd w:val="clear" w:color="auto" w:fill="auto"/>
          </w:tcPr>
          <w:p w:rsidR="00E03F2E" w:rsidRDefault="006670BB">
            <w:pPr>
              <w:widowControl w:val="0"/>
              <w:tabs>
                <w:tab w:val="left" w:pos="1416"/>
              </w:tabs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Поставщик должен руководствоваться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lastRenderedPageBreak/>
              <w:t>Правила устройства электроустановок (действующее издание).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РД </w:t>
            </w:r>
            <w:r>
              <w:rPr>
                <w:rFonts w:eastAsia="Times New Roman"/>
              </w:rPr>
              <w:t>34.35.310-97 «Общие технические требования к микропроцессорным устройствам защиты и автоматики энергосистем».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РД 34.45-51.300-97 «Объем и нормы испытаний электрооборудования»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14254-215 «Степени защиты, обеспечиваемые оболочками (Код IP)».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8865-93</w:t>
            </w:r>
            <w:r>
              <w:rPr>
                <w:rFonts w:eastAsia="Times New Roman"/>
              </w:rPr>
              <w:t xml:space="preserve"> «Системы электрической изоляции. Оценка на </w:t>
            </w:r>
            <w:proofErr w:type="spellStart"/>
            <w:r>
              <w:rPr>
                <w:rFonts w:eastAsia="Times New Roman"/>
              </w:rPr>
              <w:t>нагревостойкости</w:t>
            </w:r>
            <w:proofErr w:type="spellEnd"/>
            <w:r>
              <w:rPr>
                <w:rFonts w:eastAsia="Times New Roman"/>
              </w:rPr>
              <w:t xml:space="preserve"> и классификация».</w:t>
            </w:r>
          </w:p>
          <w:p w:rsidR="00E03F2E" w:rsidRDefault="006670BB">
            <w:pPr>
              <w:pStyle w:val="affc"/>
              <w:widowControl w:val="0"/>
              <w:numPr>
                <w:ilvl w:val="2"/>
                <w:numId w:val="8"/>
              </w:numPr>
              <w:tabs>
                <w:tab w:val="left" w:pos="426"/>
              </w:tabs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rPr>
                <w:rFonts w:eastAsia="Times New Roman"/>
              </w:rPr>
              <w:t>ГОСТ 15150-69 «Машины,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</w:t>
            </w:r>
            <w:r>
              <w:rPr>
                <w:rFonts w:eastAsia="Times New Roman"/>
              </w:rPr>
              <w:t>и воздействия климатических факторов внешней среды»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0"/>
                <w:numId w:val="8"/>
              </w:numPr>
              <w:spacing w:before="60" w:after="6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результатам выпол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нения договора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1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14948" w:type="dxa"/>
            <w:gridSpan w:val="2"/>
            <w:vAlign w:val="center"/>
          </w:tcPr>
          <w:p w:rsidR="00E03F2E" w:rsidRDefault="006670BB">
            <w:pPr>
              <w:widowControl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Требования к порядку приемки результатов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выполнения договора</w:t>
            </w:r>
          </w:p>
        </w:tc>
      </w:tr>
      <w:tr w:rsidR="00E03F2E">
        <w:tc>
          <w:tcPr>
            <w:tcW w:w="756" w:type="dxa"/>
          </w:tcPr>
          <w:p w:rsidR="00E03F2E" w:rsidRDefault="00E03F2E">
            <w:pPr>
              <w:pStyle w:val="affc"/>
              <w:widowControl w:val="0"/>
              <w:numPr>
                <w:ilvl w:val="2"/>
                <w:numId w:val="8"/>
              </w:numPr>
              <w:spacing w:before="60" w:after="60"/>
              <w:ind w:left="0" w:firstLine="0"/>
              <w:contextualSpacing w:val="0"/>
              <w:jc w:val="center"/>
            </w:pPr>
          </w:p>
        </w:tc>
        <w:tc>
          <w:tcPr>
            <w:tcW w:w="3381" w:type="dxa"/>
          </w:tcPr>
          <w:p w:rsidR="00E03F2E" w:rsidRDefault="006670BB">
            <w:pPr>
              <w:widowControl w:val="0"/>
              <w:tabs>
                <w:tab w:val="left" w:pos="426"/>
              </w:tabs>
              <w:spacing w:before="60" w:after="60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Приемка оборудования на объекте</w:t>
            </w:r>
          </w:p>
        </w:tc>
        <w:tc>
          <w:tcPr>
            <w:tcW w:w="11567" w:type="dxa"/>
          </w:tcPr>
          <w:p w:rsidR="00E03F2E" w:rsidRDefault="006670BB">
            <w:pPr>
              <w:widowControl w:val="0"/>
              <w:tabs>
                <w:tab w:val="center" w:pos="7639"/>
              </w:tabs>
              <w:suppressAutoHyphens w:val="0"/>
              <w:spacing w:before="60" w:after="6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 xml:space="preserve">Приемка оборудования оформляется подписанием сторонами Акта 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входного контроля и унифицированной формы ТОРГ-12 «Товарная накладная».</w:t>
            </w:r>
          </w:p>
        </w:tc>
      </w:tr>
    </w:tbl>
    <w:p w:rsidR="00E03F2E" w:rsidRDefault="006670BB">
      <w:pPr>
        <w:sectPr w:rsidR="00E03F2E">
          <w:headerReference w:type="default" r:id="rId10"/>
          <w:footerReference w:type="default" r:id="rId11"/>
          <w:headerReference w:type="first" r:id="rId12"/>
          <w:footerReference w:type="first" r:id="rId13"/>
          <w:pgSz w:w="16838" w:h="11906" w:orient="landscape"/>
          <w:pgMar w:top="1418" w:right="567" w:bottom="709" w:left="567" w:header="0" w:footer="567" w:gutter="0"/>
          <w:cols w:space="720"/>
          <w:formProt w:val="0"/>
          <w:titlePg/>
          <w:docGrid w:linePitch="381" w:charSpace="32768"/>
        </w:sectPr>
      </w:pPr>
      <w:r>
        <w:br w:type="page"/>
      </w:r>
    </w:p>
    <w:p w:rsidR="00E03F2E" w:rsidRDefault="006670B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42" w:name="_Toc53393312"/>
      <w:bookmarkStart w:id="43" w:name="_Toc219818662"/>
      <w:bookmarkStart w:id="44" w:name="_Toc198879911"/>
      <w:bookmarkStart w:id="45" w:name="_Toc75446583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42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 xml:space="preserve"> на этапе закупки</w:t>
      </w:r>
      <w:bookmarkEnd w:id="43"/>
      <w:bookmarkEnd w:id="44"/>
      <w:bookmarkEnd w:id="45"/>
    </w:p>
    <w:p w:rsidR="00E03F2E" w:rsidRDefault="006670BB">
      <w:pPr>
        <w:pStyle w:val="affc"/>
        <w:numPr>
          <w:ilvl w:val="1"/>
          <w:numId w:val="19"/>
        </w:numPr>
        <w:spacing w:before="60" w:after="60"/>
        <w:ind w:left="709" w:hanging="709"/>
        <w:contextualSpacing w:val="0"/>
        <w:jc w:val="both"/>
      </w:pPr>
      <w:r>
        <w:t xml:space="preserve">В обоснование стоимости своей заявки Участник предоставляет Коммерческое предложение по форме </w:t>
      </w:r>
      <w:bookmarkStart w:id="46" w:name="_Hlk88325985"/>
      <w:r>
        <w:t>(с учетом прилагаемой к ней инструкции по заполнению)</w:t>
      </w:r>
      <w:bookmarkEnd w:id="46"/>
      <w:r>
        <w:t>, приведенной в Документации о закупке,</w:t>
      </w:r>
      <w:r>
        <w:rPr>
          <w:rFonts w:asciiTheme="minorHAnsi" w:eastAsiaTheme="minorHAnsi" w:hAnsiTheme="minorHAnsi" w:cstheme="minorBidi"/>
          <w:bCs/>
          <w:iCs/>
          <w:color w:val="000000"/>
          <w:sz w:val="22"/>
          <w:szCs w:val="22"/>
          <w:lang w:eastAsia="x-none"/>
        </w:rPr>
        <w:t xml:space="preserve"> </w:t>
      </w:r>
      <w:r>
        <w:rPr>
          <w:bCs/>
          <w:iCs/>
        </w:rPr>
        <w:t>с приложением к нему заполненной формы Приложения № 1 к Техническим т</w:t>
      </w:r>
      <w:r>
        <w:rPr>
          <w:bCs/>
          <w:iCs/>
        </w:rPr>
        <w:t>ребованиям – Спецификация поставляемого оборудования.</w:t>
      </w:r>
    </w:p>
    <w:p w:rsidR="00E03F2E" w:rsidRDefault="006670BB">
      <w:pPr>
        <w:pStyle w:val="affc"/>
        <w:numPr>
          <w:ilvl w:val="1"/>
          <w:numId w:val="19"/>
        </w:numPr>
        <w:spacing w:before="60" w:after="60"/>
        <w:ind w:left="709" w:hanging="709"/>
        <w:contextualSpacing w:val="0"/>
        <w:jc w:val="both"/>
      </w:pPr>
      <w:bookmarkStart w:id="47" w:name="_Hlk88327292"/>
      <w:r>
        <w:t>Дополнительные документы по ценообразованию</w:t>
      </w:r>
      <w:bookmarkEnd w:id="47"/>
      <w:r>
        <w:t xml:space="preserve"> в состав заявки не включаются.</w:t>
      </w:r>
    </w:p>
    <w:p w:rsidR="00E03F2E" w:rsidRDefault="006670BB">
      <w:pPr>
        <w:keepNext/>
        <w:numPr>
          <w:ilvl w:val="0"/>
          <w:numId w:val="3"/>
        </w:numPr>
        <w:tabs>
          <w:tab w:val="left" w:pos="0"/>
        </w:tabs>
        <w:spacing w:before="120" w:after="60" w:line="240" w:lineRule="auto"/>
        <w:ind w:left="0" w:firstLine="0"/>
        <w:jc w:val="center"/>
        <w:outlineLvl w:val="0"/>
        <w:rPr>
          <w:b/>
          <w:sz w:val="28"/>
          <w:szCs w:val="28"/>
          <w:lang w:val="x-none" w:eastAsia="x-none"/>
        </w:rPr>
      </w:pPr>
      <w:bookmarkStart w:id="48" w:name="_Toc54646412"/>
      <w:bookmarkStart w:id="49" w:name="_Toc46743519"/>
      <w:bookmarkStart w:id="50" w:name="_Toc51339699"/>
      <w:bookmarkStart w:id="51" w:name="_Toc130201883"/>
      <w:bookmarkStart w:id="52" w:name="_Toc219818663"/>
      <w:bookmarkEnd w:id="48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Приложени</w:t>
      </w:r>
      <w:bookmarkEnd w:id="49"/>
      <w:bookmarkEnd w:id="50"/>
      <w:bookmarkEnd w:id="51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я</w:t>
      </w:r>
      <w:bookmarkEnd w:id="52"/>
    </w:p>
    <w:p w:rsidR="00E03F2E" w:rsidRDefault="006670B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Каждое приложение доступно к открытию путем двойного клика по значку, содержащему ссылку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2633"/>
        <w:gridCol w:w="7278"/>
      </w:tblGrid>
      <w:tr w:rsidR="00E03F2E">
        <w:tc>
          <w:tcPr>
            <w:tcW w:w="2635" w:type="dxa"/>
          </w:tcPr>
          <w:p w:rsidR="00E03F2E" w:rsidRDefault="006670B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Ссылки на документ</w:t>
            </w:r>
          </w:p>
        </w:tc>
        <w:tc>
          <w:tcPr>
            <w:tcW w:w="7285" w:type="dxa"/>
          </w:tcPr>
          <w:p w:rsidR="00E03F2E" w:rsidRDefault="006670B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Наименов</w:t>
            </w:r>
            <w:r>
              <w:rPr>
                <w:rFonts w:ascii="Times New Roman" w:eastAsia="Calibri" w:hAnsi="Times New Roman" w:cs="Times New Roman"/>
                <w:b/>
                <w:sz w:val="20"/>
                <w:szCs w:val="20"/>
                <w:lang w:eastAsia="ru-RU"/>
              </w:rPr>
              <w:t>ание документа</w:t>
            </w:r>
            <w:bookmarkStart w:id="53" w:name="_MON_1831716847"/>
          </w:p>
        </w:tc>
      </w:tr>
      <w:bookmarkStart w:id="54" w:name="_GoBack"/>
      <w:bookmarkEnd w:id="53"/>
      <w:bookmarkEnd w:id="54"/>
      <w:tr w:rsidR="00E03F2E">
        <w:tc>
          <w:tcPr>
            <w:tcW w:w="2635" w:type="dxa"/>
          </w:tcPr>
          <w:p w:rsidR="00E03F2E" w:rsidRDefault="006670B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object w:dxaOrig="1933" w:dyaOrig="125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4" type="#_x0000_t75" style="width:96.75pt;height:62.25pt" o:ole="">
                  <v:imagedata r:id="rId14" o:title=""/>
                </v:shape>
                <o:OLEObject Type="Embed" ProgID="Excel.OpenDocumentSpreadsheet.12" ShapeID="_x0000_i1034" DrawAspect="Icon" ObjectID="_1845111500" r:id="rId15"/>
              </w:object>
            </w:r>
            <w:r>
              <w:rPr>
                <w:rFonts w:eastAsia="Calibri"/>
              </w:rPr>
              <w:pict>
                <v:shapetype id="_x0000_tole_rId8" o:spid="_x0000_m1031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0" simplePos="0" relativeHeight="251656192" behindDoc="0" locked="0" layoutInCell="1" allowOverlap="1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</wp:posOffset>
                      </wp:positionV>
                      <wp:extent cx="635000" cy="635000"/>
                      <wp:effectExtent l="635" t="0" r="0" b="0"/>
                      <wp:wrapNone/>
                      <wp:docPr id="1" name="_x0000_tole_rId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40" cy="635040"/>
                              </a:xfrm>
                              <a:prstGeom prst="rect">
                                <a:avLst/>
                              </a:prstGeom>
                              <a:noFill/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_x0000_tole_rId6" stroked="f" o:allowincell="t" style="position:absolute;margin-left:0.05pt;margin-top:0pt;width:49.95pt;height:49.95pt;mso-wrap-style:none;v-text-anchor:middle" type="_x0000_t75">
                      <v:fill o:detectmouseclick="t" on="false"/>
                      <v:stroke color="#3465a4" joinstyle="round" endcap="flat"/>
                      <w10:wrap type="none"/>
                    </v:shape>
                  </w:pict>
                </mc:Fallback>
              </mc:AlternateContent>
            </w:r>
          </w:p>
        </w:tc>
        <w:tc>
          <w:tcPr>
            <w:tcW w:w="7285" w:type="dxa"/>
            <w:vAlign w:val="center"/>
          </w:tcPr>
          <w:p w:rsidR="00E03F2E" w:rsidRDefault="006670BB">
            <w:pPr>
              <w:spacing w:before="60" w:after="6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ПРИЛОЖЕНИЕ № 1 – СПЕЦИФИКАЦИЯ ПОСТАВЛЯЕМОГО ОБОРУДОВАНИЯ</w:t>
            </w:r>
          </w:p>
        </w:tc>
      </w:tr>
      <w:tr w:rsidR="00E03F2E">
        <w:tc>
          <w:tcPr>
            <w:tcW w:w="2635" w:type="dxa"/>
          </w:tcPr>
          <w:p w:rsidR="00E03F2E" w:rsidRDefault="006670BB">
            <w:pPr>
              <w:pStyle w:val="af2"/>
            </w:pPr>
            <w:r>
              <w:object w:dxaOrig="1933" w:dyaOrig="1251">
                <v:shape id="_x0000_i1029" type="#_x0000_t75" style="width:96.75pt;height:62.25pt" o:ole="">
                  <v:imagedata r:id="rId16" o:title=""/>
                </v:shape>
                <o:OLEObject Type="Embed" ProgID="Package" ShapeID="_x0000_i1029" DrawAspect="Icon" ObjectID="_1845111501" r:id="rId17"/>
              </w:object>
            </w:r>
          </w:p>
          <w:p w:rsidR="00E03F2E" w:rsidRDefault="00E03F2E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285" w:type="dxa"/>
            <w:vAlign w:val="center"/>
          </w:tcPr>
          <w:p w:rsidR="00E03F2E" w:rsidRDefault="006670BB">
            <w:pPr>
              <w:spacing w:before="60" w:after="6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ПРИЛОЖЕНИЕ № 2 – ДОКУМЕНТАЦИЯ ПО МЩУ ЧИРКЕЙСКОЙ ГЭС</w:t>
            </w:r>
          </w:p>
        </w:tc>
      </w:tr>
      <w:tr w:rsidR="00E03F2E">
        <w:tc>
          <w:tcPr>
            <w:tcW w:w="2635" w:type="dxa"/>
          </w:tcPr>
          <w:p w:rsidR="00E03F2E" w:rsidRDefault="006670B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eastAsia="Calibri"/>
                <w:sz w:val="20"/>
                <w:szCs w:val="20"/>
                <w:lang w:eastAsia="ru-RU"/>
              </w:rPr>
              <w:pict>
                <v:shapetype id="_x0000_tole_rId10" o:spid="_x0000_m1029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eastAsia="Calibri"/>
                <w:sz w:val="20"/>
                <w:szCs w:val="20"/>
                <w:lang w:eastAsia="ru-RU"/>
              </w:rPr>
              <w:object w:dxaOrig="1530" w:dyaOrig="990">
                <v:shape id="ole_rId10" o:spid="_x0000_i1026" type="#_x0000_t75" style="width:76.5pt;height:49.5pt;visibility:visible;mso-wrap-distance-right:0;mso-wrap-distance-bottom:3pt" o:ole="">
                  <v:imagedata r:id="rId18" o:title=""/>
                </v:shape>
                <o:OLEObject Type="Embed" ProgID="AcroExch.Document.DC" ShapeID="ole_rId10" DrawAspect="Icon" ObjectID="_1845111502" r:id="rId19"/>
              </w:object>
            </w:r>
          </w:p>
        </w:tc>
        <w:tc>
          <w:tcPr>
            <w:tcW w:w="7285" w:type="dxa"/>
            <w:vAlign w:val="center"/>
          </w:tcPr>
          <w:p w:rsidR="00E03F2E" w:rsidRDefault="006670BB">
            <w:pPr>
              <w:spacing w:before="60" w:after="6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ПРИЛОЖЕНИЕ № 3 – ТЕХНИЧЕСКАЯ ПОЛИТИКА ГРУППЫ РУСГИДРО</w:t>
            </w:r>
            <w:bookmarkStart w:id="55" w:name="_MON_1831717129"/>
          </w:p>
        </w:tc>
      </w:tr>
      <w:bookmarkEnd w:id="55"/>
      <w:tr w:rsidR="00E03F2E">
        <w:tc>
          <w:tcPr>
            <w:tcW w:w="2635" w:type="dxa"/>
          </w:tcPr>
          <w:p w:rsidR="00E03F2E" w:rsidRDefault="006670BB">
            <w:pPr>
              <w:spacing w:before="60" w:after="6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eastAsia="Calibri"/>
                <w:sz w:val="20"/>
                <w:szCs w:val="20"/>
                <w:lang w:eastAsia="ru-RU"/>
              </w:rPr>
              <w:pict>
                <v:shapetype id="_x0000_tole_rId12" o:spid="_x0000_m1027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eastAsia="Calibri"/>
                <w:sz w:val="20"/>
                <w:szCs w:val="20"/>
                <w:lang w:eastAsia="ru-RU"/>
              </w:rPr>
              <w:object w:dxaOrig="1530" w:dyaOrig="1005">
                <v:shape id="ole_rId12" o:spid="_x0000_i1027" type="#_x0000_t75" style="width:76.5pt;height:50.25pt;visibility:visible;mso-wrap-distance-right:0;mso-wrap-distance-bottom:3pt" o:ole="">
                  <v:imagedata r:id="rId20" o:title=""/>
                </v:shape>
                <o:OLEObject Type="Embed" ProgID="Word.Document.12" ShapeID="ole_rId12" DrawAspect="Icon" ObjectID="_1845111503" r:id="rId21"/>
              </w:object>
            </w:r>
          </w:p>
        </w:tc>
        <w:tc>
          <w:tcPr>
            <w:tcW w:w="7285" w:type="dxa"/>
            <w:vAlign w:val="center"/>
          </w:tcPr>
          <w:p w:rsidR="00E03F2E" w:rsidRDefault="006670BB">
            <w:pPr>
              <w:spacing w:before="60" w:after="6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 xml:space="preserve">ПРИЛОЖЕНИЕ № 4 – 633312.425220.00018.600.ПМ.01 </w:t>
            </w:r>
          </w:p>
          <w:p w:rsidR="00E03F2E" w:rsidRDefault="006670BB">
            <w:pPr>
              <w:spacing w:before="60" w:after="6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ПРОГРАММА И МЕТОДИКА ЗАВОДСКИХ ИСПЫТАНИЙ</w:t>
            </w:r>
          </w:p>
        </w:tc>
      </w:tr>
    </w:tbl>
    <w:p w:rsidR="00E03F2E" w:rsidRDefault="00E03F2E">
      <w:pPr>
        <w:widowControl w:val="0"/>
        <w:tabs>
          <w:tab w:val="left" w:pos="426"/>
        </w:tabs>
        <w:spacing w:before="60"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sectPr w:rsidR="00E03F2E">
      <w:headerReference w:type="default" r:id="rId22"/>
      <w:footerReference w:type="default" r:id="rId23"/>
      <w:headerReference w:type="first" r:id="rId24"/>
      <w:footerReference w:type="first" r:id="rId25"/>
      <w:pgSz w:w="11906" w:h="16838"/>
      <w:pgMar w:top="567" w:right="567" w:bottom="709" w:left="1418" w:header="0" w:footer="567" w:gutter="0"/>
      <w:cols w:space="720"/>
      <w:formProt w:val="0"/>
      <w:docGrid w:linePitch="381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6670BB">
      <w:pPr>
        <w:spacing w:after="0" w:line="240" w:lineRule="auto"/>
      </w:pPr>
      <w:r>
        <w:separator/>
      </w:r>
    </w:p>
  </w:endnote>
  <w:endnote w:type="continuationSeparator" w:id="0">
    <w:p w:rsidR="00000000" w:rsidRDefault="006670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1"/>
    <w:family w:val="roman"/>
    <w:pitch w:val="variable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 (Заголовки)">
    <w:panose1 w:val="00000000000000000000"/>
    <w:charset w:val="00"/>
    <w:family w:val="roman"/>
    <w:notTrueType/>
    <w:pitch w:val="default"/>
  </w:font>
  <w:font w:name="Verdana">
    <w:panose1 w:val="020B0604030504040204"/>
    <w:charset w:val="01"/>
    <w:family w:val="roman"/>
    <w:pitch w:val="variable"/>
  </w:font>
  <w:font w:name="Garamond">
    <w:panose1 w:val="02020404030301010803"/>
    <w:charset w:val="01"/>
    <w:family w:val="roman"/>
    <w:pitch w:val="variable"/>
  </w:font>
  <w:font w:name="Arial CYR">
    <w:charset w:val="01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15171809"/>
      <w:docPartObj>
        <w:docPartGallery w:val="Page Numbers (Bottom of Page)"/>
        <w:docPartUnique/>
      </w:docPartObj>
    </w:sdtPr>
    <w:sdtEndPr/>
    <w:sdtContent>
      <w:p w:rsidR="00E03F2E" w:rsidRDefault="006670BB">
        <w:pPr>
          <w:pStyle w:val="af0"/>
          <w:jc w:val="right"/>
          <w:rPr>
            <w:sz w:val="24"/>
            <w:szCs w:val="24"/>
          </w:rPr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4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6670BB">
    <w:pPr>
      <w:pStyle w:val="af0"/>
      <w:jc w:val="right"/>
    </w:pPr>
    <w:r>
      <w:t>7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13358683"/>
      <w:docPartObj>
        <w:docPartGallery w:val="Page Numbers (Bottom of Page)"/>
        <w:docPartUnique/>
      </w:docPartObj>
    </w:sdtPr>
    <w:sdtEndPr/>
    <w:sdtContent>
      <w:p w:rsidR="00E03F2E" w:rsidRDefault="006670BB">
        <w:pPr>
          <w:pStyle w:val="af0"/>
          <w:jc w:val="right"/>
          <w:rPr>
            <w:sz w:val="24"/>
            <w:szCs w:val="24"/>
          </w:rPr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13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6670BB">
    <w:pPr>
      <w:pStyle w:val="af0"/>
      <w:jc w:val="right"/>
    </w:pPr>
    <w:r>
      <w:t>7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6670BB">
    <w:pPr>
      <w:pStyle w:val="af0"/>
      <w:jc w:val="right"/>
      <w:rPr>
        <w:sz w:val="24"/>
        <w:szCs w:val="24"/>
      </w:rPr>
    </w:pPr>
    <w:r>
      <w:rPr>
        <w:sz w:val="24"/>
        <w:szCs w:val="24"/>
      </w:rPr>
      <w:t>14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E03F2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6670BB">
      <w:pPr>
        <w:spacing w:after="0" w:line="240" w:lineRule="auto"/>
      </w:pPr>
      <w:r>
        <w:separator/>
      </w:r>
    </w:p>
  </w:footnote>
  <w:footnote w:type="continuationSeparator" w:id="0">
    <w:p w:rsidR="00000000" w:rsidRDefault="006670B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E03F2E">
    <w:pPr>
      <w:pStyle w:val="ac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E03F2E">
    <w:pPr>
      <w:pStyle w:val="ac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E03F2E">
    <w:pPr>
      <w:pStyle w:val="ac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3F2E" w:rsidRDefault="00E03F2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1A6C2D"/>
    <w:multiLevelType w:val="multilevel"/>
    <w:tmpl w:val="89866B30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" w15:restartNumberingAfterBreak="0">
    <w:nsid w:val="019F6825"/>
    <w:multiLevelType w:val="multilevel"/>
    <w:tmpl w:val="450E840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  <w:bCs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152" w:hanging="432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" w15:restartNumberingAfterBreak="0">
    <w:nsid w:val="04C11890"/>
    <w:multiLevelType w:val="multilevel"/>
    <w:tmpl w:val="FABEE37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3" w15:restartNumberingAfterBreak="0">
    <w:nsid w:val="0D7339C6"/>
    <w:multiLevelType w:val="multilevel"/>
    <w:tmpl w:val="606204B0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3)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4" w15:restartNumberingAfterBreak="0">
    <w:nsid w:val="1155223D"/>
    <w:multiLevelType w:val="multilevel"/>
    <w:tmpl w:val="4CA60918"/>
    <w:lvl w:ilvl="0">
      <w:start w:val="1"/>
      <w:numFmt w:val="russianLower"/>
      <w:lvlText w:val="%1)"/>
      <w:lvlJc w:val="left"/>
      <w:pPr>
        <w:tabs>
          <w:tab w:val="num" w:pos="0"/>
        </w:tabs>
        <w:ind w:left="226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98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700" w:hanging="180"/>
      </w:pPr>
    </w:lvl>
    <w:lvl w:ilvl="3">
      <w:start w:val="1"/>
      <w:numFmt w:val="russianLower"/>
      <w:lvlText w:val="%4)"/>
      <w:lvlJc w:val="left"/>
      <w:pPr>
        <w:tabs>
          <w:tab w:val="num" w:pos="0"/>
        </w:tabs>
        <w:ind w:left="442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1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8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5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3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8020" w:hanging="180"/>
      </w:pPr>
    </w:lvl>
  </w:abstractNum>
  <w:abstractNum w:abstractNumId="5" w15:restartNumberingAfterBreak="0">
    <w:nsid w:val="18290484"/>
    <w:multiLevelType w:val="multilevel"/>
    <w:tmpl w:val="C0843FF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6" w15:restartNumberingAfterBreak="0">
    <w:nsid w:val="1B5658E1"/>
    <w:multiLevelType w:val="multilevel"/>
    <w:tmpl w:val="FFB8F5E0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21045803"/>
    <w:multiLevelType w:val="multilevel"/>
    <w:tmpl w:val="795C2EFC"/>
    <w:lvl w:ilvl="0">
      <w:start w:val="1"/>
      <w:numFmt w:val="decimal"/>
      <w:lvlText w:val="%1)"/>
      <w:lvlJc w:val="left"/>
      <w:pPr>
        <w:tabs>
          <w:tab w:val="num" w:pos="0"/>
        </w:tabs>
        <w:ind w:left="0" w:firstLine="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</w:lvl>
  </w:abstractNum>
  <w:abstractNum w:abstractNumId="8" w15:restartNumberingAfterBreak="0">
    <w:nsid w:val="260E32D5"/>
    <w:multiLevelType w:val="multilevel"/>
    <w:tmpl w:val="C82AB202"/>
    <w:lvl w:ilvl="0">
      <w:start w:val="1"/>
      <w:numFmt w:val="decimal"/>
      <w:lvlText w:val="%1."/>
      <w:lvlJc w:val="left"/>
      <w:pPr>
        <w:tabs>
          <w:tab w:val="num" w:pos="0"/>
        </w:tabs>
        <w:ind w:left="107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993"/>
        </w:tabs>
        <w:ind w:left="1425" w:hanging="432"/>
      </w:pPr>
      <w:rPr>
        <w:b/>
        <w:bCs/>
        <w:i w:val="0"/>
        <w:i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9" w15:restartNumberingAfterBreak="0">
    <w:nsid w:val="28517408"/>
    <w:multiLevelType w:val="multilevel"/>
    <w:tmpl w:val="5FFE040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5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0" w15:restartNumberingAfterBreak="0">
    <w:nsid w:val="2F923546"/>
    <w:multiLevelType w:val="multilevel"/>
    <w:tmpl w:val="EBE8CABA"/>
    <w:lvl w:ilvl="0">
      <w:start w:val="3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0" w:hanging="420"/>
      </w:pPr>
      <w:rPr>
        <w:sz w:val="26"/>
        <w:szCs w:val="26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440" w:hanging="720"/>
      </w:pPr>
      <w:rPr>
        <w:b w:val="0"/>
        <w:bCs w:val="0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80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1800"/>
      </w:pPr>
    </w:lvl>
  </w:abstractNum>
  <w:abstractNum w:abstractNumId="11" w15:restartNumberingAfterBreak="0">
    <w:nsid w:val="37BB4425"/>
    <w:multiLevelType w:val="multilevel"/>
    <w:tmpl w:val="0E8C8B40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2" w15:restartNumberingAfterBreak="0">
    <w:nsid w:val="38862F7E"/>
    <w:multiLevelType w:val="multilevel"/>
    <w:tmpl w:val="87B469BA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3" w15:restartNumberingAfterBreak="0">
    <w:nsid w:val="3F9D200D"/>
    <w:multiLevelType w:val="multilevel"/>
    <w:tmpl w:val="7B700228"/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4" w15:restartNumberingAfterBreak="0">
    <w:nsid w:val="3FC10B7D"/>
    <w:multiLevelType w:val="multilevel"/>
    <w:tmpl w:val="F9F01E82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15" w15:restartNumberingAfterBreak="0">
    <w:nsid w:val="4EF314B9"/>
    <w:multiLevelType w:val="multilevel"/>
    <w:tmpl w:val="4B5C9B54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6" w15:restartNumberingAfterBreak="0">
    <w:nsid w:val="51F4343D"/>
    <w:multiLevelType w:val="multilevel"/>
    <w:tmpl w:val="81680DEA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abstractNum w:abstractNumId="17" w15:restartNumberingAfterBreak="0">
    <w:nsid w:val="543D6B60"/>
    <w:multiLevelType w:val="multilevel"/>
    <w:tmpl w:val="159450DA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8" w15:restartNumberingAfterBreak="0">
    <w:nsid w:val="5E9F511A"/>
    <w:multiLevelType w:val="multilevel"/>
    <w:tmpl w:val="3D6A727A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0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0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7121577C"/>
    <w:multiLevelType w:val="multilevel"/>
    <w:tmpl w:val="FC02851A"/>
    <w:lvl w:ilvl="0">
      <w:start w:val="1"/>
      <w:numFmt w:val="decimal"/>
      <w:pStyle w:val="21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0" w15:restartNumberingAfterBreak="0">
    <w:nsid w:val="7B704CB7"/>
    <w:multiLevelType w:val="multilevel"/>
    <w:tmpl w:val="AE86B598"/>
    <w:lvl w:ilvl="0">
      <w:start w:val="1"/>
      <w:numFmt w:val="decimal"/>
      <w:lvlText w:val="%1)"/>
      <w:lvlJc w:val="left"/>
      <w:pPr>
        <w:tabs>
          <w:tab w:val="num" w:pos="0"/>
        </w:tabs>
        <w:ind w:left="1627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34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6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8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0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22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94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6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87" w:hanging="180"/>
      </w:pPr>
    </w:lvl>
  </w:abstractNum>
  <w:num w:numId="1">
    <w:abstractNumId w:val="2"/>
  </w:num>
  <w:num w:numId="2">
    <w:abstractNumId w:val="18"/>
  </w:num>
  <w:num w:numId="3">
    <w:abstractNumId w:val="8"/>
  </w:num>
  <w:num w:numId="4">
    <w:abstractNumId w:val="14"/>
  </w:num>
  <w:num w:numId="5">
    <w:abstractNumId w:val="19"/>
  </w:num>
  <w:num w:numId="6">
    <w:abstractNumId w:val="17"/>
  </w:num>
  <w:num w:numId="7">
    <w:abstractNumId w:val="9"/>
  </w:num>
  <w:num w:numId="8">
    <w:abstractNumId w:val="1"/>
  </w:num>
  <w:num w:numId="9">
    <w:abstractNumId w:val="12"/>
  </w:num>
  <w:num w:numId="10">
    <w:abstractNumId w:val="13"/>
  </w:num>
  <w:num w:numId="11">
    <w:abstractNumId w:val="3"/>
  </w:num>
  <w:num w:numId="12">
    <w:abstractNumId w:val="7"/>
  </w:num>
  <w:num w:numId="13">
    <w:abstractNumId w:val="0"/>
  </w:num>
  <w:num w:numId="14">
    <w:abstractNumId w:val="11"/>
  </w:num>
  <w:num w:numId="15">
    <w:abstractNumId w:val="16"/>
  </w:num>
  <w:num w:numId="16">
    <w:abstractNumId w:val="4"/>
  </w:num>
  <w:num w:numId="17">
    <w:abstractNumId w:val="5"/>
  </w:num>
  <w:num w:numId="18">
    <w:abstractNumId w:val="15"/>
  </w:num>
  <w:num w:numId="19">
    <w:abstractNumId w:val="10"/>
  </w:num>
  <w:num w:numId="20">
    <w:abstractNumId w:val="20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3F2E"/>
    <w:rsid w:val="006670BB"/>
    <w:rsid w:val="00E03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79675C7A-F915-42FB-AC7C-07CEBE802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3">
    <w:name w:val="Normal"/>
    <w:qFormat/>
    <w:rsid w:val="00DA5791"/>
    <w:pPr>
      <w:spacing w:after="160" w:line="259" w:lineRule="auto"/>
    </w:pPr>
  </w:style>
  <w:style w:type="paragraph" w:styleId="1">
    <w:name w:val="heading 1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2">
    <w:name w:val="heading 2"/>
    <w:basedOn w:val="4"/>
    <w:next w:val="a3"/>
    <w:link w:val="23"/>
    <w:qFormat/>
    <w:rsid w:val="00F62E73"/>
    <w:pPr>
      <w:outlineLvl w:val="1"/>
    </w:pPr>
  </w:style>
  <w:style w:type="paragraph" w:styleId="32">
    <w:name w:val="heading 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3">
    <w:name w:val="Заголовок 2 Знак"/>
    <w:basedOn w:val="a4"/>
    <w:link w:val="22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4">
    <w:name w:val="Основной текст с отступом 2 Знак"/>
    <w:basedOn w:val="a4"/>
    <w:link w:val="25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6">
    <w:name w:val="Основной текст 2 Знак"/>
    <w:basedOn w:val="a4"/>
    <w:link w:val="27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semiHidden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uiPriority w:val="99"/>
    <w:semiHidden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8">
    <w:name w:val="Цитата 2 Знак"/>
    <w:basedOn w:val="a4"/>
    <w:link w:val="29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a">
    <w:name w:val="Пункт2 Знак"/>
    <w:link w:val="2b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paragraph" w:styleId="afff6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7">
    <w:name w:val="List"/>
    <w:basedOn w:val="af2"/>
  </w:style>
  <w:style w:type="paragraph" w:styleId="afff8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9">
    <w:name w:val="index heading"/>
    <w:basedOn w:val="afff6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heading1">
    <w:name w:val="index heading1"/>
    <w:basedOn w:val="afff6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6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">
    <w:name w:val="index heading111"/>
    <w:basedOn w:val="afff6"/>
    <w:qFormat/>
  </w:style>
  <w:style w:type="paragraph" w:customStyle="1" w:styleId="caption1111">
    <w:name w:val="caption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">
    <w:name w:val="index heading1111"/>
    <w:basedOn w:val="afff6"/>
    <w:qFormat/>
  </w:style>
  <w:style w:type="paragraph" w:customStyle="1" w:styleId="caption11111">
    <w:name w:val="caption11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11">
    <w:name w:val="index heading11111"/>
    <w:basedOn w:val="afff6"/>
    <w:qFormat/>
  </w:style>
  <w:style w:type="paragraph" w:customStyle="1" w:styleId="caption111111">
    <w:name w:val="caption11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11">
    <w:name w:val="index heading111111"/>
    <w:basedOn w:val="afff6"/>
    <w:qFormat/>
  </w:style>
  <w:style w:type="paragraph" w:customStyle="1" w:styleId="afffa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c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b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5">
    <w:name w:val="Body Text Indent 2"/>
    <w:basedOn w:val="a3"/>
    <w:link w:val="24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7">
    <w:name w:val="Body Text 2"/>
    <w:basedOn w:val="a3"/>
    <w:link w:val="26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c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b">
    <w:name w:val="Пункт2"/>
    <w:basedOn w:val="a3"/>
    <w:link w:val="2a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d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e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uiPriority w:val="99"/>
    <w:semiHidden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d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0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9">
    <w:name w:val="Quote"/>
    <w:basedOn w:val="a3"/>
    <w:next w:val="a3"/>
    <w:link w:val="28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1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2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0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0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3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4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5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6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7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8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</w:rPr>
  </w:style>
  <w:style w:type="paragraph" w:customStyle="1" w:styleId="affff9">
    <w:name w:val="Содержимое врезки"/>
    <w:basedOn w:val="a3"/>
    <w:qFormat/>
  </w:style>
  <w:style w:type="paragraph" w:customStyle="1" w:styleId="affffa">
    <w:name w:val="Содержимое таблицы"/>
    <w:basedOn w:val="a3"/>
    <w:qFormat/>
    <w:pPr>
      <w:widowControl w:val="0"/>
      <w:suppressLineNumbers/>
    </w:pPr>
  </w:style>
  <w:style w:type="paragraph" w:customStyle="1" w:styleId="affffb">
    <w:name w:val="Заголовок таблицы"/>
    <w:basedOn w:val="affffa"/>
    <w:qFormat/>
    <w:pPr>
      <w:jc w:val="center"/>
    </w:pPr>
    <w:rPr>
      <w:b/>
      <w:bCs/>
    </w:rPr>
  </w:style>
  <w:style w:type="paragraph" w:customStyle="1" w:styleId="2e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customStyle="1" w:styleId="Default">
    <w:name w:val="Default"/>
    <w:qFormat/>
    <w:rsid w:val="00840A6C"/>
    <w:pPr>
      <w:suppressAutoHyphens w:val="0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tandard">
    <w:name w:val="Standard"/>
    <w:qFormat/>
    <w:rsid w:val="005D3D0A"/>
    <w:pPr>
      <w:textAlignment w:val="baseline"/>
    </w:pPr>
    <w:rPr>
      <w:rFonts w:eastAsia="Times New Roman" w:cs="Times New Roman"/>
      <w:kern w:val="2"/>
      <w:sz w:val="24"/>
      <w:szCs w:val="24"/>
      <w:lang w:eastAsia="ru-RU"/>
    </w:rPr>
  </w:style>
  <w:style w:type="paragraph" w:customStyle="1" w:styleId="410">
    <w:name w:val="Маркированный список 41"/>
    <w:basedOn w:val="a3"/>
    <w:qFormat/>
    <w:rsid w:val="00E34B35"/>
    <w:pPr>
      <w:tabs>
        <w:tab w:val="left" w:pos="0"/>
      </w:tabs>
      <w:spacing w:before="120" w:after="0" w:line="240" w:lineRule="auto"/>
      <w:ind w:left="-207" w:hanging="360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xl124">
    <w:name w:val="xl124"/>
    <w:basedOn w:val="a3"/>
    <w:qFormat/>
    <w:rsid w:val="0023727E"/>
    <w:pPr>
      <w:pBdr>
        <w:top w:val="single" w:sz="4" w:space="0" w:color="000000"/>
        <w:left w:val="single" w:sz="8" w:space="0" w:color="000000"/>
        <w:bottom w:val="single" w:sz="8" w:space="0" w:color="000000"/>
        <w:right w:val="single" w:sz="4" w:space="0" w:color="000000"/>
      </w:pBdr>
      <w:spacing w:beforeAutospacing="1" w:afterAutospacing="1" w:line="240" w:lineRule="auto"/>
      <w:jc w:val="center"/>
      <w:textAlignment w:val="center"/>
    </w:pPr>
    <w:rPr>
      <w:rFonts w:ascii="Arial CYR" w:eastAsia="Times New Roman" w:hAnsi="Arial CYR" w:cs="Times New Roman"/>
      <w:sz w:val="24"/>
      <w:szCs w:val="24"/>
      <w:lang w:eastAsia="ru-RU"/>
    </w:r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c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4.xml"/><Relationship Id="rId18" Type="http://schemas.openxmlformats.org/officeDocument/2006/relationships/image" Target="media/image3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Microsoft_Word_Document.docx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oleObject" Target="embeddings/oleObject2.bin"/><Relationship Id="rId25" Type="http://schemas.openxmlformats.org/officeDocument/2006/relationships/footer" Target="footer6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footer" Target="footer5.xml"/><Relationship Id="rId10" Type="http://schemas.openxmlformats.org/officeDocument/2006/relationships/header" Target="header1.xml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1.emf"/><Relationship Id="rId22" Type="http://schemas.openxmlformats.org/officeDocument/2006/relationships/header" Target="header3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19A3D8-337C-4344-8030-C95390DDDC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</TotalTime>
  <Pages>14</Pages>
  <Words>3364</Words>
  <Characters>19179</Characters>
  <Application>Microsoft Office Word</Application>
  <DocSecurity>0</DocSecurity>
  <Lines>159</Lines>
  <Paragraphs>44</Paragraphs>
  <ScaleCrop>false</ScaleCrop>
  <Company>РусГидро</Company>
  <LinksUpToDate>false</LinksUpToDate>
  <CharactersWithSpaces>22499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Ерин Михаил Владимирович</cp:lastModifiedBy>
  <cp:revision>21</cp:revision>
  <cp:lastPrinted>2023-03-17T09:24:00Z</cp:lastPrinted>
  <dcterms:created xsi:type="dcterms:W3CDTF">2026-04-02T13:09:00Z</dcterms:created>
  <dcterms:modified xsi:type="dcterms:W3CDTF">2026-07-09T11:12:00Z</dcterms:modified>
  <dc:language>ru-RU</dc:language>
</cp:coreProperties>
</file>