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header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media/image13.wmf" ContentType="image/x-wmf"/>
  <Override PartName="/word/media/image12.wmf" ContentType="image/x-wmf"/>
  <Override PartName="/word/media/image11.wmf" ContentType="image/x-wmf"/>
  <Override PartName="/word/media/image10.wmf" ContentType="image/x-wmf"/>
  <Override PartName="/word/media/image9.wmf" ContentType="image/x-wmf"/>
  <Override PartName="/word/media/image8.wmf" ContentType="image/x-wmf"/>
  <Override PartName="/word/media/image17.wmf" ContentType="image/x-wmf"/>
  <Override PartName="/word/media/image5.wmf" ContentType="image/x-wmf"/>
  <Override PartName="/word/media/image18.wmf" ContentType="image/x-wmf"/>
  <Override PartName="/word/media/image6.wmf" ContentType="image/x-wmf"/>
  <Override PartName="/word/media/image19.wmf" ContentType="image/x-wmf"/>
  <Override PartName="/word/media/image7.wmf" ContentType="image/x-wmf"/>
  <Override PartName="/word/media/image20.wmf" ContentType="image/x-wmf"/>
  <Override PartName="/word/media/image22.wmf" ContentType="image/x-wmf"/>
  <Override PartName="/word/media/image21.wmf" ContentType="image/x-wmf"/>
  <Override PartName="/word/media/image4.wmf" ContentType="image/x-wmf"/>
  <Override PartName="/word/media/image16.wmf" ContentType="image/x-wmf"/>
  <Override PartName="/word/media/image15.wmf" ContentType="image/x-wmf"/>
  <Override PartName="/word/media/image1.png" ContentType="image/png"/>
  <Override PartName="/word/media/image3.wmf" ContentType="image/x-wmf"/>
  <Override PartName="/word/media/image2.wmf" ContentType="image/x-wmf"/>
  <Override PartName="/word/media/image14.wmf" ContentType="image/x-wmf"/>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rFonts w:eastAsia="Times New Roman" w:cs="Times New Roman"/>
          <w:b/>
          <w:color w:val="auto"/>
          <w:kern w:val="0"/>
          <w:sz w:val="24"/>
          <w:szCs w:val="24"/>
          <w:lang w:val="ru-RU" w:eastAsia="en-US" w:bidi="ar-SA"/>
        </w:rPr>
        <w:t>«</w:t>
      </w:r>
      <w:r>
        <w:rPr>
          <w:b/>
          <w:lang w:eastAsia="en-US"/>
        </w:rPr>
        <w:t>Национальный режим</w:t>
      </w:r>
      <w:r>
        <w:rPr>
          <w:rFonts w:eastAsia="Times New Roman" w:cs="Times New Roman"/>
          <w:b/>
          <w:color w:val="auto"/>
          <w:kern w:val="0"/>
          <w:sz w:val="24"/>
          <w:szCs w:val="24"/>
          <w:lang w:val="ru-RU" w:eastAsia="en-US" w:bidi="ar-SA"/>
        </w:rPr>
        <w:t xml:space="preserve">» – </w:t>
      </w:r>
      <w:r>
        <w:rPr>
          <w:rFonts w:eastAsia="Times New Roman" w:cs="Times New Roman"/>
          <w:b w:val="false"/>
          <w:bCs w:val="false"/>
          <w:color w:val="auto"/>
          <w:kern w:val="0"/>
          <w:sz w:val="24"/>
          <w:szCs w:val="24"/>
          <w:lang w:val="ru-RU" w:eastAsia="en-US" w:bidi="ar-SA"/>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rFonts w:eastAsia="Times New Roman" w:cs="Times New Roman"/>
          <w:b/>
          <w:bCs/>
          <w:color w:val="000000"/>
          <w:kern w:val="0"/>
          <w:sz w:val="24"/>
          <w:szCs w:val="24"/>
          <w:shd w:fill="C0C0C0" w:val="clear"/>
          <w:lang w:val="ru-RU" w:eastAsia="ru-RU" w:bidi="ar-SA"/>
        </w:rPr>
        <w:t>«Отходы»</w:t>
      </w:r>
      <w:r>
        <w:rPr>
          <w:rFonts w:eastAsia="Times New Roman" w:cs="Times New Roman"/>
          <w:color w:val="000000"/>
          <w:kern w:val="0"/>
          <w:sz w:val="24"/>
          <w:szCs w:val="24"/>
          <w:shd w:fill="C0C0C0" w:val="clear"/>
          <w:lang w:val="ru-RU" w:eastAsia="ru-RU" w:bidi="ar-SA"/>
        </w:rPr>
        <w:t xml:space="preserve"> </w:t>
      </w:r>
      <w:r>
        <w:rPr>
          <w:rFonts w:eastAsia="Times New Roman" w:cs="Times New Roman"/>
          <w:color w:val="000000"/>
          <w:kern w:val="0"/>
          <w:sz w:val="24"/>
          <w:szCs w:val="24"/>
          <w:shd w:fill="C0C0C0" w:val="clear"/>
          <w:lang w:val="ru-RU" w:eastAsia="en-US" w:bidi="ar-SA"/>
        </w:rPr>
        <w:t>–</w:t>
      </w:r>
      <w:r>
        <w:rPr>
          <w:rFonts w:eastAsia="Times New Roman" w:cs="Times New Roman"/>
          <w:color w:val="000000"/>
          <w:kern w:val="0"/>
          <w:sz w:val="24"/>
          <w:szCs w:val="24"/>
          <w:shd w:fill="C0C0C0" w:val="clear"/>
          <w:lang w:val="ru-RU" w:eastAsia="ru-RU" w:bidi="ar-SA"/>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оказании Услуг по Договору</w:t>
      </w:r>
      <w:r>
        <w:rPr>
          <w:rStyle w:val="FootnoteReference"/>
          <w:rFonts w:eastAsia="Times New Roman" w:cs="Times New Roman"/>
          <w:color w:val="000000"/>
          <w:kern w:val="0"/>
          <w:sz w:val="24"/>
          <w:szCs w:val="24"/>
          <w:shd w:fill="C0C0C0" w:val="clear"/>
          <w:lang w:val="ru-RU" w:eastAsia="ru-RU" w:bidi="ar-SA"/>
        </w:rPr>
        <w:footnoteReference w:id="2"/>
      </w:r>
      <w:r>
        <w:rPr>
          <w:rFonts w:eastAsia="Times New Roman" w:cs="Times New Roman"/>
          <w:color w:val="000000"/>
          <w:kern w:val="0"/>
          <w:sz w:val="24"/>
          <w:szCs w:val="24"/>
          <w:shd w:fill="C0C0C0" w:val="clear"/>
          <w:lang w:val="ru-RU" w:eastAsia="ru-RU" w:bidi="ar-SA"/>
        </w:rPr>
        <w:t>, ответственность за обращение с которыми несет Исполнитель.</w:t>
      </w:r>
      <w:r>
        <w:rPr>
          <w:rStyle w:val="FootnoteReference"/>
          <w:rFonts w:eastAsia="Times New Roman" w:cs="Times New Roman"/>
          <w:color w:val="000000"/>
          <w:kern w:val="0"/>
          <w:sz w:val="24"/>
          <w:szCs w:val="24"/>
          <w:shd w:fill="C0C0C0" w:val="clear"/>
          <w:lang w:val="ru-RU" w:eastAsia="ru-RU" w:bidi="ar-SA"/>
        </w:rPr>
        <w:footnoteReference w:id="3"/>
      </w:r>
      <w:r>
        <w:rPr>
          <w:lang w:eastAsia="en-US"/>
        </w:rPr>
        <w:t xml:space="preserve">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1418" w:leader="none"/>
        </w:tabs>
        <w:ind w:left="0" w:firstLine="709"/>
        <w:jc w:val="both"/>
        <w:rPr/>
      </w:pPr>
      <w:r>
        <w:rPr>
          <w:highlight w:val="lightGray"/>
        </w:rPr>
        <w:t>До даты окончания оказания Услуг обеспечить за свой счет исполнение обязанностей в области обращения с Отходами, в том числе:</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bCs/>
          <w:shd w:fill="C0C0C0" w:val="clear"/>
        </w:rPr>
        <w:t xml:space="preserve">Обеспечить за свой счет осуществление деятельности по сбору, накоплению, транспортированию, обработке, утилизации, обезвреживанию, </w:t>
      </w:r>
      <w:r>
        <w:rPr>
          <w:rFonts w:eastAsia="Times New Roman" w:cs="Times New Roman"/>
          <w:bCs/>
          <w:color w:val="000000"/>
          <w:kern w:val="0"/>
          <w:sz w:val="24"/>
          <w:szCs w:val="24"/>
          <w:shd w:fill="C0C0C0" w:val="clear"/>
          <w:lang w:val="ru-RU" w:eastAsia="ru-RU" w:bidi="ar-SA"/>
        </w:rPr>
        <w:t>размещению</w:t>
      </w:r>
      <w:r>
        <w:rPr>
          <w:bCs/>
          <w:shd w:fill="C0C0C0" w:val="clear"/>
        </w:rPr>
        <w:t xml:space="preserve"> Отходов, а также внесение платы за негативное воздействие на окружающую среду (далее </w:t>
      </w:r>
      <w:r>
        <w:rPr>
          <w:b w:val="false"/>
          <w:bCs/>
          <w:sz w:val="24"/>
          <w:szCs w:val="24"/>
          <w:shd w:fill="C0C0C0" w:val="clear"/>
          <w:lang w:val="ru-RU" w:eastAsia="en-US"/>
        </w:rPr>
        <w:t>–</w:t>
      </w:r>
      <w:r>
        <w:rPr>
          <w:bCs/>
          <w:shd w:fill="C0C0C0" w:val="clear"/>
        </w:rPr>
        <w:t xml:space="preserve"> НВОС) при размещении Отходов.</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shd w:fill="C0C0C0" w:val="clear"/>
        </w:rPr>
        <w:t xml:space="preserve">Обеспечить накопление </w:t>
      </w:r>
      <w:r>
        <w:rPr>
          <w:rFonts w:eastAsia="Times New Roman" w:cs="Times New Roman"/>
          <w:color w:val="000000"/>
          <w:kern w:val="0"/>
          <w:sz w:val="24"/>
          <w:szCs w:val="24"/>
          <w:shd w:fill="C0C0C0" w:val="clear"/>
          <w:lang w:val="ru-RU" w:eastAsia="ru-RU" w:bidi="ar-SA"/>
        </w:rPr>
        <w:t>Отходов</w:t>
      </w:r>
      <w:r>
        <w:rPr>
          <w:shd w:fill="C0C0C0" w:val="clear"/>
        </w:rPr>
        <w:t xml:space="preserve"> в </w:t>
      </w:r>
      <w:r>
        <w:rPr>
          <w:rFonts w:eastAsia="Times New Roman" w:cs="Times New Roman"/>
          <w:color w:val="000000"/>
          <w:kern w:val="0"/>
          <w:sz w:val="24"/>
          <w:szCs w:val="24"/>
          <w:shd w:fill="C0C0C0" w:val="clear"/>
          <w:lang w:val="ru-RU" w:eastAsia="ru-RU" w:bidi="ar-SA"/>
        </w:rPr>
        <w:t>местах</w:t>
      </w:r>
      <w:r>
        <w:rPr>
          <w:shd w:fill="C0C0C0" w:val="clear"/>
        </w:rPr>
        <w:t>, указанных или согласованных с Заказчиком.</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shd w:fill="C0C0C0" w:val="clear"/>
        </w:rPr>
        <w:t>Своевременно</w:t>
      </w:r>
      <w:r>
        <w:rPr>
          <w:rStyle w:val="FootnoteReference"/>
          <w:shd w:fill="C0C0C0" w:val="clear"/>
        </w:rPr>
        <w:footnoteReference w:id="4"/>
      </w:r>
      <w:r>
        <w:rPr>
          <w:shd w:fill="C0C0C0" w:val="clear"/>
        </w:rPr>
        <w:t xml:space="preserve"> транспортировать Отходы из мест накопления на объекты </w:t>
      </w:r>
      <w:r>
        <w:rPr>
          <w:rFonts w:eastAsia="Times New Roman" w:cs="Times New Roman"/>
          <w:color w:val="000000"/>
          <w:kern w:val="0"/>
          <w:sz w:val="24"/>
          <w:szCs w:val="24"/>
          <w:shd w:fill="C0C0C0" w:val="clear"/>
          <w:lang w:val="ru-RU" w:eastAsia="ru-RU" w:bidi="ar-SA"/>
        </w:rPr>
        <w:t>сбора</w:t>
      </w:r>
      <w:r>
        <w:rPr>
          <w:shd w:fill="C0C0C0" w:val="clear"/>
        </w:rPr>
        <w:t xml:space="preserve">, обработки, </w:t>
      </w:r>
      <w:r>
        <w:rPr>
          <w:rFonts w:eastAsia="Times New Roman" w:cs="Times New Roman"/>
          <w:color w:val="000000"/>
          <w:kern w:val="0"/>
          <w:sz w:val="24"/>
          <w:szCs w:val="24"/>
          <w:shd w:fill="C0C0C0" w:val="clear"/>
          <w:lang w:val="ru-RU" w:eastAsia="ru-RU" w:bidi="ar-SA"/>
        </w:rPr>
        <w:t>утилизации</w:t>
      </w:r>
      <w:r>
        <w:rPr>
          <w:shd w:fill="C0C0C0" w:val="clear"/>
        </w:rPr>
        <w:t>, обезвреживания, размещения Отходов в соответствии с соблюдением экологических требований, санитарно-</w:t>
      </w:r>
      <w:r>
        <w:rPr>
          <w:rFonts w:eastAsia="Times New Roman" w:cs="Times New Roman"/>
          <w:color w:val="000000"/>
          <w:kern w:val="0"/>
          <w:sz w:val="24"/>
          <w:szCs w:val="24"/>
          <w:shd w:fill="C0C0C0" w:val="clear"/>
          <w:lang w:val="ru-RU" w:eastAsia="ru-RU" w:bidi="ar-SA"/>
        </w:rPr>
        <w:t>эпидемиологических</w:t>
      </w:r>
      <w:r>
        <w:rPr>
          <w:shd w:fill="C0C0C0" w:val="clear"/>
        </w:rPr>
        <w:t xml:space="preserve"> требований и иных требований, установленных законодательством </w:t>
      </w:r>
      <w:r>
        <w:rPr>
          <w:rFonts w:eastAsia="Times New Roman" w:cs="Times New Roman"/>
          <w:color w:val="000000"/>
          <w:kern w:val="0"/>
          <w:sz w:val="24"/>
          <w:szCs w:val="24"/>
          <w:shd w:fill="C0C0C0" w:val="clear"/>
          <w:lang w:val="ru-RU" w:eastAsia="ru-RU" w:bidi="ar-SA"/>
        </w:rPr>
        <w:t>Российской</w:t>
      </w:r>
      <w:r>
        <w:rPr>
          <w:shd w:fill="C0C0C0" w:val="clear"/>
        </w:rPr>
        <w:t xml:space="preserve"> </w:t>
      </w:r>
      <w:r>
        <w:rPr>
          <w:rFonts w:eastAsia="Times New Roman" w:cs="Times New Roman"/>
          <w:color w:val="000000"/>
          <w:kern w:val="0"/>
          <w:sz w:val="24"/>
          <w:szCs w:val="24"/>
          <w:shd w:fill="C0C0C0" w:val="clear"/>
          <w:lang w:val="ru-RU" w:eastAsia="ru-RU" w:bidi="ar-SA"/>
        </w:rPr>
        <w:t>Федерации об автомобильном, железнодорожном, воздушном, внутреннем водном и морском транспорте, а также требованиями, установленными локальными нормативными документами (актами) Заказчика в области обращения с Отходами на территории Заказчика.</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Предоставить Заказчику копию распорядительного документа о назначении лица, допущенного к сбору, транспортированию, обработке, утилизации, обезвреживанию, размещению Отходов и несущего ответственность за деятельность в области обращения с Отходами.</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В случае необходимости осуществления деятельности в области обращения с Отходами I-IV классов опасности иметь соответствующие допуски, разрешения и / или лицензии или привлечь третьих лиц, имеющих право выполнения работ / оказания услуг по обращению с Отходами I-IV классов опасности с включением расходов по договору выполнения работ / оказания услуг по обращению с Отходами I-IV классов опасности в Расчет стоимости Услуг, в том числе допускать к обращению с Отходами I-IV классов опасности только лиц, имеющих профессиональную подготовку, подтвержденную свидетельствами (сертификатами) на право работ с Отходами I-IV классов опасности. Исполнитель обязан предоставить Заказчику копию соответствующих допусков, разрешений, лицензии и / или свидетельств (сертификатов).</w:t>
      </w:r>
      <w:r>
        <w:rPr>
          <w:rStyle w:val="FootnoteReference"/>
          <w:rFonts w:eastAsia="Times New Roman" w:cs="Times New Roman"/>
          <w:color w:val="000000"/>
          <w:kern w:val="0"/>
          <w:sz w:val="24"/>
          <w:szCs w:val="24"/>
          <w:shd w:fill="C0C0C0" w:val="clear"/>
          <w:lang w:val="ru-RU" w:eastAsia="ru-RU" w:bidi="ar-SA"/>
        </w:rPr>
        <w:footnoteReference w:id="5"/>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r>
    </w:p>
    <w:p>
      <w:pPr>
        <w:pStyle w:val="ListParagraph"/>
        <w:numPr>
          <w:ilvl w:val="2"/>
          <w:numId w:val="20"/>
        </w:numPr>
        <w:shd w:val="clear" w:color="auto" w:fill="FFFFFF"/>
        <w:tabs>
          <w:tab w:val="clear" w:pos="709"/>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6"/>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3"/>
          <w:numId w:val="21"/>
        </w:numPr>
        <w:ind w:left="0" w:firstLine="709"/>
        <w:jc w:val="both"/>
        <w:rPr/>
      </w:pPr>
      <w:r>
        <w:rPr>
          <w:bCs/>
          <w:highlight w:val="lightGray"/>
        </w:rPr>
        <w:t xml:space="preserve">Исполнитель вправе заключить договор на оказание услуг по обращению с Отходами с третьими лицами с учетом ограничения и на условиях, предусмотренного пунктом 2.4.4. Договора. </w:t>
      </w:r>
    </w:p>
    <w:p>
      <w:pPr>
        <w:pStyle w:val="ListParagraph"/>
        <w:ind w:left="0" w:firstLine="709"/>
        <w:jc w:val="both"/>
        <w:rPr/>
      </w:pPr>
      <w:r>
        <w:rPr>
          <w:bCs/>
          <w:highlight w:val="lightGray"/>
        </w:rPr>
        <w:t xml:space="preserve">При этом оплата по договору, указанному в настоящем пункте Договора, осуществляется Исполнителем с включением </w:t>
      </w:r>
      <w:r>
        <w:rPr>
          <w:rFonts w:eastAsia="Times New Roman" w:cs="Times New Roman"/>
          <w:bCs/>
          <w:color w:val="auto"/>
          <w:kern w:val="0"/>
          <w:sz w:val="24"/>
          <w:szCs w:val="24"/>
          <w:highlight w:val="lightGray"/>
          <w:lang w:val="ru-RU" w:eastAsia="ru-RU" w:bidi="ar-SA"/>
        </w:rPr>
        <w:t>расходов</w:t>
      </w:r>
      <w:r>
        <w:rPr>
          <w:bCs/>
          <w:highlight w:val="lightGray"/>
        </w:rPr>
        <w:t xml:space="preserve"> по соответствующему договору и расходов по внесению платы за НВОС при размещении Отходов в Сводный сметный расчет / Объектный сметный расчет с приложениями.</w:t>
      </w:r>
      <w:r>
        <w:rPr>
          <w:rStyle w:val="FootnoteReference"/>
          <w:bCs/>
          <w:highlight w:val="lightGray"/>
        </w:rPr>
        <w:footnoteReference w:id="7"/>
      </w:r>
    </w:p>
    <w:p>
      <w:pPr>
        <w:pStyle w:val="ListParagraph"/>
        <w:numPr>
          <w:ilvl w:val="2"/>
          <w:numId w:val="21"/>
        </w:numPr>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highlight w:val="lightGray"/>
        </w:rPr>
        <w:footnoteReference w:id="8"/>
      </w:r>
      <w:r>
        <w:rPr>
          <w:bCs/>
        </w:rPr>
        <w:t>.</w:t>
      </w:r>
    </w:p>
    <w:p>
      <w:pPr>
        <w:pStyle w:val="ListParagraph"/>
        <w:numPr>
          <w:ilvl w:val="1"/>
          <w:numId w:val="21"/>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21"/>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7 к Договору</w:t>
      </w:r>
      <w:r>
        <w:rPr>
          <w:rStyle w:val="FootnoteReference"/>
          <w:highlight w:val="lightGray"/>
        </w:rPr>
        <w:footnoteReference w:id="9"/>
      </w:r>
      <w:r>
        <w:rPr>
          <w:highlight w:val="lightGray"/>
        </w:rPr>
        <w:t>.</w:t>
      </w:r>
    </w:p>
    <w:p>
      <w:pPr>
        <w:pStyle w:val="ListParagraph"/>
        <w:numPr>
          <w:ilvl w:val="1"/>
          <w:numId w:val="21"/>
        </w:numPr>
        <w:tabs>
          <w:tab w:val="left" w:pos="709" w:leader="none"/>
          <w:tab w:val="left" w:pos="851"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10"/>
      </w:r>
      <w:r>
        <w:rPr>
          <w:bCs/>
        </w:rPr>
        <w:t>.</w:t>
      </w:r>
    </w:p>
    <w:p>
      <w:pPr>
        <w:pStyle w:val="ListParagraph"/>
        <w:numPr>
          <w:ilvl w:val="1"/>
          <w:numId w:val="27"/>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1" w:name="_Ref373240288"/>
      <w:bookmarkStart w:id="12" w:name="_Ref361834178"/>
      <w:bookmarkEnd w:id="12"/>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11"/>
      </w:r>
      <w:r>
        <w:rPr/>
        <w:t xml:space="preserve">,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12"/>
      </w:r>
      <w:r>
        <w:rPr/>
        <w:t xml:space="preserve"> / </w:t>
      </w:r>
      <w:r>
        <w:rPr>
          <w:highlight w:val="lightGray"/>
        </w:rPr>
        <w:t>45 (сорока пяти) календарных дней</w:t>
      </w:r>
      <w:r>
        <w:rPr>
          <w:rStyle w:val="FootnoteReference"/>
          <w:highlight w:val="lightGray"/>
        </w:rPr>
        <w:footnoteReference w:id="13"/>
      </w:r>
      <w:r>
        <w:rPr/>
        <w:t xml:space="preserve"> / </w:t>
      </w:r>
      <w:r>
        <w:rPr>
          <w:highlight w:val="lightGray"/>
        </w:rPr>
        <w:t>7 (семи) рабочих дней</w:t>
      </w:r>
      <w:r>
        <w:rPr>
          <w:rStyle w:val="FootnoteReference"/>
          <w:highlight w:val="lightGray"/>
        </w:rPr>
        <w:footnoteReference w:id="14"/>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Договору/УПД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5"/>
        </w:numPr>
        <w:shd w:val="clear" w:color="auto" w:fill="FFFFFF"/>
        <w:tabs>
          <w:tab w:val="clear" w:pos="709"/>
          <w:tab w:val="left" w:pos="1418" w:leader="none"/>
          <w:tab w:val="left" w:pos="1701" w:leader="none"/>
        </w:tabs>
        <w:ind w:left="0" w:firstLine="709"/>
        <w:jc w:val="both"/>
        <w:rPr>
          <w:sz w:val="24"/>
          <w:szCs w:val="24"/>
        </w:rPr>
      </w:pPr>
      <w:r>
        <w:rPr>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5"/>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6"/>
      </w:r>
      <w:r>
        <w:rPr>
          <w:highlight w:val="lightGray"/>
        </w:rPr>
        <w:t>.</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w:t>
      </w:r>
      <w:r>
        <w:rPr>
          <w:bCs/>
          <w:shd w:fill="C0C0C0" w:val="clear"/>
        </w:rPr>
        <w:t>экологических, санитарно-</w:t>
      </w:r>
      <w:r>
        <w:rPr>
          <w:rFonts w:eastAsia="Times New Roman" w:cs="Times New Roman"/>
          <w:bCs/>
          <w:color w:val="000000"/>
          <w:kern w:val="0"/>
          <w:sz w:val="24"/>
          <w:szCs w:val="24"/>
          <w:shd w:fill="C0C0C0" w:val="clear"/>
          <w:lang w:val="ru-RU" w:eastAsia="ru-RU" w:bidi="ar-SA"/>
        </w:rPr>
        <w:t>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w:t>
      </w:r>
      <w:r>
        <w:rPr>
          <w:rStyle w:val="FootnoteReference"/>
          <w:rFonts w:eastAsia="Times New Roman" w:cs="Times New Roman"/>
          <w:bCs/>
          <w:color w:val="000000"/>
          <w:kern w:val="0"/>
          <w:sz w:val="24"/>
          <w:szCs w:val="24"/>
          <w:shd w:fill="C0C0C0" w:val="clear"/>
          <w:lang w:val="ru-RU" w:eastAsia="ru-RU" w:bidi="ar-SA"/>
        </w:rPr>
        <w:footnoteReference w:id="17"/>
      </w:r>
      <w:r>
        <w:rPr>
          <w:rFonts w:eastAsia="Times New Roman" w:cs="Times New Roman"/>
          <w:bCs/>
          <w:color w:val="000000"/>
          <w:kern w:val="0"/>
          <w:sz w:val="24"/>
          <w:szCs w:val="24"/>
          <w:shd w:fill="C0C0C0" w:val="clear"/>
          <w:lang w:val="ru-RU" w:eastAsia="ru-RU" w:bidi="ar-SA"/>
        </w:rPr>
        <w:t>,</w:t>
      </w:r>
      <w:r>
        <w:rPr>
          <w:rFonts w:eastAsia="Times New Roman" w:cs="Times New Roman"/>
          <w:bCs/>
          <w:color w:val="000000"/>
          <w:kern w:val="0"/>
          <w:sz w:val="24"/>
          <w:szCs w:val="24"/>
          <w:shd w:fill="auto" w:val="clear"/>
          <w:lang w:val="ru-RU" w:eastAsia="ru-RU" w:bidi="ar-SA"/>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w:t>
      </w:r>
      <w:r>
        <w:rPr>
          <w:bCs/>
          <w:shd w:fill="C0C0C0" w:val="clear"/>
        </w:rPr>
        <w:t xml:space="preserve">включая реальный ущерб в виде возмещения расходов по уплате </w:t>
      </w:r>
      <w:r>
        <w:rPr>
          <w:rFonts w:eastAsia="Times New Roman" w:cs="Times New Roman"/>
          <w:bCs/>
          <w:color w:val="000000"/>
          <w:kern w:val="0"/>
          <w:sz w:val="24"/>
          <w:szCs w:val="24"/>
          <w:shd w:fill="C0C0C0" w:val="clear"/>
          <w:lang w:val="ru-RU" w:eastAsia="ru-RU" w:bidi="ar-SA"/>
        </w:rPr>
        <w:t>соответствующих</w:t>
      </w:r>
      <w:r>
        <w:rPr>
          <w:bCs/>
          <w:shd w:fill="C0C0C0" w:val="clear"/>
        </w:rPr>
        <w:t xml:space="preserve"> административных штрафов</w:t>
      </w:r>
      <w:r>
        <w:rPr>
          <w:rStyle w:val="FootnoteReference"/>
          <w:bCs/>
          <w:shd w:fill="C0C0C0" w:val="clear"/>
        </w:rPr>
        <w:footnoteReference w:id="18"/>
      </w:r>
      <w:r>
        <w:rPr>
          <w:bCs/>
          <w:shd w:fill="C0C0C0" w:val="clear"/>
        </w:rPr>
        <w:t xml:space="preserve">, </w:t>
      </w:r>
      <w:r>
        <w:rPr>
          <w:bCs/>
        </w:rPr>
        <w:t xml:space="preserve">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highlight w:val="lightGray"/>
        </w:rPr>
      </w:pPr>
      <w:r>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Размер упущенной выгоды (выручки) подтверждается (по выбору Заказчика):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rPr>
      </w:pPr>
      <w:r>
        <w:rPr>
          <w:sz w:val="24"/>
          <w:szCs w:val="28"/>
          <w:highlight w:val="lightGray"/>
        </w:rPr>
        <w:t>в ценовой зоне оптового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rPr>
      </w:pPr>
      <w:r>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Cs w:val="28"/>
          <w:highlight w:val="lightGray"/>
        </w:rPr>
        <w:t>(далее – Ассоциация «НП Совета рынка»).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lang w:val="ru-RU"/>
        </w:rPr>
      </w:pPr>
      <w:r>
        <w:rPr>
          <w:rFonts w:eastAsia="Times New Roman" w:cs="Times New Roman"/>
          <w:color w:val="auto"/>
          <w:kern w:val="0"/>
          <w:sz w:val="24"/>
          <w:szCs w:val="24"/>
          <w:highlight w:val="lightGray"/>
          <w:lang w:val="ru-RU" w:eastAsia="ru-RU" w:bidi="ar-SA"/>
        </w:rPr>
        <w:t>в о</w:t>
      </w:r>
      <w:r>
        <w:rPr>
          <w:sz w:val="24"/>
          <w:szCs w:val="28"/>
          <w:highlight w:val="lightGray"/>
          <w:lang w:val="ru-RU"/>
        </w:rPr>
        <w:t xml:space="preserve">тдельной территории ценовой зоны оптового рынка, ранее относившейся к  неценовой зоне оптового рынка Дальнего Востока: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w:t>
      </w:r>
      <w:r>
        <w:rPr>
          <w:sz w:val="24"/>
          <w:szCs w:val="28"/>
          <w:highlight w:val="lightGray"/>
          <w:lang w:val="ru-RU"/>
        </w:rPr>
        <w:t xml:space="preserve"> </w:t>
      </w:r>
      <w:r>
        <w:rPr>
          <w:sz w:val="24"/>
          <w:szCs w:val="24"/>
          <w:highlight w:val="lightGray"/>
          <w:lang w:val="ru-RU"/>
        </w:rPr>
        <w:t xml:space="preserve">вновь вводимого (модернизируемого) оборудования ТЭС в отдельной территории ценовой зоны оптового рынка, ранее относившейся к неценовой зоне </w:t>
      </w:r>
      <w:r>
        <w:rPr>
          <w:bCs/>
          <w:color w:val="000000"/>
          <w:sz w:val="24"/>
          <w:szCs w:val="24"/>
          <w:highlight w:val="lightGray"/>
          <w:shd w:fill="CCCCCC" w:val="clear"/>
          <w:lang w:val="ru-RU"/>
        </w:rPr>
        <w:t xml:space="preserve">оптового рынка </w:t>
      </w:r>
      <w:r>
        <w:rPr>
          <w:sz w:val="24"/>
          <w:szCs w:val="24"/>
          <w:highlight w:val="lightGray"/>
          <w:lang w:val="ru-RU"/>
        </w:rPr>
        <w:t xml:space="preserve">Дальнего Востока Подрядчик дополнительно компенсирует Заказчику упущенную выгоду (выручку) в </w:t>
      </w:r>
      <w:r>
        <w:rPr>
          <w:szCs w:val="28"/>
          <w:highlight w:val="lightGray"/>
          <w:lang w:val="ru-RU"/>
        </w:rPr>
        <w:t xml:space="preserve">связи: </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выгоды для каждого месяца просрочки определяется</w:t>
      </w:r>
      <w:r>
        <w:rPr>
          <w:sz w:val="24"/>
          <w:szCs w:val="28"/>
          <w:highlight w:val="lightGray"/>
          <w:lang w:val="ru-RU"/>
        </w:rPr>
        <w:t xml:space="preserve"> </w:t>
      </w:r>
      <w:r>
        <w:rPr>
          <w:sz w:val="24"/>
          <w:szCs w:val="24"/>
          <w:highlight w:val="lightGray"/>
          <w:lang w:val="ru-RU"/>
        </w:rPr>
        <w:t>в соответствии с Правилами ОРЭМ.</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применением</w:t>
      </w:r>
      <w:r>
        <w:rPr>
          <w:sz w:val="24"/>
          <w:szCs w:val="28"/>
          <w:highlight w:val="lightGray"/>
        </w:rPr>
        <w:t xml:space="preserve">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w:t>
      </w:r>
      <w:r>
        <w:rPr>
          <w:szCs w:val="28"/>
          <w:highlight w:val="lightGray"/>
        </w:rPr>
        <w:t>ОРЭМ</w:t>
      </w:r>
      <w:r>
        <w:rPr>
          <w:rStyle w:val="FootnoteReference"/>
          <w:szCs w:val="28"/>
          <w:highlight w:val="lightGray"/>
        </w:rPr>
        <w:footnoteReference w:id="19"/>
      </w:r>
      <w:r>
        <w:rPr>
          <w:szCs w:val="28"/>
          <w:highlight w:val="lightGray"/>
        </w:rPr>
        <w:t>.</w:t>
      </w:r>
    </w:p>
    <w:p>
      <w:pPr>
        <w:pStyle w:val="Normal"/>
        <w:shd w:val="clear" w:color="auto" w:fill="D9D9D9" w:themeFill="background1" w:themeFillShade="d9"/>
        <w:tabs>
          <w:tab w:val="clear" w:pos="709"/>
          <w:tab w:val="left" w:pos="1134" w:leader="none"/>
        </w:tabs>
        <w:ind w:firstLine="709"/>
        <w:jc w:val="both"/>
        <w:rPr>
          <w:szCs w:val="28"/>
          <w:lang w:val="ru-RU"/>
        </w:rPr>
      </w:pPr>
      <w:r>
        <w:rPr>
          <w:szCs w:val="28"/>
          <w:highlight w:val="lightGray"/>
          <w:lang w:val="ru-RU"/>
        </w:rPr>
        <w:t>Методика</w:t>
      </w:r>
      <w:r>
        <w:rPr>
          <w:sz w:val="24"/>
          <w:szCs w:val="28"/>
          <w:highlight w:val="lightGray"/>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t>
      </w:r>
      <w:r>
        <w:rPr>
          <w:bCs/>
          <w:color w:val="000000"/>
          <w:sz w:val="24"/>
          <w:szCs w:val="24"/>
          <w:highlight w:val="lightGray"/>
          <w:shd w:fill="auto" w:val="clear"/>
          <w:lang w:val="ru-RU"/>
        </w:rPr>
        <w:t xml:space="preserve">оптового рынка </w:t>
      </w:r>
      <w:r>
        <w:rPr>
          <w:sz w:val="24"/>
          <w:szCs w:val="28"/>
          <w:highlight w:val="lightGray"/>
          <w:lang w:val="ru-RU"/>
        </w:rPr>
        <w:t xml:space="preserve">Дальнего Востока изложена в </w:t>
      </w:r>
      <w:r>
        <w:rPr>
          <w:szCs w:val="28"/>
          <w:highlight w:val="lightGray"/>
          <w:lang w:val="ru-RU"/>
        </w:rPr>
        <w:t>Приложении № 8 к Договору.</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sz w:val="24"/>
          <w:szCs w:val="24"/>
          <w:highlight w:val="lightGray"/>
          <w:shd w:fill="auto" w:val="clear"/>
        </w:rPr>
        <w:footnoteReference w:id="20"/>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ПАО </w:t>
      </w:r>
      <w:r>
        <w:rPr>
          <w:rFonts w:eastAsia="Times New Roman" w:cs="Times New Roman"/>
          <w:color w:val="auto"/>
          <w:kern w:val="0"/>
          <w:sz w:val="24"/>
          <w:szCs w:val="24"/>
          <w:lang w:val="ru-RU" w:eastAsia="ru-RU" w:bidi="ar-SA"/>
        </w:rPr>
        <w:t>«РусГидро»</w:t>
      </w:r>
      <w:r>
        <w:rPr>
          <w:lang w:val="ru-RU"/>
        </w:rPr>
        <w:t xml:space="preserve">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21"/>
      </w:r>
      <w:r>
        <w:rPr>
          <w:highlight w:val="lightGray"/>
          <w:lang w:val="ru-RU" w:eastAsia="en-US"/>
        </w:rPr>
        <w:t>.</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22"/>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jc w:val="both"/>
        <w:rPr>
          <w:lang w:val="ru-RU"/>
        </w:rPr>
      </w:pPr>
      <w:r>
        <w:rPr>
          <w:highlight w:val="lightGray"/>
          <w:lang w:val="ru-RU"/>
        </w:rPr>
        <w:t xml:space="preserve">Приложение № 8 – Методика </w:t>
      </w:r>
      <w:r>
        <w:rPr>
          <w:bCs/>
          <w:sz w:val="24"/>
          <w:szCs w:val="24"/>
          <w:highlight w:val="lightGray"/>
          <w:lang w:val="ru-RU"/>
        </w:rPr>
        <w:t>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rPr>
                <w:lang w:val="ru-RU"/>
              </w:rPr>
            </w:pPr>
            <w:r>
              <w:rPr>
                <w:sz w:val="24"/>
                <w:szCs w:val="24"/>
                <w:lang w:val="ru-RU"/>
              </w:rPr>
              <w:t>д. 43, стр. 1</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rFonts w:eastAsia="Times New Roman" w:cs="Times New Roman"/>
                <w:color w:val="auto"/>
                <w:kern w:val="0"/>
                <w:sz w:val="24"/>
                <w:szCs w:val="24"/>
                <w:lang w:val="ru-RU" w:eastAsia="ru-RU" w:bidi="ar-SA"/>
              </w:rPr>
              <w:t>Юридический</w:t>
            </w:r>
            <w:r>
              <w:rPr>
                <w:sz w:val="24"/>
                <w:szCs w:val="24"/>
                <w:lang w:val="ru-RU"/>
              </w:rPr>
              <w:t xml:space="preserve"> адрес</w:t>
            </w:r>
            <w:r>
              <w:rPr>
                <w:lang w:val="ru-RU"/>
              </w:rPr>
              <w:t>:</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r>
        <w:rPr>
          <w:rStyle w:val="FootnoteReference"/>
          <w:b/>
          <w:bCs/>
          <w:iCs/>
          <w:sz w:val="24"/>
          <w:szCs w:val="24"/>
        </w:rPr>
        <w:footnoteReference w:id="23"/>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spacing w:lineRule="auto" w:line="240"/>
              <w:ind w:left="0" w:right="0" w:hanging="0"/>
              <w:jc w:val="both"/>
              <w:rPr>
                <w:b w:val="false"/>
                <w:bCs w:val="false"/>
                <w:i w:val="false"/>
                <w:i w:val="false"/>
                <w:iCs w:val="false"/>
              </w:rPr>
            </w:pPr>
            <w:r>
              <w:rPr>
                <w:b w:val="false"/>
                <w:bCs w:val="false"/>
                <w:i w:val="false"/>
                <w:iCs w:val="false"/>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r>
              <w:rPr>
                <w:color w:val="000000"/>
                <w:sz w:val="24"/>
                <w:shd w:fill="C0C0C0" w:val="clear"/>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rFonts w:eastAsia="Times New Roman" w:cs="Times New Roman"/>
                <w:color w:val="000000"/>
                <w:kern w:val="0"/>
                <w:sz w:val="24"/>
                <w:szCs w:val="28"/>
                <w:shd w:fill="C0C0C0" w:val="clear"/>
                <w:lang w:val="ru-RU" w:eastAsia="ru-RU" w:bidi="ar-SA"/>
              </w:rPr>
              <w:t>требований</w:t>
            </w:r>
            <w:r>
              <w:rPr>
                <w:color w:val="000000"/>
                <w:sz w:val="24"/>
                <w:shd w:fill="C0C0C0" w:val="clear"/>
                <w:lang w:val="ru-RU"/>
              </w:rPr>
              <w:t>, установленных локальными нормативными актами (документами) Заказчика в области обращения с Отходами на территории Заказчика.</w:t>
            </w:r>
            <w:r>
              <w:rPr>
                <w:rStyle w:val="FootnoteReference"/>
                <w:color w:val="000000"/>
                <w:sz w:val="24"/>
                <w:shd w:fill="C0C0C0" w:val="clear"/>
                <w:lang w:val="ru-RU"/>
              </w:rPr>
              <w:footnoteReference w:id="24"/>
            </w:r>
            <w:r>
              <w:rPr>
                <w:color w:val="000000"/>
                <w:lang w:val="ru-RU"/>
              </w:rPr>
              <w:t xml:space="preserve">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r>
      <w:r>
        <w:br w:type="page"/>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25"/>
      </w:r>
      <w:r>
        <w:rPr>
          <w:lang w:val="ru-RU"/>
        </w:rPr>
        <w:t>, а также соответствовать следующим критериям:</w:t>
      </w:r>
    </w:p>
    <w:p>
      <w:pPr>
        <w:pStyle w:val="Normal"/>
        <w:numPr>
          <w:ilvl w:val="1"/>
          <w:numId w:val="32"/>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2"/>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2"/>
        </w:numPr>
        <w:tabs>
          <w:tab w:val="clear" w:pos="709"/>
          <w:tab w:val="left" w:pos="1134" w:leader="none"/>
        </w:tabs>
        <w:ind w:left="0" w:firstLine="710"/>
        <w:jc w:val="both"/>
        <w:rPr>
          <w:lang w:val="ru-RU"/>
        </w:rPr>
      </w:pPr>
      <w:r>
        <w:rPr>
          <w:sz w:val="24"/>
          <w:szCs w:val="24"/>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lang w:val="ru-RU"/>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lang w:val="ru-RU"/>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lang w:val="ru-RU"/>
        </w:rPr>
        <w:t xml:space="preserve"> Заказчику. </w:t>
      </w:r>
    </w:p>
    <w:p>
      <w:pPr>
        <w:pStyle w:val="Normal"/>
        <w:numPr>
          <w:ilvl w:val="1"/>
          <w:numId w:val="32"/>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26"/>
      </w:r>
      <w:r>
        <w:rPr>
          <w:lang w:val="ru-RU"/>
        </w:rPr>
        <w:t xml:space="preserve">. </w:t>
      </w:r>
    </w:p>
    <w:p>
      <w:pPr>
        <w:pStyle w:val="Normal"/>
        <w:numPr>
          <w:ilvl w:val="1"/>
          <w:numId w:val="32"/>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27"/>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2"/>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28"/>
      </w:r>
      <w:r>
        <w:rPr>
          <w:lang w:val="ru-RU"/>
        </w:rPr>
        <w:t>.</w:t>
      </w:r>
    </w:p>
    <w:p>
      <w:pPr>
        <w:pStyle w:val="Normal"/>
        <w:numPr>
          <w:ilvl w:val="1"/>
          <w:numId w:val="32"/>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3"/>
        </w:numPr>
        <w:tabs>
          <w:tab w:val="clear" w:pos="709"/>
          <w:tab w:val="left" w:pos="1134" w:leader="none"/>
        </w:tabs>
        <w:ind w:left="0" w:firstLine="709"/>
        <w:jc w:val="both"/>
        <w:rPr/>
      </w:pPr>
      <w:r>
        <w:rPr>
          <w:lang w:val="ru-RU"/>
        </w:rPr>
        <w:t xml:space="preserve"> </w:t>
      </w:r>
      <w:r>
        <w:rPr/>
        <w:t>ВЭБ.РФ.</w:t>
      </w:r>
    </w:p>
    <w:p>
      <w:pPr>
        <w:pStyle w:val="Normal"/>
        <w:numPr>
          <w:ilvl w:val="1"/>
          <w:numId w:val="33"/>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numPr>
          <w:ilvl w:val="1"/>
          <w:numId w:val="32"/>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left="0" w:firstLine="710"/>
        <w:jc w:val="both"/>
        <w:rPr>
          <w:lang w:val="ru-RU"/>
        </w:rPr>
      </w:pPr>
      <w:r>
        <w:rPr>
          <w:lang w:val="ru-RU"/>
        </w:rPr>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p>
      <w:pPr>
        <w:pStyle w:val="Normal"/>
        <w:tabs>
          <w:tab w:val="clear" w:pos="709"/>
          <w:tab w:val="left" w:pos="1134" w:leader="none"/>
        </w:tabs>
        <w:ind w:firstLine="709"/>
        <w:jc w:val="center"/>
        <w:rPr/>
      </w:pPr>
      <w:r>
        <w:rPr/>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9"/>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30"/>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pPr>
      <w:r>
        <w:rPr/>
      </w:r>
    </w:p>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noVBand="1" w:val="04a0" w:noHBand="0" w:lastColumn="0" w:firstColumn="1" w:lastRow="0" w:firstRow="1"/>
      </w:tblPr>
      <w:tblGrid>
        <w:gridCol w:w="262"/>
        <w:gridCol w:w="781"/>
        <w:gridCol w:w="1149"/>
        <w:gridCol w:w="1377"/>
        <w:gridCol w:w="2338"/>
        <w:gridCol w:w="2886"/>
        <w:gridCol w:w="2752"/>
        <w:gridCol w:w="976"/>
        <w:gridCol w:w="2046"/>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w:t>
            </w:r>
            <w:r>
              <w:rPr>
                <w:bCs/>
                <w:sz w:val="16"/>
                <w:szCs w:val="16"/>
                <w:lang w:val="ru-RU"/>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r>
              <w:rPr>
                <w:sz w:val="16"/>
                <w:szCs w:val="16"/>
                <w:lang w:val="ru-RU"/>
              </w:rPr>
              <w:t>)</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31"/>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8</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center"/>
        <w:rPr>
          <w:lang w:val="ru-RU"/>
        </w:rPr>
      </w:pPr>
      <w:r>
        <w:rPr>
          <w:lang w:val="ru-RU"/>
        </w:rPr>
      </w:r>
    </w:p>
    <w:p>
      <w:pPr>
        <w:pStyle w:val="Normal"/>
        <w:spacing w:before="20" w:after="20"/>
        <w:ind w:firstLine="709"/>
        <w:jc w:val="center"/>
        <w:rPr>
          <w:lang w:val="ru-RU"/>
        </w:rPr>
      </w:pPr>
      <w:bookmarkStart w:id="22" w:name="_Toc122678954_Копия_5"/>
      <w:r>
        <w:rPr>
          <w:b/>
          <w:sz w:val="24"/>
          <w:szCs w:val="24"/>
          <w:lang w:val="ru-RU"/>
        </w:rPr>
        <w:t>Методика расчета упущенной выгоды (выручки)</w:t>
      </w:r>
      <w:bookmarkEnd w:id="22"/>
      <w:r>
        <w:rPr>
          <w:b/>
          <w:sz w:val="24"/>
          <w:szCs w:val="24"/>
          <w:lang w:val="ru-RU"/>
        </w:rPr>
        <w:t xml:space="preserve"> </w:t>
      </w:r>
    </w:p>
    <w:p>
      <w:pPr>
        <w:pStyle w:val="Normal"/>
        <w:spacing w:before="20" w:after="20"/>
        <w:ind w:firstLine="709"/>
        <w:jc w:val="center"/>
        <w:rPr>
          <w:lang w:val="ru-RU"/>
        </w:rPr>
      </w:pPr>
      <w:r>
        <w:rPr>
          <w:b/>
          <w:sz w:val="24"/>
          <w:szCs w:val="24"/>
        </w:rPr>
        <w:t>и дополнительных обязательств участника ОРЭМ от недопоставки электрической энергии и мощности на ОРЭМ в</w:t>
      </w:r>
      <w:r>
        <w:rPr>
          <w:rFonts w:eastAsia="Times New Roman" w:cs="Times New Roman"/>
          <w:b/>
          <w:color w:val="auto"/>
          <w:kern w:val="0"/>
          <w:sz w:val="24"/>
          <w:szCs w:val="24"/>
          <w:lang w:val="ru-RU" w:eastAsia="ru-RU" w:bidi="ar-SA"/>
        </w:rPr>
        <w:t xml:space="preserve"> отдельной территории ценовой зоны оптового рынка, ранее относившейся к</w:t>
      </w:r>
      <w:r>
        <w:rPr>
          <w:b/>
          <w:sz w:val="24"/>
          <w:szCs w:val="24"/>
        </w:rPr>
        <w:t> неценовой зоне отпового рынка Дальнего Востока</w:t>
      </w:r>
    </w:p>
    <w:p>
      <w:pPr>
        <w:pStyle w:val="Normal"/>
        <w:spacing w:before="20" w:after="20"/>
        <w:ind w:firstLine="709"/>
        <w:jc w:val="center"/>
        <w:rPr>
          <w:lang w:val="ru-RU"/>
        </w:rPr>
      </w:pPr>
      <w:r>
        <w:rPr>
          <w:lang w:val="ru-RU"/>
        </w:rPr>
      </w:r>
    </w:p>
    <w:p>
      <w:pPr>
        <w:pStyle w:val="Normal"/>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34"/>
        </w:numPr>
        <w:ind w:left="0" w:firstLine="709"/>
        <w:jc w:val="both"/>
        <w:rPr>
          <w:bCs/>
        </w:rPr>
      </w:pPr>
      <w:r>
        <w:rPr>
          <w:bCs/>
        </w:rPr>
        <w:t>номер заявки;</w:t>
      </w:r>
    </w:p>
    <w:p>
      <w:pPr>
        <w:pStyle w:val="Normal"/>
        <w:numPr>
          <w:ilvl w:val="0"/>
          <w:numId w:val="34"/>
        </w:numPr>
        <w:ind w:left="0" w:firstLine="709"/>
        <w:jc w:val="both"/>
        <w:rPr>
          <w:bCs/>
        </w:rPr>
      </w:pPr>
      <w:r>
        <w:rPr>
          <w:bCs/>
        </w:rPr>
        <w:t>подающее предприятие;</w:t>
      </w:r>
    </w:p>
    <w:p>
      <w:pPr>
        <w:pStyle w:val="Normal"/>
        <w:numPr>
          <w:ilvl w:val="0"/>
          <w:numId w:val="34"/>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4"/>
        </w:numPr>
        <w:ind w:left="0" w:firstLine="709"/>
        <w:jc w:val="both"/>
        <w:rPr>
          <w:bCs/>
        </w:rPr>
      </w:pPr>
      <w:r>
        <w:rPr>
          <w:bCs/>
        </w:rPr>
        <w:t>величина снижения максимальной мощности;</w:t>
      </w:r>
    </w:p>
    <w:p>
      <w:pPr>
        <w:pStyle w:val="Normal"/>
        <w:numPr>
          <w:ilvl w:val="0"/>
          <w:numId w:val="34"/>
        </w:numPr>
        <w:ind w:left="0" w:firstLine="709"/>
        <w:jc w:val="both"/>
        <w:rPr>
          <w:bCs/>
        </w:rPr>
      </w:pPr>
      <w:r>
        <w:rPr>
          <w:bCs/>
        </w:rPr>
        <w:t>содержание работ;</w:t>
      </w:r>
    </w:p>
    <w:p>
      <w:pPr>
        <w:pStyle w:val="Normal"/>
        <w:numPr>
          <w:ilvl w:val="0"/>
          <w:numId w:val="34"/>
        </w:numPr>
        <w:ind w:left="0" w:firstLine="709"/>
        <w:jc w:val="both"/>
        <w:rPr>
          <w:bCs/>
        </w:rPr>
      </w:pPr>
      <w:r>
        <w:rPr>
          <w:bCs/>
        </w:rPr>
        <w:t>время подачи заявки;</w:t>
      </w:r>
    </w:p>
    <w:p>
      <w:pPr>
        <w:pStyle w:val="Normal"/>
        <w:numPr>
          <w:ilvl w:val="0"/>
          <w:numId w:val="34"/>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r>
      <w:r>
        <w:rPr>
          <w:sz w:val="24"/>
          <w:szCs w:val="24"/>
          <w:lang w:val="ru-RU"/>
        </w:rPr>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t>
      </w:r>
      <w:r>
        <w:rPr>
          <w:rFonts w:eastAsia="Times New Roman" w:cs="Times New Roman"/>
          <w:color w:val="auto"/>
          <w:kern w:val="0"/>
          <w:sz w:val="24"/>
          <w:szCs w:val="24"/>
          <w:lang w:val="ru-RU" w:eastAsia="ru-RU" w:bidi="ar-SA"/>
        </w:rPr>
        <w:t>«</w:t>
      </w:r>
      <w:r>
        <w:rPr>
          <w:sz w:val="24"/>
          <w:szCs w:val="24"/>
          <w:lang w:val="ru-RU"/>
        </w:rPr>
        <w:t>Порядка установления соответствия генерирующего оборудования участников оптового рынка техническим требованиям</w:t>
      </w:r>
      <w:r>
        <w:rPr>
          <w:rFonts w:eastAsia="Times New Roman" w:cs="Times New Roman"/>
          <w:color w:val="auto"/>
          <w:kern w:val="0"/>
          <w:sz w:val="24"/>
          <w:szCs w:val="24"/>
          <w:lang w:val="ru-RU" w:eastAsia="ru-RU" w:bidi="ar-SA"/>
        </w:rPr>
        <w:t>»</w:t>
      </w:r>
      <w:r>
        <w:rPr>
          <w:sz w:val="24"/>
          <w:szCs w:val="24"/>
          <w:lang w:val="ru-RU"/>
        </w:rPr>
        <w: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r>
        <w:rPr/>
      </w:r>
      <m:oMath xmlns:m="http://schemas.openxmlformats.org/officeDocument/2006/math"/>
      <w:r>
        <w:rPr>
          <w:rFonts w:eastAsia="Times New Roman" w:cs="Times New Roman"/>
          <w:sz w:val="24"/>
          <w:szCs w:val="24"/>
          <w:lang w:val="ru-RU"/>
        </w:rPr>
        <w:t xml:space="preserve"> </w:t>
      </w:r>
    </w:p>
    <w:p>
      <w:pPr>
        <w:pStyle w:val="Normal"/>
        <w:spacing w:lineRule="auto" w:line="240" w:before="20" w:after="20"/>
        <w:ind w:firstLine="709"/>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sz w:val="24"/>
          <w:szCs w:val="24"/>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4"/>
                    <a:srcRect l="-222" t="-329" r="-222" b="-329"/>
                    <a:stretch>
                      <a:fillRect/>
                    </a:stretch>
                  </pic:blipFill>
                  <pic:spPr bwMode="auto">
                    <a:xfrm>
                      <a:off x="0" y="0"/>
                      <a:ext cx="323850" cy="21907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согласованного планового ремонтного снижения мощности;</w:t>
      </w:r>
    </w:p>
    <w:p>
      <w:pPr>
        <w:pStyle w:val="Normal"/>
        <w:spacing w:lineRule="auto" w:line="276"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sz w:val="24"/>
          <w:szCs w:val="24"/>
        </w:rPr>
      </w:pPr>
      <w:r>
        <w:rPr/>
      </w:r>
      <m:oMath xmlns:m="http://schemas.openxmlformats.org/officeDocument/2006/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sz w:val="24"/>
          <w:szCs w:val="24"/>
        </w:rPr>
      </w:pPr>
      <w:r>
        <w:rPr>
          <w:rFonts w:eastAsia="Times New Roman" w:cs="Times New Roman"/>
          <w:sz w:val="24"/>
          <w:szCs w:val="24"/>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sz w:val="24"/>
          <w:szCs w:val="24"/>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5"/>
                    <a:stretch>
                      <a:fillRect/>
                    </a:stretch>
                  </pic:blipFill>
                  <pic:spPr bwMode="auto">
                    <a:xfrm>
                      <a:off x="0" y="0"/>
                      <a:ext cx="545465" cy="2730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sz w:val="24"/>
          <w:szCs w:val="24"/>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6"/>
                    <a:stretch>
                      <a:fillRect/>
                    </a:stretch>
                  </pic:blipFill>
                  <pic:spPr bwMode="auto">
                    <a:xfrm>
                      <a:off x="0" y="0"/>
                      <a:ext cx="524510" cy="2660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sz w:val="24"/>
          <w:szCs w:val="24"/>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7"/>
                    <a:stretch>
                      <a:fillRect/>
                    </a:stretch>
                  </pic:blipFill>
                  <pic:spPr bwMode="auto">
                    <a:xfrm>
                      <a:off x="0" y="0"/>
                      <a:ext cx="532130" cy="2724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sz w:val="24"/>
          <w:szCs w:val="24"/>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8"/>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sz w:val="24"/>
          <w:szCs w:val="24"/>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9"/>
                    <a:stretch>
                      <a:fillRect/>
                    </a:stretch>
                  </pic:blipFill>
                  <pic:spPr bwMode="auto">
                    <a:xfrm>
                      <a:off x="0" y="0"/>
                      <a:ext cx="620395" cy="32004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0"/>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1"/>
                    <a:stretch>
                      <a:fillRect/>
                    </a:stretch>
                  </pic:blipFill>
                  <pic:spPr bwMode="auto">
                    <a:xfrm>
                      <a:off x="0" y="0"/>
                      <a:ext cx="511810" cy="24130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sz w:val="24"/>
          <w:szCs w:val="24"/>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2"/>
                    <a:stretch>
                      <a:fillRect/>
                    </a:stretch>
                  </pic:blipFill>
                  <pic:spPr bwMode="auto">
                    <a:xfrm>
                      <a:off x="0" y="0"/>
                      <a:ext cx="497205" cy="2406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sz w:val="24"/>
          <w:szCs w:val="24"/>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3"/>
                    <a:stretch>
                      <a:fillRect/>
                    </a:stretch>
                  </pic:blipFill>
                  <pic:spPr bwMode="auto">
                    <a:xfrm>
                      <a:off x="0" y="0"/>
                      <a:ext cx="914400" cy="2851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sz w:val="24"/>
          <w:szCs w:val="24"/>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4"/>
                    <a:stretch>
                      <a:fillRect/>
                    </a:stretch>
                  </pic:blipFill>
                  <pic:spPr bwMode="auto">
                    <a:xfrm>
                      <a:off x="0" y="0"/>
                      <a:ext cx="1052830" cy="35750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согласованном увеличении времени включения в сеть;</w:t>
      </w:r>
    </w:p>
    <w:p>
      <w:pPr>
        <w:pStyle w:val="Normal"/>
        <w:spacing w:lineRule="auto" w:line="276" w:before="20" w:after="20"/>
        <w:ind w:firstLine="709"/>
        <w:jc w:val="both"/>
        <w:rPr>
          <w:sz w:val="24"/>
          <w:szCs w:val="24"/>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5"/>
                    <a:stretch>
                      <a:fillRect/>
                    </a:stretch>
                  </pic:blipFill>
                  <pic:spPr bwMode="auto">
                    <a:xfrm>
                      <a:off x="0" y="0"/>
                      <a:ext cx="958215" cy="3136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sz w:val="24"/>
          <w:szCs w:val="24"/>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6"/>
                    <a:stretch>
                      <a:fillRect/>
                    </a:stretch>
                  </pic:blipFill>
                  <pic:spPr bwMode="auto">
                    <a:xfrm>
                      <a:off x="0" y="0"/>
                      <a:ext cx="368300" cy="2857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7"/>
                    <a:stretch>
                      <a:fillRect/>
                    </a:stretch>
                  </pic:blipFill>
                  <pic:spPr bwMode="auto">
                    <a:xfrm>
                      <a:off x="0" y="0"/>
                      <a:ext cx="336550" cy="26733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spacing w:lineRule="auto" w:line="240" w:before="20" w:after="20"/>
        <w:jc w:val="center"/>
        <w:rPr>
          <w:sz w:val="24"/>
          <w:szCs w:val="24"/>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8"/>
                    <a:stretch>
                      <a:fillRect/>
                    </a:stretch>
                  </pic:blipFill>
                  <pic:spPr bwMode="auto">
                    <a:xfrm>
                      <a:off x="0" y="0"/>
                      <a:ext cx="1371600" cy="673100"/>
                    </a:xfrm>
                    <a:prstGeom prst="rect">
                      <a:avLst/>
                    </a:prstGeom>
                  </pic:spPr>
                </pic:pic>
              </a:graphicData>
            </a:graphic>
          </wp:inline>
        </w:drawing>
      </w:r>
    </w:p>
    <w:p>
      <w:pPr>
        <w:pStyle w:val="Normal"/>
        <w:spacing w:lineRule="auto" w:line="240" w:before="20" w:after="20"/>
        <w:ind w:firstLine="709"/>
        <w:rPr>
          <w:sz w:val="24"/>
          <w:szCs w:val="24"/>
        </w:rPr>
      </w:pPr>
      <w:r>
        <w:rPr>
          <w:sz w:val="24"/>
          <w:szCs w:val="24"/>
        </w:rPr>
        <w:t>где:</w:t>
      </w:r>
    </w:p>
    <w:p>
      <w:pPr>
        <w:pStyle w:val="Normal"/>
        <w:spacing w:lineRule="auto" w:line="240" w:before="20" w:after="20"/>
        <w:ind w:firstLine="709"/>
        <w:rPr>
          <w:sz w:val="24"/>
          <w:szCs w:val="24"/>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9"/>
                    <a:stretch>
                      <a:fillRect/>
                    </a:stretch>
                  </pic:blipFill>
                  <pic:spPr bwMode="auto">
                    <a:xfrm>
                      <a:off x="0" y="0"/>
                      <a:ext cx="293370" cy="26733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spacing w:lineRule="auto" w:line="240" w:before="20" w:after="20"/>
        <w:ind w:firstLine="709"/>
        <w:rPr>
          <w:sz w:val="24"/>
          <w:szCs w:val="24"/>
        </w:rPr>
      </w:pPr>
      <w:r>
        <w:rPr>
          <w:sz w:val="24"/>
          <w:szCs w:val="24"/>
        </w:rPr>
        <w:t xml:space="preserve">Н – количество часов, соответствующее расчетному месяцу m. </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p>
    <w:p>
      <w:pPr>
        <w:pStyle w:val="Normal"/>
        <w:spacing w:lineRule="auto" w:line="276" w:before="0" w:after="200"/>
        <w:ind w:firstLine="709"/>
        <w:rPr>
          <w:rFonts w:ascii="Times New Roman" w:hAnsi="Times New Roman" w:eastAsia="Arial" w:cs="Times New Roman"/>
          <w:sz w:val="24"/>
          <w:szCs w:val="24"/>
        </w:rPr>
      </w:pPr>
      <w:r>
        <w:rPr>
          <w:rFonts w:eastAsia="Arial" w:cs="Times New Roman"/>
          <w:sz w:val="24"/>
          <w:szCs w:val="24"/>
        </w:rPr>
        <w:t>где:</w:t>
        <w:tab/>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0"/>
                    <a:stretch>
                      <a:fillRect/>
                    </a:stretch>
                  </pic:blipFill>
                  <pic:spPr bwMode="auto">
                    <a:xfrm>
                      <a:off x="0" y="0"/>
                      <a:ext cx="185420" cy="228600"/>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 xml:space="preserve">коэффициенты </w:t>
      </w:r>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1"/>
                    <a:stretch>
                      <a:fillRect/>
                    </a:stretch>
                  </pic:blipFill>
                  <pic:spPr bwMode="auto">
                    <a:xfrm>
                      <a:off x="0" y="0"/>
                      <a:ext cx="184785" cy="277495"/>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cs="Times New Roman"/>
          <w:sz w:val="24"/>
          <w:szCs w:val="24"/>
        </w:rPr>
        <w:t xml:space="preserve">), </w:t>
      </w:r>
    </w:p>
    <w:p>
      <w:pPr>
        <w:pStyle w:val="Normal"/>
        <w:numPr>
          <w:ilvl w:val="0"/>
          <w:numId w:val="0"/>
        </w:numPr>
        <w:spacing w:lineRule="auto" w:line="276" w:before="120" w:after="120"/>
        <w:ind w:left="0" w:firstLine="567"/>
        <w:jc w:val="both"/>
        <w:outlineLvl w:val="3"/>
        <w:rPr>
          <w:sz w:val="24"/>
          <w:szCs w:val="24"/>
        </w:rPr>
      </w:pPr>
      <w:r>
        <w:rPr>
          <w:rFonts w:eastAsia="Arial" w:cs="Times New Roman"/>
          <w:sz w:val="24"/>
          <w:szCs w:val="24"/>
        </w:rPr>
        <w:t xml:space="preserve">определяемые для каждого из соответствующих им объемов невыполнения требований по готовности </w:t>
      </w:r>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2"/>
                    <a:stretch>
                      <a:fillRect/>
                    </a:stretch>
                  </pic:blipFill>
                  <pic:spPr bwMode="auto">
                    <a:xfrm>
                      <a:off x="0" y="0"/>
                      <a:ext cx="277495" cy="277495"/>
                    </a:xfrm>
                    <a:prstGeom prst="rect">
                      <a:avLst/>
                    </a:prstGeom>
                  </pic:spPr>
                </pic:pic>
              </a:graphicData>
            </a:graphic>
          </wp:inline>
        </w:drawing>
      </w:r>
      <w:r>
        <w:rPr>
          <w:rFonts w:eastAsia="Arial" w:cs="Times New Roman"/>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sz w:val="24"/>
          <w:szCs w:val="24"/>
        </w:rPr>
      </w:pPr>
      <w:r>
        <w:rPr>
          <w:rFonts w:eastAsia="Arial" w:cs="Times New Roman"/>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3"/>
                    <a:stretch>
                      <a:fillRect/>
                    </a:stretch>
                  </pic:blipFill>
                  <pic:spPr bwMode="auto">
                    <a:xfrm>
                      <a:off x="0" y="0"/>
                      <a:ext cx="636270" cy="278130"/>
                    </a:xfrm>
                    <a:prstGeom prst="rect">
                      <a:avLst/>
                    </a:prstGeom>
                  </pic:spPr>
                </pic:pic>
              </a:graphicData>
            </a:graphic>
          </wp:inline>
        </w:drawing>
      </w:r>
      <w:r>
        <w:rPr>
          <w:rFonts w:eastAsia="Arial" w:cs="Times New Roman"/>
          <w:sz w:val="24"/>
          <w:szCs w:val="24"/>
        </w:rPr>
        <w:t>.</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sz w:val="24"/>
          <w:szCs w:val="24"/>
        </w:rPr>
      </w:pPr>
      <w:r>
        <w:rPr>
          <w:rFonts w:eastAsia="Times New Roman" w:cs="Times New Roman"/>
          <w:sz w:val="24"/>
          <w:szCs w:val="24"/>
        </w:rPr>
        <w:t xml:space="preserve">  </w:t>
      </w:r>
      <w:r>
        <w:rPr>
          <w:rFonts w:eastAsia="Arial" w:cs="Times New Roman"/>
          <w:sz w:val="24"/>
          <w:szCs w:val="24"/>
        </w:rPr>
        <w:t xml:space="preserve">- </w:t>
      </w:r>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4"/>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sz w:val="24"/>
          <w:szCs w:val="24"/>
        </w:rPr>
      </w:pPr>
      <w:r>
        <w:rPr>
          <w:rFonts w:eastAsia="Arial" w:cs="Times New Roman"/>
          <w:sz w:val="24"/>
          <w:szCs w:val="24"/>
        </w:rPr>
        <w:t xml:space="preserve">- </w:t>
      </w:r>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 сезонный коэффициент, рассчитанный для ценовой зоны оптового рынка (z) месяца (m); </w:t>
      </w:r>
    </w:p>
    <w:p>
      <w:pPr>
        <w:pStyle w:val="Normal"/>
        <w:widowControl/>
        <w:spacing w:before="120" w:after="20"/>
        <w:ind w:firstLine="709"/>
        <w:jc w:val="both"/>
        <w:rPr>
          <w:sz w:val="24"/>
          <w:szCs w:val="24"/>
        </w:rPr>
      </w:pPr>
      <w:r>
        <w:rPr>
          <w:rFonts w:eastAsia="Arial" w:cs="Times New Roman"/>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cs="Times New Roman"/>
          <w:sz w:val="24"/>
          <w:szCs w:val="24"/>
        </w:rPr>
        <w:t xml:space="preserve"> на цену </w:t>
      </w:r>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6"/>
                    <a:srcRect l="-42" t="-65" r="-42" b="-65"/>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и на коэффициент сезонности</w:t>
      </w:r>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7"/>
                    <a:srcRect l="-43" t="-65" r="-43" b="-6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w:t>
      </w:r>
    </w:p>
    <w:p>
      <w:pPr>
        <w:pStyle w:val="Normal"/>
        <w:spacing w:before="120" w:after="20"/>
        <w:ind w:firstLine="709"/>
        <w:jc w:val="both"/>
        <w:rPr>
          <w:lang w:val="ru-RU"/>
        </w:rPr>
      </w:pPr>
      <w:r>
        <w:rPr>
          <w:lang w:val="ru-RU"/>
        </w:rPr>
      </w:r>
    </w:p>
    <w:tbl>
      <w:tblPr>
        <w:tblW w:w="1012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40"/>
        <w:gridCol w:w="4879"/>
      </w:tblGrid>
      <w:tr>
        <w:trPr>
          <w:trHeight w:val="282" w:hRule="atLeast"/>
        </w:trPr>
        <w:tc>
          <w:tcPr>
            <w:tcW w:w="5240" w:type="dxa"/>
            <w:tcBorders/>
          </w:tcPr>
          <w:p>
            <w:pPr>
              <w:pStyle w:val="Normal"/>
              <w:widowControl w:val="false"/>
              <w:jc w:val="center"/>
              <w:rPr>
                <w:b/>
              </w:rPr>
            </w:pPr>
            <w:r>
              <w:rPr>
                <w:b/>
              </w:rPr>
              <w:t>Заказчик:</w:t>
            </w:r>
          </w:p>
        </w:tc>
        <w:tc>
          <w:tcPr>
            <w:tcW w:w="4879" w:type="dxa"/>
            <w:tcBorders/>
          </w:tcPr>
          <w:p>
            <w:pPr>
              <w:pStyle w:val="Normal"/>
              <w:widowControl w:val="false"/>
              <w:jc w:val="center"/>
              <w:rPr>
                <w:b/>
              </w:rPr>
            </w:pPr>
            <w:r>
              <w:rPr>
                <w:b/>
                <w:lang w:val="ru-RU"/>
              </w:rPr>
              <w:t>Исполнитель</w:t>
            </w:r>
            <w:r>
              <w:rPr>
                <w:b/>
              </w:rPr>
              <w:t>:</w:t>
            </w:r>
          </w:p>
        </w:tc>
      </w:tr>
      <w:tr>
        <w:trPr>
          <w:trHeight w:val="611" w:hRule="atLeast"/>
        </w:trPr>
        <w:tc>
          <w:tcPr>
            <w:tcW w:w="5240"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487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spacing w:before="120" w:after="20"/>
        <w:jc w:val="both"/>
        <w:rPr>
          <w:lang w:val="ru-RU"/>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42</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shd w:fill="C0C0C0" w:val="clear"/>
        </w:rPr>
        <w:t xml:space="preserve">За исключением отходов черных и цветных металлов, отработанных масел, образующихся от оборудования, зданий, строений и </w:t>
      </w:r>
      <w:r>
        <w:rPr>
          <w:rFonts w:eastAsia="Times New Roman" w:cs="Times New Roman"/>
          <w:color w:val="000000"/>
          <w:kern w:val="0"/>
          <w:sz w:val="20"/>
          <w:szCs w:val="20"/>
          <w:shd w:fill="C0C0C0" w:val="clear"/>
          <w:lang w:val="ru-RU" w:eastAsia="ru-RU" w:bidi="ar-SA"/>
        </w:rPr>
        <w:t>сооружений</w:t>
      </w:r>
      <w:r>
        <w:rPr>
          <w:shd w:fill="C0C0C0" w:val="clear"/>
        </w:rPr>
        <w:t xml:space="preserve"> Заказчика.</w:t>
      </w:r>
    </w:p>
  </w:footnote>
  <w:footnote w:id="3">
    <w:p>
      <w:pPr>
        <w:pStyle w:val="FootnoteText"/>
        <w:rPr/>
      </w:pPr>
      <w:r>
        <w:rPr>
          <w:rStyle w:val="Style6"/>
        </w:rPr>
        <w:footnoteRef/>
      </w:r>
      <w:r>
        <w:rPr/>
        <w:t xml:space="preserve"> </w:t>
      </w:r>
      <w:r>
        <w:rPr/>
        <w:t>Пункт 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jc w:val="both"/>
        <w:rPr/>
      </w:pPr>
      <w:r>
        <w:rPr>
          <w:rFonts w:eastAsia="Times New Roman" w:cs="Times New Roman"/>
          <w:color w:val="auto"/>
          <w:kern w:val="0"/>
          <w:sz w:val="20"/>
          <w:szCs w:val="20"/>
          <w:lang w:val="ru-RU" w:eastAsia="ru-RU" w:bidi="ar-SA"/>
        </w:rPr>
        <w:t>- утилизации плавмусора.</w:t>
      </w:r>
    </w:p>
  </w:footnote>
  <w:footnote w:id="4">
    <w:p>
      <w:pPr>
        <w:pStyle w:val="FootnoteText"/>
        <w:jc w:val="both"/>
        <w:rPr/>
      </w:pPr>
      <w:r>
        <w:rPr>
          <w:rStyle w:val="Style6"/>
        </w:rPr>
        <w:footnoteRef/>
      </w:r>
      <w:r>
        <w:rPr/>
        <w:t xml:space="preserve"> </w:t>
      </w:r>
      <w:r>
        <w:rPr/>
        <w:t>Согласно требованиям, установленным локальными нормативными документами (актами) в области обращения с отходами на территории Заказчика (инструкциями, положениями и др.).</w:t>
      </w:r>
    </w:p>
  </w:footnote>
  <w:footnote w:id="5">
    <w:p>
      <w:pPr>
        <w:pStyle w:val="FootnoteText"/>
        <w:jc w:val="both"/>
        <w:rPr/>
      </w:pPr>
      <w:r>
        <w:rPr>
          <w:rStyle w:val="Style6"/>
        </w:rPr>
        <w:footnoteRef/>
      </w:r>
      <w:r>
        <w:rPr/>
        <w:t xml:space="preserve"> </w:t>
      </w:r>
      <w:r>
        <w:rPr/>
        <w:t>Пункты включаются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6">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7">
    <w:p>
      <w:pPr>
        <w:pStyle w:val="FootnoteText"/>
        <w:rPr/>
      </w:pPr>
      <w:r>
        <w:rPr>
          <w:rStyle w:val="Style6"/>
        </w:rPr>
        <w:footnoteRef/>
      </w:r>
      <w:r>
        <w:rPr/>
        <w:t xml:space="preserve"> </w:t>
      </w:r>
      <w:r>
        <w:rPr>
          <w:shd w:fill="auto" w:val="clear"/>
        </w:rPr>
        <w:t>Пункт включается в Договор, включающий выполнение работ / оказание услуг по:</w:t>
      </w:r>
    </w:p>
    <w:p>
      <w:pPr>
        <w:pStyle w:val="FootnoteText"/>
        <w:jc w:val="both"/>
        <w:rPr>
          <w:highlight w:val="none"/>
          <w:shd w:fill="auto" w:val="clear"/>
        </w:rPr>
      </w:pPr>
      <w:r>
        <w:rPr>
          <w:shd w:fill="auto" w:val="clea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000000"/>
          <w:kern w:val="0"/>
          <w:sz w:val="20"/>
          <w:szCs w:val="20"/>
          <w:shd w:fill="auto" w:val="clear"/>
          <w:lang w:val="ru-RU" w:eastAsia="ru-RU" w:bidi="ar-SA"/>
        </w:rPr>
        <w:t>решеток</w:t>
      </w:r>
      <w:r>
        <w:rPr>
          <w:shd w:fill="auto" w:val="clear"/>
        </w:rPr>
        <w:t xml:space="preserve"> / сооружений, порогов пазов ремонтных затворов, </w:t>
      </w:r>
      <w:r>
        <w:rPr>
          <w:rFonts w:eastAsia="Times New Roman" w:cs="Times New Roman"/>
          <w:color w:val="000000"/>
          <w:kern w:val="0"/>
          <w:sz w:val="20"/>
          <w:szCs w:val="20"/>
          <w:shd w:fill="auto" w:val="clear"/>
          <w:lang w:val="ru-RU" w:eastAsia="ru-RU" w:bidi="ar-SA"/>
        </w:rPr>
        <w:t>проводящего</w:t>
      </w:r>
      <w:r>
        <w:rPr>
          <w:shd w:fill="auto" w:val="clear"/>
        </w:rPr>
        <w:t xml:space="preserve"> и отводящего </w:t>
      </w:r>
      <w:r>
        <w:rPr>
          <w:rFonts w:eastAsia="Times New Roman" w:cs="Times New Roman"/>
          <w:color w:val="000000"/>
          <w:kern w:val="0"/>
          <w:sz w:val="20"/>
          <w:szCs w:val="20"/>
          <w:shd w:fill="auto" w:val="clear"/>
          <w:lang w:val="ru-RU" w:eastAsia="ru-RU" w:bidi="ar-SA"/>
        </w:rPr>
        <w:t>каналов</w:t>
      </w:r>
      <w:r>
        <w:rPr>
          <w:shd w:fill="auto" w:val="clear"/>
        </w:rPr>
        <w:t xml:space="preserve"> и </w:t>
      </w:r>
      <w:r>
        <w:rPr>
          <w:rFonts w:eastAsia="Times New Roman" w:cs="Times New Roman"/>
          <w:color w:val="000000"/>
          <w:kern w:val="0"/>
          <w:sz w:val="20"/>
          <w:szCs w:val="20"/>
          <w:shd w:fill="auto" w:val="clear"/>
          <w:lang w:val="ru-RU" w:eastAsia="ru-RU" w:bidi="ar-SA"/>
        </w:rPr>
        <w:t>т.п.;</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техническому обслуживанию оборудования, зданий, сооружений Заказчика;</w:t>
      </w:r>
    </w:p>
    <w:p>
      <w:pPr>
        <w:pStyle w:val="FootnoteText"/>
        <w:rPr>
          <w:highlight w:val="none"/>
          <w:shd w:fill="auto" w:val="clear"/>
        </w:rPr>
      </w:pPr>
      <w:r>
        <w:rPr>
          <w:rFonts w:eastAsia="Times New Roman" w:cs="Times New Roman"/>
          <w:bCs/>
          <w:color w:val="000000"/>
          <w:kern w:val="0"/>
          <w:sz w:val="20"/>
          <w:szCs w:val="20"/>
          <w:shd w:fill="auto" w:val="clear"/>
          <w:lang w:val="ru-RU" w:eastAsia="ru-RU" w:bidi="ar-SA"/>
        </w:rPr>
        <w:t>- утилизации плавмусора.</w:t>
      </w:r>
    </w:p>
  </w:footnote>
  <w:footnote w:id="8">
    <w:p>
      <w:pPr>
        <w:pStyle w:val="FootnoteText"/>
        <w:jc w:val="both"/>
        <w:rPr>
          <w:lang w:val="ru-RU"/>
        </w:rPr>
      </w:pPr>
      <w:r>
        <w:rPr>
          <w:rStyle w:val="Style6"/>
        </w:rPr>
        <w:footnoteRef/>
      </w:r>
      <w:r>
        <w:rPr>
          <w:highlight w:val="lightGray"/>
          <w:lang w:val="ru-RU"/>
        </w:rPr>
        <w:t xml:space="preserve"> </w:t>
      </w:r>
      <w:r>
        <w:rPr>
          <w:highlight w:val="lightGray"/>
          <w:lang w:val="ru-RU"/>
        </w:rPr>
        <w:t>Пункт 2.4.5 включается в Договор в случае, если цена Договора превышает 100 000 000 (сто миллионов) рублей без учета НДС (включительно)</w:t>
      </w:r>
      <w:r>
        <w:rPr>
          <w:lang w:val="ru-RU"/>
        </w:rPr>
        <w:t>.</w:t>
      </w:r>
    </w:p>
  </w:footnote>
  <w:footnote w:id="9">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10">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11">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1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13">
    <w:p>
      <w:pPr>
        <w:pStyle w:val="Normal"/>
        <w:jc w:val="both"/>
        <w:rPr>
          <w:sz w:val="20"/>
          <w:szCs w:val="20"/>
          <w:highlight w:val="yellow"/>
          <w:vertAlign w:val="subscript"/>
          <w:lang w:val="ru-RU"/>
        </w:rPr>
      </w:pPr>
      <w:r>
        <w:rPr>
          <w:rStyle w:val="Style6"/>
        </w:rPr>
        <w:footnoteRef/>
      </w:r>
      <w:r>
        <w:rPr>
          <w:sz w:val="20"/>
          <w:szCs w:val="20"/>
          <w:lang w:val="ru-RU"/>
        </w:rPr>
        <w:t xml:space="preserve"> </w:t>
      </w:r>
      <w:r>
        <w:rPr>
          <w:sz w:val="20"/>
          <w:szCs w:val="20"/>
          <w:lang w:val="ru-RU"/>
        </w:rPr>
        <w:t>Для договоров, заключенных в рамках реализации инвестиционной программы Общества.</w:t>
      </w:r>
    </w:p>
  </w:footnote>
  <w:footnote w:id="14">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5">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6">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7">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8">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9">
    <w:p>
      <w:pPr>
        <w:pStyle w:val="FootnoteText"/>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20">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21">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22">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23">
    <w:p>
      <w:pPr>
        <w:pStyle w:val="FootnoteText"/>
        <w:rPr/>
      </w:pPr>
      <w:r>
        <w:rPr>
          <w:rStyle w:val="Style6"/>
        </w:rPr>
        <w:footnoteRef/>
      </w:r>
      <w:r>
        <w:rPr/>
        <w:t xml:space="preserve"> </w:t>
      </w:r>
      <w:r>
        <w:rPr/>
        <w:t>Применяется, если не используется УПД.</w:t>
      </w:r>
    </w:p>
  </w:footnote>
  <w:footnote w:id="24">
    <w:p>
      <w:pPr>
        <w:pStyle w:val="FootnoteText"/>
        <w:rPr/>
      </w:pPr>
      <w:r>
        <w:rPr>
          <w:rStyle w:val="Style6"/>
        </w:rPr>
        <w:footnoteRef/>
      </w: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xml:space="preserve">- утилизации плавмусора. </w:t>
      </w:r>
    </w:p>
  </w:footnote>
  <w:footnote w:id="25">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26">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7">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28">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29">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30">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31">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3">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1.wmf"/><Relationship Id="rId37" Type="http://schemas.openxmlformats.org/officeDocument/2006/relationships/image" Target="media/image22.wmf"/><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customXml" Target="../customXml/item2.xml"/><Relationship Id="rId49" Type="http://schemas.openxmlformats.org/officeDocument/2006/relationships/customXml" Target="../customXml/item3.xml"/><Relationship Id="rId50" Type="http://schemas.openxmlformats.org/officeDocument/2006/relationships/customXml" Target="../customXml/item4.xml"/><Relationship Id="rId51" Type="http://schemas.openxmlformats.org/officeDocument/2006/relationships/customXml" Target="../customXml/item5.xml"/><Relationship Id="rId52" Type="http://schemas.openxmlformats.org/officeDocument/2006/relationships/customXml" Target="../customXml/item6.xml"/><Relationship Id="rId5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AlterOffice/3.4.0.9$Linux_X86_64 LibreOffice_project/b8daf9e823b1a5463a2f48435ddc2e8696e7d4fc</Application>
  <AppVersion>15.0000</AppVersion>
  <Pages>33</Pages>
  <Words>14297</Words>
  <Characters>102491</Characters>
  <CharactersWithSpaces>108857</CharactersWithSpaces>
  <Paragraphs>716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Наталья Николаевна Новокрещенова</cp:lastModifiedBy>
  <cp:lastPrinted>2016-12-15T13:00:00Z</cp:lastPrinted>
  <dcterms:modified xsi:type="dcterms:W3CDTF">2026-06-24T15:01:24Z</dcterms:modified>
  <cp:revision>141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