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76"/>
        <w:ind w:left="5954" w:hang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spacing w:lineRule="auto" w:line="360"/>
        <w:jc w:val="center"/>
        <w:rPr/>
      </w:pPr>
      <w:r>
        <w:rPr/>
        <w:t xml:space="preserve">ОКПД2 20.11.11. Поставка технических газов для выполнения работ на </w:t>
      </w:r>
    </w:p>
    <w:p>
      <w:pPr>
        <w:pStyle w:val="Normal"/>
        <w:spacing w:lineRule="auto" w:line="360"/>
        <w:jc w:val="center"/>
        <w:rPr/>
      </w:pPr>
      <w:r>
        <w:rPr/>
        <w:t>Нижегородской ГЭС</w:t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(Лот №</w:t>
      </w:r>
      <w:r>
        <w:rPr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 </w:t>
      </w:r>
      <w:r>
        <w:rPr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____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-ТПИР ОБСЛ ДОХ-202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6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-ГРВКК-СШФ)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-340" w:right="0"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left"/>
        <w:outlineLvl w:val="0"/>
        <w:rPr>
          <w:szCs w:val="24"/>
        </w:rPr>
      </w:pPr>
      <w:r>
        <w:rPr>
          <w:szCs w:val="24"/>
        </w:rPr>
        <w:tab/>
      </w:r>
      <w:r>
        <w:rPr>
          <w:color w:val="auto"/>
          <w:szCs w:val="24"/>
        </w:rPr>
        <w:t xml:space="preserve">ОКПД2 20.11.11. Поставка технических газов для выполнения работ на Нижегородской ГЭС </w:t>
      </w:r>
      <w:r>
        <w:rPr>
          <w:rFonts w:cs="Times New Roman"/>
          <w:color w:val="auto"/>
          <w:szCs w:val="24"/>
        </w:rPr>
        <w:t>(Далее продукция)</w:t>
      </w:r>
      <w:r>
        <w:rPr>
          <w:color w:val="auto"/>
          <w:szCs w:val="24"/>
        </w:rPr>
        <w:t>.</w:t>
      </w:r>
      <w:bookmarkStart w:id="2" w:name="_Toc75446569"/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firstLine="432"/>
        <w:jc w:val="both"/>
        <w:rPr>
          <w:rFonts w:eastAsia="Times New Roman" w:cs="Times New Roman"/>
          <w:bCs/>
          <w:szCs w:val="24"/>
          <w:shd w:fill="FFFFFF" w:val="clear"/>
          <w:lang w:eastAsia="ru-RU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  <w:t>Исполнение доходного договора:</w:t>
      </w:r>
    </w:p>
    <w:p>
      <w:pPr>
        <w:pStyle w:val="Normal"/>
        <w:ind w:firstLine="432"/>
        <w:jc w:val="both"/>
        <w:rPr>
          <w:szCs w:val="24"/>
        </w:rPr>
      </w:pPr>
      <w:r>
        <w:rPr>
          <w:szCs w:val="24"/>
        </w:rPr>
        <w:t xml:space="preserve">- №1240-129-2021 от 12.07.2021 «Строительно-монтажные и пусконаладочные работы по замене гидроагрегата ст.№1,4,7» для нужд филиала ПАО «РусГидро»-«Нижегородская ГЭС» </w:t>
      </w:r>
      <w:r>
        <w:rPr>
          <w:rFonts w:eastAsia="Times New Roman" w:cs="Times New Roman"/>
          <w:bCs/>
          <w:szCs w:val="24"/>
          <w:shd w:fill="FFFFFF" w:val="clear"/>
          <w:lang w:eastAsia="ru-RU"/>
        </w:rPr>
        <w:t>(заключенный между ПАО «РусГидро» и АО «Гидроремонт-ВКК»)</w:t>
      </w:r>
      <w:r>
        <w:rPr>
          <w:rStyle w:val="Style"/>
          <w:b w:val="false"/>
          <w:bCs/>
          <w:i w:val="false"/>
          <w:szCs w:val="24"/>
          <w:shd w:fill="FFFFFF" w:val="clear"/>
        </w:rPr>
        <w:t>.</w:t>
      </w:r>
    </w:p>
    <w:p>
      <w:pPr>
        <w:pStyle w:val="Normal"/>
        <w:ind w:firstLine="432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rPr>
          <w:caps/>
          <w:lang w:val="ru-RU"/>
        </w:rPr>
      </w:pPr>
      <w:bookmarkStart w:id="4" w:name="_Toc51339693"/>
      <w:bookmarkStart w:id="5" w:name="_Toc7544657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ind w:left="0" w:firstLine="709"/>
        <w:rPr/>
      </w:pPr>
      <w:r>
        <w:rPr/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tbl>
      <w:tblPr>
        <w:tblStyle w:val="affffd"/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4"/>
        <w:gridCol w:w="6076"/>
        <w:gridCol w:w="1300"/>
        <w:gridCol w:w="1429"/>
      </w:tblGrid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6076" w:type="dxa"/>
            <w:tcBorders/>
            <w:shd w:color="auto" w:fill="auto" w:val="clear"/>
            <w:vAlign w:val="center"/>
          </w:tcPr>
          <w:p>
            <w:pPr>
              <w:pStyle w:val="TableParagraph"/>
              <w:widowControl w:val="false"/>
              <w:overflowPunct w:val="true"/>
              <w:spacing w:lineRule="auto" w:line="247"/>
              <w:ind w:right="205" w:hanging="0"/>
              <w:rPr/>
            </w:pPr>
            <w:r>
              <w:rPr>
                <w:color w:val="111111"/>
              </w:rPr>
              <w:t>Технический газ «</w:t>
            </w:r>
            <w:r>
              <w:rPr>
                <w:color w:val="282828"/>
              </w:rPr>
              <w:t>Кислород» (6,3 м3)</w:t>
            </w:r>
          </w:p>
        </w:tc>
        <w:tc>
          <w:tcPr>
            <w:tcW w:w="13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шт</w:t>
            </w:r>
          </w:p>
        </w:tc>
        <w:tc>
          <w:tcPr>
            <w:tcW w:w="1429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60</w:t>
            </w: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6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60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Смесь пропана</w:t>
            </w:r>
            <w:r>
              <w:rPr>
                <w:color w:val="111111"/>
                <w:spacing w:val="28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и</w:t>
            </w:r>
            <w:r>
              <w:rPr>
                <w:color w:val="111111"/>
                <w:w w:val="104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бутана технических (21 кг)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шт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val="en-US" w:eastAsia="en-US"/>
              </w:rPr>
              <w:t>22</w:t>
            </w:r>
          </w:p>
        </w:tc>
      </w:tr>
      <w:tr>
        <w:trPr>
          <w:trHeight w:val="288" w:hRule="atLeast"/>
        </w:trPr>
        <w:tc>
          <w:tcPr>
            <w:tcW w:w="6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60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left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Технический газ «Аргон высший сорт» (6,3 м3)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шт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val="en-US" w:eastAsia="en-US"/>
              </w:rPr>
              <w:t>10</w:t>
            </w:r>
          </w:p>
        </w:tc>
      </w:tr>
      <w:tr>
        <w:trPr>
          <w:trHeight w:val="274" w:hRule="atLeast"/>
        </w:trPr>
        <w:tc>
          <w:tcPr>
            <w:tcW w:w="6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3" w:right="0" w:hanging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60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left"/>
              <w:rPr>
                <w:color w:val="111111"/>
                <w:sz w:val="24"/>
                <w:szCs w:val="24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Технический газ «Углекислый газ»</w:t>
            </w:r>
            <w:r>
              <w:rPr>
                <w:color w:val="111111"/>
                <w:sz w:val="24"/>
                <w:szCs w:val="24"/>
                <w:lang w:val="en-US"/>
              </w:rPr>
              <w:t xml:space="preserve"> (24 кг)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en-US"/>
              </w:rPr>
              <w:t>шт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val="en-US" w:eastAsia="en-US"/>
              </w:rPr>
              <w:t>10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auto"/>
        </w:rPr>
      </w:pPr>
      <w:r>
        <w:rPr>
          <w:color w:val="auto"/>
        </w:rPr>
        <w:t xml:space="preserve">Требования к срокам поставки продукции </w:t>
      </w:r>
    </w:p>
    <w:p>
      <w:pPr>
        <w:pStyle w:val="Normal"/>
        <w:rPr>
          <w:color w:val="auto"/>
        </w:rPr>
      </w:pPr>
      <w:bookmarkStart w:id="10" w:name="_Toc75446579"/>
      <w:bookmarkStart w:id="11" w:name="_Toc51339697"/>
      <w:bookmarkStart w:id="12" w:name="_Toc50125127"/>
      <w:r>
        <w:rPr>
          <w:rFonts w:eastAsia="Calibri"/>
          <w:color w:val="auto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color w:val="auto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color w:val="auto"/>
          <w:szCs w:val="24"/>
          <w:lang w:eastAsia="x-none"/>
        </w:rPr>
        <w:t>поставки продукции</w:t>
      </w:r>
      <w:bookmarkEnd w:id="10"/>
    </w:p>
    <w:p>
      <w:pPr>
        <w:pStyle w:val="Normal"/>
        <w:rPr>
          <w:color w:val="auto"/>
        </w:rPr>
      </w:pPr>
      <w:r>
        <w:rPr>
          <w:rFonts w:eastAsia="Calibri"/>
          <w:color w:val="auto"/>
          <w:szCs w:val="24"/>
          <w:lang w:eastAsia="x-none"/>
        </w:rPr>
        <w:t xml:space="preserve"> </w:t>
      </w:r>
    </w:p>
    <w:tbl>
      <w:tblPr>
        <w:tblW w:w="95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4763"/>
        <w:gridCol w:w="1761"/>
        <w:gridCol w:w="232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t>п/п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Наименование продукции / партии продукции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overflowPunct w:val="true"/>
              <w:spacing w:lineRule="auto" w:line="240"/>
              <w:ind w:right="205" w:hanging="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Технический газ «</w:t>
            </w:r>
            <w:r>
              <w:rPr>
                <w:color w:val="282828"/>
                <w:sz w:val="22"/>
                <w:szCs w:val="22"/>
              </w:rPr>
              <w:t>Кислород» (6,3 м3)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 31.08.202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Смесь пропана</w:t>
            </w:r>
            <w:r>
              <w:rPr>
                <w:color w:val="111111"/>
                <w:spacing w:val="28"/>
                <w:sz w:val="22"/>
                <w:szCs w:val="22"/>
              </w:rPr>
              <w:t xml:space="preserve"> </w:t>
            </w:r>
            <w:r>
              <w:rPr>
                <w:color w:val="111111"/>
                <w:sz w:val="22"/>
                <w:szCs w:val="22"/>
              </w:rPr>
              <w:t>и</w:t>
            </w:r>
            <w:r>
              <w:rPr>
                <w:color w:val="111111"/>
                <w:w w:val="104"/>
                <w:sz w:val="22"/>
                <w:szCs w:val="22"/>
              </w:rPr>
              <w:t xml:space="preserve"> </w:t>
            </w:r>
            <w:r>
              <w:rPr>
                <w:color w:val="111111"/>
                <w:sz w:val="22"/>
                <w:szCs w:val="22"/>
              </w:rPr>
              <w:t>бутана технических (21 кг)</w:t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Технический газ «Аргон высший сорт» (6,3 м3)</w:t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Технический газ «Углекислый газ»</w:t>
            </w:r>
            <w:r>
              <w:rPr>
                <w:color w:val="111111"/>
                <w:sz w:val="22"/>
                <w:szCs w:val="22"/>
                <w:lang w:val="en-US"/>
              </w:rPr>
              <w:t xml:space="preserve"> (24 кг)</w:t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bookmarkStart w:id="15" w:name="_Toc54785622"/>
      <w:bookmarkEnd w:id="15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2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48"/>
        <w:gridCol w:w="3677"/>
        <w:gridCol w:w="4948"/>
        <w:gridCol w:w="2950"/>
        <w:gridCol w:w="2889"/>
      </w:tblGrid>
      <w:tr>
        <w:trPr>
          <w:trHeight w:val="20" w:hRule="atLeast"/>
        </w:trPr>
        <w:tc>
          <w:tcPr>
            <w:tcW w:w="15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 1.1.-1.7.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Материалы для выполнения строительно-монтажных и пусконаладочных работ по замене гидроагрегата ст.№1,4,7 филиала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ПАО «РусГидро»-«Нижегородская ГЭС»</w:t>
            </w:r>
          </w:p>
        </w:tc>
      </w:tr>
      <w:tr>
        <w:trPr>
          <w:trHeight w:val="1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173" w:hRule="atLeast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/>
              <w:t>1.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overflowPunct w:val="true"/>
              <w:spacing w:lineRule="auto" w:line="240"/>
              <w:ind w:right="205" w:hanging="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Технический газ «</w:t>
            </w:r>
            <w:r>
              <w:rPr>
                <w:color w:val="282828"/>
                <w:sz w:val="22"/>
                <w:szCs w:val="22"/>
              </w:rPr>
              <w:t>Кислород» (6,3 м3)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before="0" w:after="0"/>
              <w:ind w:left="0" w:right="340" w:hanging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Объемная</w:t>
            </w:r>
            <w:r>
              <w:rPr>
                <w:rFonts w:cs="Times New Roman"/>
                <w:color w:val="111111"/>
                <w:spacing w:val="17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доля</w:t>
            </w:r>
            <w:r>
              <w:rPr>
                <w:rFonts w:cs="Times New Roman"/>
                <w:color w:val="111111"/>
                <w:spacing w:val="14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кислорода,</w:t>
            </w:r>
            <w:r>
              <w:rPr>
                <w:rFonts w:cs="Times New Roman"/>
                <w:color w:val="111111"/>
                <w:spacing w:val="33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%,</w:t>
            </w:r>
            <w:r>
              <w:rPr>
                <w:rFonts w:cs="Times New Roman"/>
                <w:color w:val="111111"/>
                <w:spacing w:val="2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не</w:t>
            </w:r>
            <w:r>
              <w:rPr>
                <w:rFonts w:cs="Times New Roman"/>
                <w:color w:val="111111"/>
                <w:w w:val="102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менее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before="139" w:after="0"/>
              <w:ind w:left="13" w:hanging="0"/>
              <w:jc w:val="center"/>
              <w:rPr/>
            </w:pPr>
            <w:r>
              <w:rPr>
                <w:rFonts w:cs="Times New Roman"/>
                <w:color w:val="111111"/>
                <w:w w:val="105"/>
                <w:kern w:val="0"/>
                <w:sz w:val="23"/>
                <w:szCs w:val="23"/>
                <w:lang w:val="ru-RU" w:eastAsia="ru-RU" w:bidi="ar-SA"/>
              </w:rPr>
              <w:t>99,5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</w:t>
            </w:r>
            <w:r>
              <w:rPr>
                <w:rFonts w:eastAsia="Calibri" w:cs="Times New Roman"/>
                <w:color w:val="010101"/>
                <w:kern w:val="0"/>
                <w:sz w:val="23"/>
                <w:szCs w:val="23"/>
                <w:lang w:val="ru-RU" w:eastAsia="ru-RU" w:bidi="ar-SA"/>
              </w:rPr>
              <w:t>5583-78 40/150</w:t>
            </w:r>
          </w:p>
        </w:tc>
      </w:tr>
      <w:tr>
        <w:trPr>
          <w:trHeight w:val="173" w:hRule="atLeast"/>
        </w:trPr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overflowPunct w:val="true"/>
              <w:spacing w:lineRule="auto" w:line="240"/>
              <w:ind w:right="20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6" w:after="0"/>
              <w:ind w:right="465" w:hanging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Объемная</w:t>
            </w:r>
            <w:r>
              <w:rPr>
                <w:rFonts w:cs="Times New Roman"/>
                <w:color w:val="111111"/>
                <w:spacing w:val="18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доля</w:t>
            </w:r>
            <w:r>
              <w:rPr>
                <w:rFonts w:cs="Times New Roman"/>
                <w:color w:val="111111"/>
                <w:spacing w:val="15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водорода,</w:t>
            </w:r>
            <w:r>
              <w:rPr>
                <w:rFonts w:cs="Times New Roman"/>
                <w:color w:val="111111"/>
                <w:spacing w:val="23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%,</w:t>
            </w:r>
            <w:r>
              <w:rPr>
                <w:rFonts w:cs="Times New Roman"/>
                <w:color w:val="111111"/>
                <w:spacing w:val="8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не</w:t>
            </w:r>
            <w:r>
              <w:rPr>
                <w:rFonts w:cs="Times New Roman"/>
                <w:color w:val="111111"/>
                <w:w w:val="102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более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before="139" w:after="0"/>
              <w:ind w:left="13" w:hanging="0"/>
              <w:jc w:val="center"/>
              <w:rPr/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0,5</w:t>
            </w:r>
          </w:p>
        </w:tc>
        <w:tc>
          <w:tcPr>
            <w:tcW w:w="28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73" w:hRule="atLeast"/>
        </w:trPr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overflowPunct w:val="true"/>
              <w:spacing w:lineRule="auto" w:line="240"/>
              <w:ind w:right="20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0" w:after="0"/>
              <w:ind w:right="180" w:hanging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Объемная</w:t>
            </w:r>
            <w:r>
              <w:rPr>
                <w:rFonts w:cs="Times New Roman"/>
                <w:color w:val="111111"/>
                <w:spacing w:val="17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доля</w:t>
            </w:r>
            <w:r>
              <w:rPr>
                <w:rFonts w:cs="Times New Roman"/>
                <w:color w:val="111111"/>
                <w:spacing w:val="16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водяных</w:t>
            </w:r>
            <w:r>
              <w:rPr>
                <w:rFonts w:cs="Times New Roman"/>
                <w:color w:val="111111"/>
                <w:spacing w:val="19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паров,</w:t>
            </w:r>
            <w:r>
              <w:rPr>
                <w:rFonts w:cs="Times New Roman"/>
                <w:color w:val="111111"/>
                <w:spacing w:val="21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%,</w:t>
            </w:r>
            <w:r>
              <w:rPr>
                <w:rFonts w:cs="Times New Roman"/>
                <w:color w:val="111111"/>
                <w:w w:val="102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не</w:t>
            </w:r>
            <w:r>
              <w:rPr>
                <w:rFonts w:cs="Times New Roman"/>
                <w:color w:val="111111"/>
                <w:spacing w:val="10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более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before="131" w:after="0"/>
              <w:ind w:left="7" w:hanging="0"/>
              <w:jc w:val="center"/>
              <w:rPr/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0,009</w:t>
            </w:r>
          </w:p>
        </w:tc>
        <w:tc>
          <w:tcPr>
            <w:tcW w:w="28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3" w:hRule="atLeast"/>
        </w:trPr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exact" w:line="261" w:before="0" w:after="0"/>
              <w:ind w:hanging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color w:val="111111"/>
                <w:kern w:val="0"/>
                <w:sz w:val="22"/>
                <w:szCs w:val="22"/>
                <w:lang w:val="ru-RU" w:eastAsia="ru-RU" w:bidi="ar-SA"/>
              </w:rPr>
              <w:t>Тара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exact" w:line="261" w:before="0" w:after="0"/>
              <w:ind w:left="159" w:hanging="0"/>
              <w:jc w:val="center"/>
              <w:rPr/>
            </w:pPr>
            <w:r>
              <w:rPr>
                <w:rFonts w:cs="Times New Roman"/>
                <w:color w:val="010101"/>
                <w:kern w:val="0"/>
                <w:sz w:val="23"/>
                <w:szCs w:val="23"/>
                <w:lang w:val="ru-RU" w:eastAsia="ru-RU" w:bidi="ar-SA"/>
              </w:rPr>
              <w:t>Баллон</w:t>
            </w:r>
            <w:r>
              <w:rPr>
                <w:rFonts w:cs="Times New Roman"/>
                <w:color w:val="010101"/>
                <w:spacing w:val="29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V=40л. 6,3 м³.</w:t>
            </w:r>
          </w:p>
        </w:tc>
        <w:tc>
          <w:tcPr>
            <w:tcW w:w="28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50" w:hRule="atLeast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/>
              <w:t>2.</w:t>
            </w:r>
          </w:p>
        </w:tc>
        <w:tc>
          <w:tcPr>
            <w:tcW w:w="3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Смесь пропана</w:t>
            </w:r>
            <w:r>
              <w:rPr>
                <w:color w:val="111111"/>
                <w:spacing w:val="28"/>
                <w:sz w:val="22"/>
                <w:szCs w:val="22"/>
              </w:rPr>
              <w:t xml:space="preserve"> </w:t>
            </w:r>
            <w:r>
              <w:rPr>
                <w:color w:val="111111"/>
                <w:sz w:val="22"/>
                <w:szCs w:val="22"/>
              </w:rPr>
              <w:t>и</w:t>
            </w:r>
            <w:r>
              <w:rPr>
                <w:color w:val="111111"/>
                <w:w w:val="104"/>
                <w:sz w:val="22"/>
                <w:szCs w:val="22"/>
              </w:rPr>
              <w:t xml:space="preserve"> </w:t>
            </w:r>
            <w:r>
              <w:rPr>
                <w:color w:val="111111"/>
                <w:sz w:val="22"/>
                <w:szCs w:val="22"/>
              </w:rPr>
              <w:t>бутана технических (21 кг)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1" w:after="0"/>
              <w:ind w:right="1120" w:hanging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Массовая</w:t>
            </w:r>
            <w:r>
              <w:rPr>
                <w:rFonts w:cs="Times New Roman"/>
                <w:color w:val="111111"/>
                <w:spacing w:val="19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доля</w:t>
            </w:r>
            <w:r>
              <w:rPr>
                <w:rFonts w:cs="Times New Roman"/>
                <w:color w:val="111111"/>
                <w:spacing w:val="18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бутанов</w:t>
            </w:r>
            <w:r>
              <w:rPr>
                <w:rFonts w:cs="Times New Roman"/>
                <w:color w:val="111111"/>
                <w:spacing w:val="16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и</w:t>
            </w:r>
            <w:r>
              <w:rPr>
                <w:rFonts w:cs="Times New Roman"/>
                <w:color w:val="111111"/>
                <w:w w:val="104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бутиленов,</w:t>
            </w:r>
            <w:r>
              <w:rPr>
                <w:rFonts w:cs="Times New Roman"/>
                <w:color w:val="111111"/>
                <w:spacing w:val="20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%,</w:t>
            </w:r>
            <w:r>
              <w:rPr>
                <w:rFonts w:cs="Times New Roman"/>
                <w:color w:val="111111"/>
                <w:spacing w:val="8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не</w:t>
            </w:r>
            <w:r>
              <w:rPr>
                <w:rFonts w:cs="Times New Roman"/>
                <w:color w:val="111111"/>
                <w:spacing w:val="11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более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before="139" w:after="0"/>
              <w:ind w:left="26" w:hanging="0"/>
              <w:jc w:val="center"/>
              <w:rPr/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60,0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 </w:t>
            </w:r>
            <w:r>
              <w:rPr>
                <w:rFonts w:cs="Times New Roman"/>
                <w:color w:val="010101"/>
                <w:kern w:val="0"/>
                <w:sz w:val="23"/>
                <w:szCs w:val="23"/>
                <w:lang w:val="ru-RU" w:eastAsia="ru-RU" w:bidi="ar-SA"/>
              </w:rPr>
              <w:t>34858-2022</w:t>
            </w:r>
          </w:p>
        </w:tc>
      </w:tr>
      <w:tr>
        <w:trPr>
          <w:trHeight w:val="150" w:hRule="atLeast"/>
        </w:trPr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auto" w:line="247" w:before="0" w:after="0"/>
              <w:ind w:right="0" w:hanging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Объемная</w:t>
            </w:r>
            <w:r>
              <w:rPr>
                <w:rFonts w:cs="Times New Roman"/>
                <w:color w:val="111111"/>
                <w:spacing w:val="13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доля</w:t>
            </w:r>
            <w:r>
              <w:rPr>
                <w:rFonts w:cs="Times New Roman"/>
                <w:color w:val="111111"/>
                <w:spacing w:val="12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жидкогоостатка</w:t>
            </w:r>
            <w:r>
              <w:rPr>
                <w:rFonts w:cs="Times New Roman"/>
                <w:color w:val="111111"/>
                <w:w w:val="101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при</w:t>
            </w:r>
            <w:r>
              <w:rPr>
                <w:rFonts w:cs="Times New Roman"/>
                <w:color w:val="111111"/>
                <w:spacing w:val="10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20°С,</w:t>
            </w:r>
            <w:r>
              <w:rPr>
                <w:rFonts w:cs="Times New Roman"/>
                <w:color w:val="111111"/>
                <w:spacing w:val="14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%,</w:t>
            </w:r>
            <w:r>
              <w:rPr>
                <w:rFonts w:cs="Times New Roman"/>
                <w:color w:val="111111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не</w:t>
            </w:r>
            <w:r>
              <w:rPr>
                <w:rFonts w:cs="Times New Roman"/>
                <w:color w:val="111111"/>
                <w:spacing w:val="7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более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before="141" w:after="0"/>
              <w:ind w:left="61" w:hanging="0"/>
              <w:jc w:val="center"/>
              <w:rPr/>
            </w:pPr>
            <w:r>
              <w:rPr>
                <w:rFonts w:cs="Times New Roman"/>
                <w:color w:val="010101"/>
                <w:kern w:val="0"/>
                <w:sz w:val="23"/>
                <w:szCs w:val="23"/>
                <w:lang w:val="ru-RU" w:eastAsia="ru-RU" w:bidi="ar-SA"/>
              </w:rPr>
              <w:t>1,6</w:t>
            </w:r>
          </w:p>
        </w:tc>
        <w:tc>
          <w:tcPr>
            <w:tcW w:w="28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7" w:hRule="atLeast"/>
        </w:trPr>
        <w:tc>
          <w:tcPr>
            <w:tcW w:w="7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exact" w:line="261" w:before="0" w:after="0"/>
              <w:ind w:left="100" w:hanging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Тара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exact" w:line="261" w:before="0" w:after="0"/>
              <w:ind w:left="159" w:hanging="0"/>
              <w:jc w:val="center"/>
              <w:rPr/>
            </w:pPr>
            <w:r>
              <w:rPr>
                <w:rFonts w:cs="Times New Roman"/>
                <w:color w:val="010101"/>
                <w:kern w:val="0"/>
                <w:sz w:val="23"/>
                <w:szCs w:val="23"/>
                <w:lang w:val="ru-RU" w:eastAsia="ru-RU" w:bidi="ar-SA"/>
              </w:rPr>
              <w:t>Баллон</w:t>
            </w:r>
            <w:r>
              <w:rPr>
                <w:rFonts w:cs="Times New Roman"/>
                <w:color w:val="010101"/>
                <w:spacing w:val="28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V=40л. 21 кг.</w:t>
            </w:r>
          </w:p>
        </w:tc>
        <w:tc>
          <w:tcPr>
            <w:tcW w:w="2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8" w:hRule="atLeast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/>
              <w:t>3.</w:t>
            </w:r>
          </w:p>
        </w:tc>
        <w:tc>
          <w:tcPr>
            <w:tcW w:w="3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Технический газ «Аргон высший сорт» (6,3 м3)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auto" w:line="240" w:before="1" w:after="0"/>
              <w:ind w:right="0" w:hanging="0"/>
              <w:jc w:val="left"/>
              <w:rPr/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Объемная</w:t>
            </w:r>
            <w:r>
              <w:rPr>
                <w:rFonts w:cs="Times New Roman"/>
                <w:color w:val="111111"/>
                <w:spacing w:val="17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доля</w:t>
            </w:r>
            <w:r>
              <w:rPr>
                <w:rFonts w:cs="Times New Roman"/>
                <w:color w:val="111111"/>
                <w:spacing w:val="14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аргона,</w:t>
            </w:r>
            <w:r>
              <w:rPr>
                <w:rFonts w:cs="Times New Roman"/>
                <w:color w:val="111111"/>
                <w:spacing w:val="33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%,</w:t>
            </w:r>
            <w:r>
              <w:rPr>
                <w:rFonts w:cs="Times New Roman"/>
                <w:color w:val="111111"/>
                <w:spacing w:val="2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не</w:t>
            </w:r>
            <w:r>
              <w:rPr>
                <w:rFonts w:cs="Times New Roman"/>
                <w:color w:val="111111"/>
                <w:w w:val="102"/>
                <w:kern w:val="0"/>
                <w:sz w:val="23"/>
                <w:szCs w:val="23"/>
                <w:lang w:val="ru-RU" w:eastAsia="en-US" w:bidi="ar-SA"/>
              </w:rPr>
              <w:t xml:space="preserve"> м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енее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63" w:after="0"/>
              <w:ind w:left="245" w:hanging="0"/>
              <w:jc w:val="center"/>
              <w:rPr/>
            </w:pPr>
            <w:r>
              <w:rPr>
                <w:rFonts w:cs="Times New Roman"/>
                <w:kern w:val="0"/>
                <w:lang w:val="ru-RU" w:eastAsia="en-US" w:bidi="ar-SA"/>
              </w:rPr>
              <w:t>99,999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</w:t>
            </w:r>
            <w:r>
              <w:rPr>
                <w:rFonts w:cs="Times New Roman"/>
                <w:color w:val="010101"/>
                <w:kern w:val="0"/>
                <w:sz w:val="23"/>
                <w:szCs w:val="23"/>
                <w:lang w:val="ru-RU" w:eastAsia="ru-RU" w:bidi="ar-SA"/>
              </w:rPr>
              <w:t>10157-2016</w:t>
            </w:r>
          </w:p>
        </w:tc>
      </w:tr>
      <w:tr>
        <w:trPr>
          <w:trHeight w:val="61" w:hRule="atLeast"/>
        </w:trPr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63" w:after="0"/>
              <w:ind w:hanging="0"/>
              <w:jc w:val="both"/>
              <w:rPr/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Объемная</w:t>
            </w:r>
            <w:r>
              <w:rPr>
                <w:rFonts w:cs="Times New Roman"/>
                <w:color w:val="111111"/>
                <w:spacing w:val="18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доля</w:t>
            </w:r>
            <w:r>
              <w:rPr>
                <w:rFonts w:cs="Times New Roman"/>
                <w:color w:val="111111"/>
                <w:spacing w:val="15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кислорода,</w:t>
            </w:r>
            <w:r>
              <w:rPr>
                <w:rFonts w:cs="Times New Roman"/>
                <w:color w:val="111111"/>
                <w:spacing w:val="23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%,</w:t>
            </w:r>
            <w:r>
              <w:rPr>
                <w:rFonts w:cs="Times New Roman"/>
                <w:color w:val="111111"/>
                <w:spacing w:val="8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не</w:t>
            </w:r>
            <w:r>
              <w:rPr>
                <w:rFonts w:cs="Times New Roman"/>
                <w:color w:val="111111"/>
                <w:w w:val="102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более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63" w:after="0"/>
              <w:ind w:left="245" w:hanging="0"/>
              <w:jc w:val="center"/>
              <w:rPr/>
            </w:pPr>
            <w:r>
              <w:rPr>
                <w:rFonts w:cs="Times New Roman"/>
                <w:kern w:val="0"/>
                <w:lang w:val="ru-RU" w:eastAsia="en-US" w:bidi="ar-SA"/>
              </w:rPr>
              <w:t>0,000009</w:t>
            </w:r>
          </w:p>
        </w:tc>
        <w:tc>
          <w:tcPr>
            <w:tcW w:w="28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" w:hRule="atLeast"/>
        </w:trPr>
        <w:tc>
          <w:tcPr>
            <w:tcW w:w="7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63" w:after="0"/>
              <w:ind w:left="1" w:hanging="0"/>
              <w:jc w:val="both"/>
              <w:rPr/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Объемная</w:t>
            </w:r>
            <w:r>
              <w:rPr>
                <w:rFonts w:cs="Times New Roman"/>
                <w:color w:val="111111"/>
                <w:spacing w:val="18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доля</w:t>
            </w:r>
            <w:r>
              <w:rPr>
                <w:rFonts w:cs="Times New Roman"/>
                <w:color w:val="111111"/>
                <w:spacing w:val="15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азота</w:t>
            </w:r>
            <w:r>
              <w:rPr>
                <w:rFonts w:cs="Times New Roman"/>
                <w:color w:val="111111"/>
                <w:spacing w:val="23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%,</w:t>
            </w:r>
            <w:r>
              <w:rPr>
                <w:rFonts w:cs="Times New Roman"/>
                <w:color w:val="111111"/>
                <w:spacing w:val="8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не</w:t>
            </w:r>
            <w:r>
              <w:rPr>
                <w:rFonts w:cs="Times New Roman"/>
                <w:color w:val="111111"/>
                <w:w w:val="102"/>
                <w:kern w:val="0"/>
                <w:sz w:val="23"/>
                <w:szCs w:val="23"/>
                <w:lang w:val="ru-RU" w:eastAsia="en-US" w:bidi="ar-SA"/>
              </w:rPr>
              <w:t xml:space="preserve">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более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141" w:after="0"/>
              <w:ind w:left="61" w:hanging="0"/>
              <w:jc w:val="center"/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en-US" w:bidi="ar-SA"/>
              </w:rPr>
              <w:t>0,000014</w:t>
            </w:r>
          </w:p>
        </w:tc>
        <w:tc>
          <w:tcPr>
            <w:tcW w:w="2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" w:hRule="atLeast"/>
        </w:trPr>
        <w:tc>
          <w:tcPr>
            <w:tcW w:w="7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0" w:after="0"/>
              <w:ind w:hanging="0"/>
              <w:jc w:val="left"/>
              <w:rPr/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Тара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40" w:before="63" w:after="0"/>
              <w:jc w:val="center"/>
              <w:rPr/>
            </w:pPr>
            <w:r>
              <w:rPr>
                <w:rFonts w:cs="Times New Roman"/>
                <w:kern w:val="0"/>
                <w:lang w:val="ru-RU" w:eastAsia="en-US" w:bidi="ar-SA"/>
              </w:rPr>
              <w:t xml:space="preserve">Баллон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V</w:t>
            </w:r>
            <w:r>
              <w:rPr>
                <w:rFonts w:cs="Times New Roman"/>
                <w:kern w:val="0"/>
                <w:lang w:val="en-US" w:eastAsia="en-US" w:bidi="ar-SA"/>
              </w:rPr>
              <w:t xml:space="preserve"> =40</w:t>
            </w:r>
            <w:r>
              <w:rPr>
                <w:rFonts w:cs="Times New Roman"/>
                <w:kern w:val="0"/>
                <w:lang w:val="ru-RU" w:eastAsia="en-US" w:bidi="ar-SA"/>
              </w:rPr>
              <w:t xml:space="preserve">л. 6,3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м³.</w:t>
            </w:r>
          </w:p>
        </w:tc>
        <w:tc>
          <w:tcPr>
            <w:tcW w:w="2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/>
              <w:t>4.</w:t>
            </w:r>
          </w:p>
        </w:tc>
        <w:tc>
          <w:tcPr>
            <w:tcW w:w="3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lang w:val="en-US"/>
              </w:rPr>
              <w:t>Технический газ «Углекислый газ» (24 кг)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52" w:before="63" w:after="0"/>
              <w:ind w:hanging="0"/>
              <w:jc w:val="left"/>
              <w:rPr>
                <w:color w:val="111111"/>
                <w:sz w:val="23"/>
                <w:szCs w:val="23"/>
                <w:lang w:eastAsia="en-US"/>
              </w:rPr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Объемная доля двуокиси углерода (СО2), %, не менее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52" w:before="63" w:after="0"/>
              <w:ind w:left="245" w:hanging="0"/>
              <w:jc w:val="center"/>
              <w:rPr/>
            </w:pPr>
            <w:r>
              <w:rPr>
                <w:rFonts w:cs="Times New Roman"/>
                <w:color w:val="111111"/>
                <w:w w:val="105"/>
                <w:kern w:val="0"/>
                <w:sz w:val="23"/>
                <w:szCs w:val="23"/>
                <w:lang w:val="ru-RU" w:eastAsia="en-US" w:bidi="ar-SA"/>
              </w:rPr>
              <w:t>99,5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 </w:t>
            </w:r>
            <w:r>
              <w:rPr>
                <w:rFonts w:cs="Times New Roman"/>
                <w:color w:val="010101"/>
                <w:kern w:val="0"/>
                <w:sz w:val="23"/>
                <w:szCs w:val="23"/>
                <w:lang w:val="ru-RU" w:eastAsia="ru-RU" w:bidi="ar-SA"/>
              </w:rPr>
              <w:t>8050-85</w:t>
            </w:r>
          </w:p>
        </w:tc>
      </w:tr>
      <w:tr>
        <w:trPr>
          <w:trHeight w:val="18" w:hRule="atLeast"/>
        </w:trPr>
        <w:tc>
          <w:tcPr>
            <w:tcW w:w="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52" w:before="63" w:after="0"/>
              <w:ind w:left="1" w:hanging="0"/>
              <w:jc w:val="both"/>
              <w:rPr>
                <w:color w:val="111111"/>
                <w:sz w:val="23"/>
                <w:szCs w:val="23"/>
                <w:lang w:eastAsia="en-US"/>
              </w:rPr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Массовая концентрация минеральных масел и механических примесей, мг/кг, не более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52" w:before="63" w:after="0"/>
              <w:ind w:left="245" w:hanging="0"/>
              <w:jc w:val="center"/>
              <w:rPr/>
            </w:pPr>
            <w:r>
              <w:rPr>
                <w:rFonts w:cs="Times New Roman"/>
                <w:color w:val="111111"/>
                <w:w w:val="105"/>
                <w:kern w:val="0"/>
                <w:sz w:val="23"/>
                <w:szCs w:val="23"/>
                <w:lang w:val="ru-RU" w:eastAsia="en-US" w:bidi="ar-SA"/>
              </w:rPr>
              <w:t>0,1</w:t>
            </w:r>
          </w:p>
        </w:tc>
        <w:tc>
          <w:tcPr>
            <w:tcW w:w="28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8" w:hRule="atLeast"/>
        </w:trPr>
        <w:tc>
          <w:tcPr>
            <w:tcW w:w="7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52" w:before="63" w:after="0"/>
              <w:jc w:val="both"/>
              <w:rPr>
                <w:color w:val="111111"/>
                <w:sz w:val="23"/>
                <w:szCs w:val="23"/>
                <w:lang w:eastAsia="en-US"/>
              </w:rPr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Массовая концентрация водяных паров при температуре 20 °С и давлении 101,3 кПа (760 мм рт. ст.), г/м3, не более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before="141" w:after="0"/>
              <w:ind w:left="61" w:hanging="0"/>
              <w:jc w:val="center"/>
              <w:rPr/>
            </w:pPr>
            <w:r>
              <w:rPr>
                <w:rFonts w:cs="Times New Roman"/>
                <w:kern w:val="0"/>
                <w:lang w:val="ru-RU" w:eastAsia="en-US" w:bidi="ar-SA"/>
              </w:rPr>
              <w:t>0,184</w:t>
            </w:r>
          </w:p>
        </w:tc>
        <w:tc>
          <w:tcPr>
            <w:tcW w:w="2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37" w:hRule="atLeast"/>
        </w:trPr>
        <w:tc>
          <w:tcPr>
            <w:tcW w:w="7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3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exact" w:line="261" w:before="0" w:after="0"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ru-RU" w:bidi="ar-SA"/>
              </w:rPr>
              <w:t>Тара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overflowPunct w:val="true"/>
              <w:spacing w:lineRule="auto" w:line="252" w:before="63" w:after="0"/>
              <w:jc w:val="center"/>
              <w:rPr/>
            </w:pPr>
            <w:r>
              <w:rPr>
                <w:rFonts w:cs="Times New Roman"/>
                <w:kern w:val="0"/>
                <w:lang w:val="ru-RU" w:eastAsia="en-US" w:bidi="ar-SA"/>
              </w:rPr>
              <w:t xml:space="preserve">Баллон 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V</w:t>
            </w:r>
            <w:r>
              <w:rPr>
                <w:rFonts w:cs="Times New Roman"/>
                <w:kern w:val="0"/>
                <w:lang w:val="en-US" w:eastAsia="en-US" w:bidi="ar-SA"/>
              </w:rPr>
              <w:t xml:space="preserve"> =40</w:t>
            </w:r>
            <w:r>
              <w:rPr>
                <w:rFonts w:cs="Times New Roman"/>
                <w:kern w:val="0"/>
                <w:lang w:val="ru-RU" w:eastAsia="en-US" w:bidi="ar-SA"/>
              </w:rPr>
              <w:t>л. 2</w:t>
            </w:r>
            <w:r>
              <w:rPr>
                <w:rFonts w:cs="Times New Roman"/>
                <w:color w:val="111111"/>
                <w:kern w:val="0"/>
                <w:sz w:val="23"/>
                <w:szCs w:val="23"/>
                <w:lang w:val="ru-RU" w:eastAsia="en-US" w:bidi="ar-SA"/>
              </w:rPr>
              <w:t>4кг</w:t>
            </w:r>
          </w:p>
        </w:tc>
        <w:tc>
          <w:tcPr>
            <w:tcW w:w="2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2.</w:t>
            </w:r>
          </w:p>
        </w:tc>
        <w:tc>
          <w:tcPr>
            <w:tcW w:w="144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2.1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07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606520, Российская Федерация, Нижегородская область, г. Заволжье, ул. Привокзальная, д. 14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2.2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07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2.3</w:t>
            </w:r>
          </w:p>
        </w:tc>
        <w:tc>
          <w:tcPr>
            <w:tcW w:w="144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ru-RU"/>
              </w:rPr>
              <w:t xml:space="preserve"> по тел. 8-920-015-83-43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3.</w:t>
            </w:r>
          </w:p>
        </w:tc>
        <w:tc>
          <w:tcPr>
            <w:tcW w:w="144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3.1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07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4.</w:t>
            </w:r>
          </w:p>
        </w:tc>
        <w:tc>
          <w:tcPr>
            <w:tcW w:w="144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4.1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07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</w:t>
            </w:r>
            <w:r>
              <w:rPr>
                <w:rFonts w:eastAsia="Times New Roman" w:cs="Times New Roman"/>
                <w:i/>
                <w:iCs w:val="false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счет-фактуру; товарную накладную унифицированной формы ТОРГ-12 (УПД) в 2 экз., транспортную накладную. П</w:t>
            </w:r>
            <w:r>
              <w:rPr>
                <w:rFonts w:eastAsia="Times New Roman" w:cs="Times New Roman"/>
                <w:i w:val="false"/>
                <w:iCs w:val="false"/>
                <w:color w:val="151515"/>
                <w:kern w:val="0"/>
                <w:sz w:val="24"/>
                <w:szCs w:val="24"/>
                <w:lang w:val="ru-RU" w:eastAsia="ru-RU" w:bidi="ar-SA"/>
              </w:rPr>
              <w:t>аспорт на продукцию или сертификат соответствия ГОСТ (при наличии)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5.</w:t>
            </w:r>
          </w:p>
        </w:tc>
        <w:tc>
          <w:tcPr>
            <w:tcW w:w="144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8" w:hRule="atLeast"/>
        </w:trPr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5.1</w:t>
            </w:r>
          </w:p>
        </w:tc>
        <w:tc>
          <w:tcPr>
            <w:tcW w:w="144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Баллоны должны быть новые, ранее не использовавшейся</w:t>
            </w:r>
          </w:p>
        </w:tc>
      </w:tr>
    </w:tbl>
    <w:p>
      <w:pPr>
        <w:pStyle w:val="Normal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</w:r>
    </w:p>
    <w:p>
      <w:pPr>
        <w:pStyle w:val="Normal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</w:r>
      <w:bookmarkStart w:id="16" w:name="_Toc46743519"/>
      <w:bookmarkStart w:id="17" w:name="_Toc46743519"/>
      <w:bookmarkEnd w:id="17"/>
    </w:p>
    <w:p>
      <w:pPr>
        <w:pStyle w:val="Heading1"/>
        <w:numPr>
          <w:ilvl w:val="0"/>
          <w:numId w:val="0"/>
        </w:numPr>
        <w:tabs>
          <w:tab w:val="clear" w:pos="709"/>
          <w:tab w:val="left" w:pos="0" w:leader="none"/>
        </w:tabs>
        <w:spacing w:before="120" w:after="60"/>
        <w:ind w:left="357" w:hanging="0"/>
        <w:jc w:val="center"/>
        <w:rPr>
          <w:i w:val="false"/>
          <w:i w:val="false"/>
          <w:iCs w:val="false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426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8277448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49620183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 w:customStyle="1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FollowedHyperlink" w:customStyle="1">
    <w:name w:val="FollowedHyperlink"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rsid w:val="004900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widowControl w:val="false"/>
    </w:pPr>
    <w:rPr>
      <w:rFonts w:eastAsia="" w:eastAsiaTheme="min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Application>AlterOffice/3.4.0.9$Linux_X86_64 LibreOffice_project/b8daf9e823b1a5463a2f48435ddc2e8696e7d4fc</Application>
  <AppVersion>15.0000</AppVersion>
  <Pages>4</Pages>
  <Words>598</Words>
  <Characters>3623</Characters>
  <CharactersWithSpaces>4091</CharactersWithSpaces>
  <Paragraphs>145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>kudryavtsevaen@corp.gidroogk.com</cp:lastModifiedBy>
  <cp:lastPrinted>2026-07-10T16:42:46Z</cp:lastPrinted>
  <dcterms:modified xsi:type="dcterms:W3CDTF">2026-07-10T16:38:01Z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