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 продукции на поставку трансформаторов силовых классом напряжения от 6 до 35 кВ включительно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center"/>
        <w:rPr/>
      </w:pPr>
      <w:r>
        <w:rPr>
          <w:rStyle w:val="Style18"/>
          <w:rFonts w:eastAsia="Calibri"/>
          <w:b/>
          <w:i/>
          <w:sz w:val="26"/>
          <w:szCs w:val="26"/>
          <w:shd w:fill="auto" w:val="clear"/>
        </w:rPr>
        <w:t>ОКПД2 27.11.41.</w:t>
      </w:r>
      <w:r>
        <w:rPr>
          <w:rStyle w:val="Style18"/>
          <w:rFonts w:eastAsia="Calibri"/>
          <w:b/>
          <w:i/>
          <w:sz w:val="26"/>
          <w:szCs w:val="26"/>
          <w:shd w:fill="auto" w:val="clear"/>
        </w:rPr>
        <w:t>000</w:t>
      </w:r>
      <w:r>
        <w:rPr>
          <w:rStyle w:val="Style18"/>
          <w:rFonts w:eastAsia="Calibri"/>
          <w:b/>
          <w:i/>
          <w:sz w:val="26"/>
          <w:szCs w:val="26"/>
          <w:shd w:fill="auto" w:val="clear"/>
        </w:rPr>
        <w:t xml:space="preserve"> Поставка трансформаторов силовых 35 кВ для реконструкции ПС 35 кВ Промышленная в рамках реализации инвестиционного проекта для филиала АО «ДРСК» «Амурские электрические сети».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 w:ascii="Liberation Serif" w:hAnsi="Liberation Serif"/>
          <w:b/>
          <w:i/>
          <w:sz w:val="26"/>
          <w:szCs w:val="26"/>
          <w:shd w:fill="auto" w:val="clear"/>
        </w:rPr>
        <w:t>1101-КС ПИР СМР-2027-ДРСК-АЭС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22623_3214668549">
            <w:r>
              <w:rPr>
                <w:webHidden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25_3214668549">
            <w:r>
              <w:rPr>
                <w:webHidden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27_3214668549">
            <w:r>
              <w:rPr>
                <w:webHidden/>
                <w:vanish w:val="false"/>
              </w:rPr>
              <w:t>1.2. Наименование закупаемой продукции</w:t>
              <w:tab/>
              <w:t>5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29_3214668549">
            <w:r>
              <w:rPr>
                <w:webHidden/>
                <w:vanish w:val="false"/>
              </w:rPr>
              <w:t>1.3. Цель использования закупаемой продукции</w:t>
              <w:tab/>
              <w:t>5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31_3214668549">
            <w:r>
              <w:rPr>
                <w:webHidden/>
                <w:vanish w:val="false"/>
              </w:rPr>
              <w:t>1.4. Иные требования и сведения общего характера</w:t>
              <w:tab/>
              <w:t>5</w:t>
            </w:r>
          </w:hyperlink>
        </w:p>
        <w:p>
          <w:pPr>
            <w:pStyle w:val="36"/>
            <w:tabs>
              <w:tab w:val="clear" w:pos="709"/>
              <w:tab w:val="right" w:pos="9921" w:leader="dot"/>
            </w:tabs>
            <w:rPr/>
          </w:pPr>
          <w:hyperlink w:anchor="__RefHeading___Toc22633_3214668549">
            <w:r>
              <w:rPr>
                <w:webHidden/>
                <w:vanish w:val="false"/>
              </w:rPr>
              <w:t>1.4.1. Требования к участнику закупки, признанным победителем</w:t>
              <w:tab/>
              <w:t>5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35_3214668549">
            <w:r>
              <w:rPr>
                <w:webHidden/>
                <w:vanish w:val="false"/>
              </w:rPr>
              <w:t>2. Требования к продукции</w:t>
              <w:tab/>
              <w:t>5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37_3214668549">
            <w:r>
              <w:rPr>
                <w:webHidden/>
                <w:vanish w:val="false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36"/>
            <w:tabs>
              <w:tab w:val="clear" w:pos="709"/>
              <w:tab w:val="right" w:pos="9921" w:leader="dot"/>
            </w:tabs>
            <w:rPr/>
          </w:pPr>
          <w:hyperlink w:anchor="__RefHeading___Toc22639_3214668549">
            <w:r>
              <w:rPr>
                <w:webHidden/>
                <w:vanish w:val="false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41_3214668549">
            <w:r>
              <w:rPr>
                <w:webHidden/>
                <w:vanish w:val="false"/>
              </w:rPr>
              <w:t>Таблица 1.1 Перечень и объем закупаемой продукции</w:t>
              <w:tab/>
              <w:t>5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43_3214668549">
            <w:r>
              <w:rPr>
                <w:webHidden/>
                <w:vanish w:val="false"/>
              </w:rPr>
              <w:t>Таблица 1.2 Перечень и объем закупаемых сопутствующих услуг</w:t>
              <w:tab/>
              <w:t>5</w:t>
            </w:r>
          </w:hyperlink>
        </w:p>
        <w:p>
          <w:pPr>
            <w:pStyle w:val="36"/>
            <w:tabs>
              <w:tab w:val="clear" w:pos="709"/>
              <w:tab w:val="right" w:pos="9921" w:leader="dot"/>
            </w:tabs>
            <w:rPr/>
          </w:pPr>
          <w:hyperlink w:anchor="__RefHeading___Toc22645_3214668549">
            <w:r>
              <w:rPr>
                <w:webHidden/>
                <w:vanish w:val="false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47_3214668549">
            <w:r>
              <w:rPr>
                <w:webHidden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49_3214668549">
            <w:r>
              <w:rPr>
                <w:webHidden/>
                <w:vanish w:val="false"/>
              </w:rPr>
              <w:t>Таблица 2.2 Требования по срокам оказания сопутствующих услуг</w:t>
              <w:tab/>
              <w:t>6</w:t>
            </w:r>
          </w:hyperlink>
        </w:p>
        <w:p>
          <w:pPr>
            <w:pStyle w:val="26"/>
            <w:tabs>
              <w:tab w:val="clear" w:pos="709"/>
              <w:tab w:val="right" w:pos="9921" w:leader="dot"/>
            </w:tabs>
            <w:rPr/>
          </w:pPr>
          <w:hyperlink w:anchor="__RefHeading___Toc22651_3214668549">
            <w:r>
              <w:rPr>
                <w:webHidden/>
                <w:vanish w:val="false"/>
              </w:rPr>
              <w:t>2.2. Требования к качеству продукции</w:t>
              <w:tab/>
              <w:t>7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53_3214668549">
            <w:r>
              <w:rPr>
                <w:webHidden/>
                <w:vanish w:val="false"/>
              </w:rPr>
              <w:t>Таблица 3. Требования к качеству продукции</w:t>
              <w:tab/>
              <w:t>7</w:t>
            </w:r>
          </w:hyperlink>
        </w:p>
        <w:p>
          <w:pPr>
            <w:pStyle w:val="36"/>
            <w:tabs>
              <w:tab w:val="clear" w:pos="709"/>
              <w:tab w:val="right" w:pos="9921" w:leader="dot"/>
            </w:tabs>
            <w:rPr/>
          </w:pPr>
          <w:hyperlink w:anchor="__RefHeading___Toc22655_3214668549">
            <w:r>
              <w:rPr>
                <w:webHidden/>
                <w:vanish w:val="false"/>
              </w:rPr>
              <w:t>2.2.1. В составе заявки необходимо предоставить</w:t>
              <w:tab/>
              <w:t>53</w:t>
            </w:r>
          </w:hyperlink>
        </w:p>
        <w:p>
          <w:pPr>
            <w:pStyle w:val="110"/>
            <w:tabs>
              <w:tab w:val="clear" w:pos="709"/>
              <w:tab w:val="right" w:pos="9921" w:leader="dot"/>
            </w:tabs>
            <w:rPr/>
          </w:pPr>
          <w:hyperlink w:anchor="__RefHeading___Toc22657_3214668549">
            <w:r>
              <w:rPr>
                <w:webHidden/>
                <w:vanish w:val="false"/>
              </w:rPr>
              <w:t>3. Приложения</w:t>
              <w:tab/>
              <w:t>56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2"/>
        <w:numPr>
          <w:ilvl w:val="0"/>
          <w:numId w:val="0"/>
        </w:numPr>
        <w:ind w:left="432" w:hanging="43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ind w:left="426" w:hanging="360"/>
        <w:rPr/>
      </w:pPr>
      <w:bookmarkStart w:id="0" w:name="__RefHeading___Toc22623_3214668549"/>
      <w:bookmarkStart w:id="1" w:name="_Toc219815401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4"/>
        <w:numPr>
          <w:ilvl w:val="1"/>
          <w:numId w:val="44"/>
        </w:numPr>
        <w:rPr/>
      </w:pPr>
      <w:bookmarkStart w:id="3" w:name="__RefHeading___Toc22625_3214668549"/>
      <w:bookmarkStart w:id="4" w:name="_Toc46743505"/>
      <w:bookmarkStart w:id="5" w:name="_Toc219815402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 или государственный стандарт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nnotationreference"/>
                <w:iCs/>
                <w:sz w:val="22"/>
                <w:szCs w:val="22"/>
              </w:rPr>
              <w:t>ГОСТ 2.601-2019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Эксплуатационные документы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Правила выполнения эксплуатационных документов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12.2.007.0-75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12.2.007.2-75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Трансформаторы силовые и реакторы электрические. Требования безопасности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Электротехнические устройства на напряжение свыше 1000 В. Требования безопасности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9920-89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14209-85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назначения. Допустимые нагрузки 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52719-2007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55187-12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Вводы изолированные на номинальные напряжения свыше 1000 В переменного тока.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Р 55195-12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Электрооборудование и электроустановки переменного тока на напряжения от 1 до 750 кВ. Требование к электрической прочности изоляции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11920-85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 напряжением до 35 кВ включительно. Технические условия 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15150-69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24126-80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Устройства регулирования напряжения силовых трансформаторов под нагрузкой.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982-80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Масла трансформаторные.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высокое напряжение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обозначение системы охлаждения: принудительная циркуляция воздуха и естественная циркуляция масла 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нормативный документ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низкое напряжение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РПН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регулируемые под нагрузкой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rStyle w:val="Style18"/>
                <w:b w:val="false"/>
                <w:i w:val="false"/>
                <w:iCs/>
                <w:sz w:val="22"/>
                <w:szCs w:val="22"/>
                <w:shd w:fill="auto" w:val="clear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MSK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rStyle w:val="Style18"/>
                <w:b w:val="false"/>
                <w:i w:val="false"/>
                <w:iCs/>
                <w:sz w:val="22"/>
                <w:szCs w:val="22"/>
                <w:shd w:fill="auto" w:val="clear"/>
              </w:rPr>
              <w:t>шкала интенсивности землетрясений Медведева – Шпонхойера – Карника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4"/>
        <w:numPr>
          <w:ilvl w:val="1"/>
          <w:numId w:val="45"/>
        </w:numPr>
        <w:rPr/>
      </w:pPr>
      <w:bookmarkStart w:id="6" w:name="__RefHeading___Toc22627_3214668549"/>
      <w:bookmarkStart w:id="7" w:name="_Toc219815403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i/>
          <w:i/>
        </w:rPr>
      </w:pPr>
      <w:r>
        <w:rPr>
          <w:rFonts w:eastAsia="Calibri"/>
          <w:i/>
          <w:sz w:val="24"/>
          <w:szCs w:val="24"/>
        </w:rPr>
        <w:t>«Трансформаторы силовые маслянные»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Style w:val="Style18"/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4"/>
        <w:numPr>
          <w:ilvl w:val="1"/>
          <w:numId w:val="46"/>
        </w:numPr>
        <w:rPr/>
      </w:pPr>
      <w:bookmarkStart w:id="9" w:name="__RefHeading___Toc22629_3214668549"/>
      <w:bookmarkStart w:id="10" w:name="_Toc219815404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240"/>
        <w:jc w:val="both"/>
        <w:rPr/>
      </w:pPr>
      <w:r>
        <w:rPr>
          <w:rStyle w:val="Style18"/>
          <w:b w:val="false"/>
          <w:bCs/>
          <w:sz w:val="24"/>
          <w:szCs w:val="24"/>
          <w:shd w:fill="auto" w:val="clear"/>
        </w:rPr>
        <w:t>Реконструкция ПС 35 кВ Промышленная</w:t>
      </w:r>
    </w:p>
    <w:p>
      <w:pPr>
        <w:pStyle w:val="4"/>
        <w:numPr>
          <w:ilvl w:val="1"/>
          <w:numId w:val="47"/>
        </w:numPr>
        <w:rPr/>
      </w:pPr>
      <w:bookmarkStart w:id="12" w:name="__RefHeading___Toc22631_3214668549"/>
      <w:bookmarkStart w:id="13" w:name="_Toc219815406"/>
      <w:bookmarkStart w:id="14" w:name="_Hlk48209761"/>
      <w:bookmarkEnd w:id="12"/>
      <w:r>
        <w:rPr/>
        <w:t>Иные требования и сведения общего характера</w:t>
      </w:r>
      <w:bookmarkEnd w:id="13"/>
      <w:bookmarkEnd w:id="14"/>
    </w:p>
    <w:p>
      <w:pPr>
        <w:pStyle w:val="Normal"/>
        <w:keepNext w:val="true"/>
        <w:numPr>
          <w:ilvl w:val="2"/>
          <w:numId w:val="48"/>
        </w:numPr>
        <w:spacing w:before="120" w:after="60"/>
        <w:jc w:val="both"/>
        <w:outlineLvl w:val="2"/>
        <w:rPr>
          <w:rFonts w:eastAsia="Calibri"/>
          <w:b/>
          <w:b/>
          <w:sz w:val="24"/>
          <w:szCs w:val="24"/>
        </w:rPr>
      </w:pPr>
      <w:bookmarkStart w:id="15" w:name="__RefHeading___Toc22633_3214668549"/>
      <w:bookmarkStart w:id="16" w:name="_Toc219815407"/>
      <w:bookmarkStart w:id="17" w:name="_Toc191395480"/>
      <w:bookmarkStart w:id="18" w:name="_Toc46743510"/>
      <w:bookmarkStart w:id="19" w:name="_Toc50125126"/>
      <w:bookmarkEnd w:id="15"/>
      <w:bookmarkEnd w:id="18"/>
      <w:bookmarkEnd w:id="19"/>
      <w:r>
        <w:rPr>
          <w:rFonts w:eastAsia="Calibri"/>
          <w:b/>
          <w:sz w:val="24"/>
          <w:szCs w:val="24"/>
        </w:rPr>
        <w:t>Требования к участнику закупки, признанным победителем</w:t>
      </w:r>
      <w:bookmarkEnd w:id="16"/>
      <w:bookmarkEnd w:id="17"/>
    </w:p>
    <w:p>
      <w:pPr>
        <w:pStyle w:val="Normal"/>
        <w:widowControl w:val="false"/>
        <w:shd w:val="clear" w:color="auto" w:fill="FFFFFF"/>
        <w:spacing w:lineRule="auto" w:line="276" w:before="0" w:after="360"/>
        <w:jc w:val="both"/>
        <w:rPr>
          <w:bCs/>
          <w:i/>
          <w:i/>
          <w:sz w:val="24"/>
          <w:szCs w:val="24"/>
          <w:shd w:fill="FFFF99" w:val="clear"/>
        </w:rPr>
      </w:pPr>
      <w:r>
        <w:rPr>
          <w:sz w:val="24"/>
          <w:szCs w:val="24"/>
        </w:rPr>
        <w:t>Участник</w:t>
      </w:r>
      <w:r>
        <w:rPr>
          <w:rFonts w:eastAsia="Lucida Sans Unicode"/>
          <w:bCs/>
          <w:sz w:val="24"/>
          <w:szCs w:val="24"/>
        </w:rPr>
        <w:t xml:space="preserve"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sz w:val="24"/>
          <w:szCs w:val="24"/>
        </w:rPr>
        <w:t>Письмо – подтверждение завода-изготовителя о согласии на изготовление трансформаторов с указанием конкретных сроков изготовления и предлагаемых гарантийных сроков (в произвольной форме).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240"/>
        <w:jc w:val="both"/>
        <w:rPr>
          <w:rStyle w:val="Style18"/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1"/>
        <w:ind w:left="426" w:hanging="360"/>
        <w:rPr>
          <w:caps/>
        </w:rPr>
      </w:pPr>
      <w:bookmarkStart w:id="20" w:name="__RefHeading___Toc22635_3214668549"/>
      <w:bookmarkStart w:id="21" w:name="_Toc51339693"/>
      <w:bookmarkStart w:id="22" w:name="_Toc219815408"/>
      <w:bookmarkEnd w:id="20"/>
      <w:r>
        <w:rPr/>
        <w:t>Требования к продукции</w:t>
      </w:r>
      <w:bookmarkEnd w:id="21"/>
      <w:bookmarkEnd w:id="22"/>
    </w:p>
    <w:p>
      <w:pPr>
        <w:pStyle w:val="4"/>
        <w:numPr>
          <w:ilvl w:val="1"/>
          <w:numId w:val="49"/>
        </w:numPr>
        <w:rPr/>
      </w:pPr>
      <w:bookmarkStart w:id="23" w:name="__RefHeading___Toc22637_3214668549"/>
      <w:bookmarkStart w:id="24" w:name="_Toc219815409"/>
      <w:bookmarkEnd w:id="23"/>
      <w:r>
        <w:rPr/>
        <w:t>Требования к объемам и срокам поставки</w:t>
      </w:r>
      <w:bookmarkEnd w:id="24"/>
    </w:p>
    <w:p>
      <w:pPr>
        <w:pStyle w:val="3"/>
        <w:numPr>
          <w:ilvl w:val="2"/>
          <w:numId w:val="50"/>
        </w:numPr>
        <w:rPr/>
      </w:pPr>
      <w:bookmarkStart w:id="25" w:name="__RefHeading___Toc22639_3214668549"/>
      <w:bookmarkStart w:id="26" w:name="_Toc219815410"/>
      <w:bookmarkEnd w:id="25"/>
      <w:r>
        <w:rPr/>
        <w:t>Перечень и объем закупаемой продукции</w:t>
      </w:r>
      <w:bookmarkEnd w:id="26"/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sz w:val="24"/>
          <w:szCs w:val="24"/>
        </w:rPr>
      </w:pPr>
      <w:bookmarkStart w:id="27" w:name="__RefHeading___Toc22641_3214668549"/>
      <w:bookmarkStart w:id="28" w:name="_Toc219815411"/>
      <w:bookmarkStart w:id="29" w:name="_Toc191395484"/>
      <w:bookmarkStart w:id="30" w:name="_Toc51339695"/>
      <w:bookmarkEnd w:id="27"/>
      <w:bookmarkEnd w:id="30"/>
      <w:r>
        <w:rPr>
          <w:b/>
          <w:sz w:val="24"/>
          <w:szCs w:val="24"/>
        </w:rPr>
        <w:t>Таблица 1.1 Перечень и объем закупаемой продукции</w:t>
      </w:r>
      <w:bookmarkEnd w:id="28"/>
      <w:bookmarkEnd w:id="29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7"/>
        <w:gridCol w:w="6128"/>
        <w:gridCol w:w="1419"/>
        <w:gridCol w:w="1417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Cs/>
                <w:i/>
                <w:iCs/>
                <w:sz w:val="24"/>
                <w:szCs w:val="24"/>
                <w:shd w:fill="auto" w:val="clear"/>
                <w:lang w:val="en-US"/>
              </w:rPr>
              <w:t>Трансформатор силовой ТДНС-16000/35/10 масляный трехфазный УХЛ1 для ПС 35 кВ Промышленная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sz w:val="24"/>
          <w:szCs w:val="24"/>
        </w:rPr>
      </w:pPr>
      <w:bookmarkStart w:id="31" w:name="__RefHeading___Toc22643_3214668549"/>
      <w:bookmarkStart w:id="32" w:name="_Toc219815412"/>
      <w:bookmarkStart w:id="33" w:name="_Toc191395485"/>
      <w:bookmarkEnd w:id="31"/>
      <w:r>
        <w:rPr>
          <w:b/>
          <w:sz w:val="24"/>
          <w:szCs w:val="24"/>
        </w:rPr>
        <w:t>Таблица 1.2 Перечень и объем закупаемых сопутствующих услуг</w:t>
      </w:r>
      <w:bookmarkEnd w:id="32"/>
      <w:bookmarkEnd w:id="3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Cs/>
                <w:i/>
                <w:iCs/>
                <w:sz w:val="24"/>
                <w:szCs w:val="24"/>
                <w:shd w:fill="auto" w:val="clear"/>
                <w:lang w:val="en-US"/>
              </w:rPr>
              <w:t>Шэф-монтаж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Условная единица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keepNext w:val="true"/>
        <w:numPr>
          <w:ilvl w:val="2"/>
          <w:numId w:val="51"/>
        </w:numPr>
        <w:spacing w:before="120" w:after="60"/>
        <w:jc w:val="both"/>
        <w:outlineLvl w:val="2"/>
        <w:rPr>
          <w:rFonts w:eastAsia="Calibri"/>
          <w:b/>
          <w:b/>
          <w:sz w:val="24"/>
          <w:szCs w:val="24"/>
        </w:rPr>
      </w:pPr>
      <w:bookmarkStart w:id="34" w:name="__RefHeading___Toc22645_3214668549"/>
      <w:bookmarkStart w:id="35" w:name="_Toc191395486"/>
      <w:bookmarkStart w:id="36" w:name="_Toc219815413"/>
      <w:bookmarkEnd w:id="34"/>
      <w:r>
        <w:rPr>
          <w:rFonts w:eastAsia="Calibri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35"/>
      <w:bookmarkEnd w:id="36"/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sz w:val="24"/>
          <w:szCs w:val="24"/>
        </w:rPr>
      </w:pPr>
      <w:bookmarkStart w:id="37" w:name="__RefHeading___Toc22647_3214668549"/>
      <w:bookmarkStart w:id="38" w:name="_Toc191395487"/>
      <w:bookmarkStart w:id="39" w:name="_Toc219815414"/>
      <w:bookmarkEnd w:id="37"/>
      <w:r>
        <w:rPr>
          <w:b/>
          <w:sz w:val="24"/>
          <w:szCs w:val="24"/>
        </w:rPr>
        <w:t>Таблица 2.1 Требования по срокам поставки продукции</w:t>
      </w:r>
      <w:bookmarkEnd w:id="38"/>
      <w:bookmarkEnd w:id="39"/>
      <w:r>
        <w:rPr>
          <w:b/>
          <w:sz w:val="24"/>
          <w:szCs w:val="24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7"/>
        <w:gridCol w:w="2848"/>
        <w:gridCol w:w="2682"/>
        <w:gridCol w:w="3260"/>
      </w:tblGrid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Cs/>
                <w:i/>
                <w:iCs/>
                <w:sz w:val="24"/>
                <w:szCs w:val="24"/>
                <w:shd w:fill="auto" w:val="clear"/>
                <w:lang w:val="en-US"/>
              </w:rPr>
              <w:t>Трансформатор силовой ТДНС-16000/35/10 масляный трехфазный УХЛ1 для ПС 35 кВ Промышленная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;Times New Roma"/>
                <w:bCs/>
                <w:i/>
                <w:i/>
                <w:iCs/>
                <w:sz w:val="24"/>
                <w:szCs w:val="24"/>
                <w:shd w:fill="FFFFFF" w:val="clear"/>
              </w:rPr>
            </w:pPr>
            <w:r>
              <w:rPr>
                <w:rFonts w:cs="Liberation Serif;Times New Roma" w:ascii="Liberation Serif" w:hAnsi="Liberation Serif"/>
                <w:bCs/>
                <w:i/>
                <w:iCs/>
                <w:sz w:val="24"/>
                <w:szCs w:val="24"/>
                <w:shd w:fill="FFFFFF" w:val="clear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;Times New Roma"/>
                <w:bCs/>
                <w:i/>
                <w:i/>
                <w:iCs/>
                <w:sz w:val="24"/>
                <w:szCs w:val="24"/>
                <w:shd w:fill="FFFFFF" w:val="clear"/>
              </w:rPr>
            </w:pPr>
            <w:r>
              <w:rPr>
                <w:rFonts w:cs="Liberation Serif;Times New Roma" w:ascii="Liberation Serif" w:hAnsi="Liberation Serif"/>
                <w:bCs/>
                <w:i/>
                <w:iCs/>
                <w:sz w:val="24"/>
                <w:szCs w:val="24"/>
                <w:shd w:fill="FFFFFF" w:val="clear"/>
              </w:rPr>
              <w:t>в течение 180 календарных дней с даты заключения договора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b/>
          <w:b/>
          <w:sz w:val="24"/>
          <w:szCs w:val="24"/>
        </w:rPr>
      </w:pPr>
      <w:bookmarkStart w:id="40" w:name="__RefHeading___Toc22649_3214668549"/>
      <w:bookmarkStart w:id="41" w:name="_Toc219815415"/>
      <w:bookmarkStart w:id="42" w:name="_Toc191395488"/>
      <w:bookmarkEnd w:id="40"/>
      <w:r>
        <w:rPr>
          <w:b/>
          <w:sz w:val="24"/>
          <w:szCs w:val="24"/>
        </w:rPr>
        <w:t>Таблица 2.2 Требования по срокам оказания сопутствующих услуг</w:t>
      </w:r>
      <w:bookmarkEnd w:id="41"/>
      <w:bookmarkEnd w:id="4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880"/>
        <w:gridCol w:w="2670"/>
        <w:gridCol w:w="2161"/>
        <w:gridCol w:w="1578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ind w:left="459" w:hanging="459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ascii="Liberation Serif" w:hAnsi="Liberation Serif"/>
                <w:bCs/>
                <w:i/>
                <w:iCs/>
                <w:sz w:val="24"/>
                <w:szCs w:val="24"/>
                <w:shd w:fill="auto" w:val="clear"/>
                <w:lang w:val="en-US"/>
              </w:rPr>
              <w:t>Шэф-монтаж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 w:cs="Liberation Serif;Times New Roma"/>
                <w:i/>
                <w:i/>
                <w:iCs/>
                <w:sz w:val="24"/>
                <w:szCs w:val="24"/>
              </w:rPr>
            </w:pPr>
            <w:r>
              <w:rPr>
                <w:rFonts w:cs="Liberation Serif;Times New Roma" w:ascii="Liberation Serif" w:hAnsi="Liberation Serif"/>
                <w:i/>
                <w:iCs/>
                <w:sz w:val="24"/>
                <w:szCs w:val="24"/>
              </w:rPr>
              <w:t>С даты уведомления Поставщика о проведении Грузополучателем всех необходимых подготовительных мероприятий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 w:cs="Liberation Serif;Times New Roma"/>
                <w:i/>
                <w:i/>
                <w:iCs/>
                <w:sz w:val="24"/>
                <w:szCs w:val="24"/>
              </w:rPr>
            </w:pPr>
            <w:r>
              <w:rPr>
                <w:rFonts w:cs="Liberation Serif;Times New Roma" w:ascii="Liberation Serif" w:hAnsi="Liberation Serif"/>
                <w:i/>
                <w:iCs/>
                <w:sz w:val="24"/>
                <w:szCs w:val="24"/>
              </w:rPr>
              <w:t>в течение 30 календарных дней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bookmarkStart w:id="43" w:name="_Toc54785622"/>
            <w:bookmarkStart w:id="44" w:name="_Toc513396951"/>
            <w:bookmarkStart w:id="45" w:name="_Toc467435101"/>
            <w:bookmarkStart w:id="46" w:name="_Toc501251261"/>
            <w:bookmarkStart w:id="47" w:name="_Toc54785622"/>
            <w:bookmarkStart w:id="48" w:name="_Toc513396951"/>
            <w:bookmarkStart w:id="49" w:name="_Toc467435101"/>
            <w:bookmarkStart w:id="50" w:name="_Toc501251261"/>
            <w:bookmarkEnd w:id="47"/>
            <w:bookmarkEnd w:id="48"/>
            <w:bookmarkEnd w:id="49"/>
            <w:bookmarkEnd w:id="50"/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52"/>
        </w:numPr>
        <w:rPr>
          <w:rFonts w:eastAsia="Calibri"/>
          <w:sz w:val="24"/>
          <w:szCs w:val="24"/>
        </w:rPr>
      </w:pPr>
      <w:bookmarkStart w:id="51" w:name="__RefHeading___Toc22651_3214668549"/>
      <w:bookmarkStart w:id="52" w:name="_Toc51339698"/>
      <w:bookmarkStart w:id="53" w:name="_Toc219815416"/>
      <w:bookmarkStart w:id="54" w:name="_Toc46743511"/>
      <w:bookmarkEnd w:id="51"/>
      <w:r>
        <w:rPr/>
        <w:t xml:space="preserve">Требования к </w:t>
      </w:r>
      <w:bookmarkEnd w:id="54"/>
      <w:r>
        <w:rPr/>
        <w:t>качеству продукции</w:t>
      </w:r>
      <w:bookmarkEnd w:id="53"/>
    </w:p>
    <w:p>
      <w:pPr>
        <w:pStyle w:val="Style61"/>
        <w:numPr>
          <w:ilvl w:val="0"/>
          <w:numId w:val="0"/>
        </w:numPr>
        <w:ind w:left="0" w:hanging="0"/>
        <w:outlineLvl w:val="0"/>
        <w:rPr>
          <w:rFonts w:eastAsia="Calibri"/>
          <w:sz w:val="24"/>
          <w:szCs w:val="24"/>
        </w:rPr>
      </w:pPr>
      <w:bookmarkStart w:id="55" w:name="__RefHeading___Toc22653_3214668549"/>
      <w:bookmarkStart w:id="56" w:name="_Toc219815417"/>
      <w:bookmarkEnd w:id="55"/>
      <w:r>
        <w:rPr/>
        <w:t>Таблица 3. Требования к качеству продукции</w:t>
      </w:r>
      <w:bookmarkEnd w:id="56"/>
      <w:r>
        <w:rPr/>
        <w:t xml:space="preserve"> </w:t>
      </w:r>
      <w:bookmarkEnd w:id="52"/>
    </w:p>
    <w:p>
      <w:pPr>
        <w:pStyle w:val="Normal"/>
        <w:rPr>
          <w:i/>
          <w:i/>
          <w:sz w:val="24"/>
          <w:szCs w:val="24"/>
          <w:shd w:fill="FFFF99" w:val="clear"/>
        </w:rPr>
      </w:pPr>
      <w:r>
        <w:rPr>
          <w:i/>
          <w:sz w:val="24"/>
          <w:szCs w:val="24"/>
          <w:shd w:fill="FFFF99" w:val="clear"/>
        </w:rPr>
      </w:r>
    </w:p>
    <w:p>
      <w:pPr>
        <w:pStyle w:val="Normal"/>
        <w:rPr>
          <w:i/>
          <w:i/>
          <w:sz w:val="24"/>
          <w:szCs w:val="24"/>
          <w:shd w:fill="FFFF99" w:val="clear"/>
        </w:rPr>
      </w:pPr>
      <w:r>
        <w:rPr>
          <w:i/>
          <w:sz w:val="24"/>
          <w:szCs w:val="24"/>
          <w:shd w:fill="FFFF99" w:val="clear"/>
        </w:rPr>
      </w:r>
    </w:p>
    <w:p>
      <w:pPr>
        <w:pStyle w:val="Normal"/>
        <w:jc w:val="both"/>
        <w:rPr>
          <w:rStyle w:val="Style18"/>
          <w:b w:val="false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Style w:val="Style18"/>
          <w:b w:val="false"/>
          <w:bCs/>
          <w:iCs/>
          <w:sz w:val="24"/>
          <w:szCs w:val="24"/>
          <w:shd w:fill="auto" w:val="clear"/>
        </w:rPr>
        <w:t>Трансформатор силовой ТДНС-16000/35/10 масляный трехфазный УХЛ1 для ПС 35 кВ Промышленная</w:t>
      </w:r>
      <w:r>
        <w:rPr>
          <w:rStyle w:val="Style18"/>
          <w:b w:val="false"/>
          <w:iCs/>
          <w:sz w:val="24"/>
          <w:szCs w:val="24"/>
          <w:shd w:fill="auto" w:val="clear"/>
        </w:rPr>
        <w:t xml:space="preserve">. </w:t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af7"/>
        <w:tblpPr w:bottomFromText="0" w:horzAnchor="text" w:leftFromText="180" w:rightFromText="180" w:tblpX="0" w:tblpY="1" w:topFromText="0" w:vertAnchor="text"/>
        <w:tblW w:w="1510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68"/>
        <w:gridCol w:w="3808"/>
        <w:gridCol w:w="3492"/>
        <w:gridCol w:w="2078"/>
        <w:gridCol w:w="2842"/>
        <w:gridCol w:w="1418"/>
      </w:tblGrid>
      <w:tr>
        <w:trPr/>
        <w:tc>
          <w:tcPr>
            <w:tcW w:w="14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9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4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9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(по тексту таблицы указаны сокращенные наименования документов со ссылкой на п. 2.2.1 настоящих ТТ, где приведены полные наименования)</w:t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 силовой ТДНС-16000/35/10 масляный трехфазный УХЛ1 для ПС 35 кВ Промышленная.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таблицей 3 настоящих технических требований</w:t>
            </w:r>
          </w:p>
        </w:tc>
        <w:tc>
          <w:tcPr>
            <w:tcW w:w="20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Исполнение по виду изолирующей и охлаждающей среды 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Масляный (согласно требованиям ГОСТ 11920-85)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трансформатора 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57" w:name="_Ref210226071"/>
            <w:bookmarkStart w:id="58" w:name="_Ref210226071"/>
            <w:bookmarkEnd w:id="58"/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Схемы и группы соединения обмоток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Ун/Д-11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8"/>
                <w:rFonts w:eastAsia="Times New Roman" w:cs="Times New Roman"/>
                <w:b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36,75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8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10,5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мощность, кВ·А 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trike w:val="false"/>
                <w:dstrike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trike w:val="false"/>
                <w:dstrike w:val="false"/>
                <w:kern w:val="0"/>
                <w:sz w:val="24"/>
                <w:szCs w:val="24"/>
                <w:lang w:val="ru-RU" w:eastAsia="ru-RU" w:bidi="ar-SA"/>
              </w:rPr>
              <w:t>16000</w:t>
            </w:r>
          </w:p>
          <w:p>
            <w:pPr>
              <w:pStyle w:val="Style32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Потери холостого хода, кВт, не более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" w:after="6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17,0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highlight w:val="white"/>
                <w:lang w:val="ru-RU" w:eastAsia="ru-RU" w:bidi="ar-SA"/>
              </w:rPr>
              <w:t>Потери короткого замыкания на основном ответвлении, кВт, не более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highlight w:val="white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" w:after="6"/>
              <w:jc w:val="left"/>
              <w:rPr>
                <w:sz w:val="24"/>
                <w:szCs w:val="24"/>
              </w:rPr>
            </w:pPr>
            <w:r>
              <w:rPr>
                <w:rStyle w:val="Style18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85,0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Ток холостого хода, %, не более 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" w:after="6"/>
              <w:jc w:val="left"/>
              <w:rPr>
                <w:sz w:val="24"/>
                <w:szCs w:val="24"/>
              </w:rPr>
            </w:pPr>
            <w:r>
              <w:rPr>
                <w:rStyle w:val="Style18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0,70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Напряжение короткого замыкания, %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</w:rPr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" w:after="6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10,0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Style32"/>
              <w:widowControl w:val="false"/>
              <w:tabs>
                <w:tab w:val="left" w:pos="142" w:leader="none"/>
                <w:tab w:val="left" w:pos="70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КЗ (U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основного ответвления (кроме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между частями расщепленной обмотки НН) для двухобмоточного трансформатора или для пары обмоток трехобмоточного трансформатора, указанной в НД как основная пара: ± 7,5%</w:t>
            </w:r>
          </w:p>
          <w:p>
            <w:pPr>
              <w:pStyle w:val="Style32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2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Потери КЗ на основном ответвлении: 10%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2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Потери холостого хода: 15%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6" w:after="6"/>
              <w:jc w:val="left"/>
              <w:rPr>
                <w:rStyle w:val="Style18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холостого хода: 30%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Устройство регулирования напряжения: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59" w:name="_Ref219376043"/>
            <w:bookmarkStart w:id="60" w:name="_Ref219376043"/>
            <w:bookmarkEnd w:id="60"/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  <w:t>Устройства регулирования напряжения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РПН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РПН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8"/>
                <w:b w:val="false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комплекте с приводом, изготовленным по ГОСТ 24126-80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регулирования трансформаторов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highlight w:val="white"/>
                <w:lang w:val="ru-RU" w:eastAsia="ru-RU" w:bidi="ar-SA"/>
              </w:rPr>
              <w:t>± 8×1,5 %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Тип/производитель РПН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Гашение дуги в РПН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разрывом дуги в масле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Комплектация устройства РПН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РПН должно быть снабжено: струйным защитным реле; датчиком положения;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датчиком температуры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Ресурс по механической износостойкости устройства РПН без электрической нагрузки, переключений, не менее</w:t>
            </w:r>
          </w:p>
        </w:tc>
        <w:tc>
          <w:tcPr>
            <w:tcW w:w="3492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требованиям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п. 2.11.1 ГОСТ 24126-80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Ресурс по электрической износостойкости разрывающих ток контактов контакторов устройств РПН переключений,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п. 2.11.2 ГОСТ 24126-80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переключений до замены масла контактора, не менее</w:t>
            </w:r>
          </w:p>
        </w:tc>
        <w:tc>
          <w:tcPr>
            <w:tcW w:w="3492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24126-80 п. 2.11.3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30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Комплектность поставки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Дистанционный указатель положения; 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Блок автоматического управления; 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Датчик положения; 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Датчик температуры масла, блокирующий переключения при низких температурах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Техническая документация на РПН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русском языке (2 экз.)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Категория размещения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Верхнее / нижнее рабочее значение температуры окружающего воздуха, °С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плюс 40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/ минус 60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Высота установки над уровнем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моря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 1000 м </w:t>
              <w:tab/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Сейсмостойкость, баллов по шкале MSK-64, не менее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_Ref215221809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электрической прочности изоляции трансформатора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Уровень изоляции 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61" w:name="_Ref210314748"/>
            <w:bookmarkStart w:id="62" w:name="_Ref210314748"/>
            <w:bookmarkEnd w:id="62"/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Испытательное напряжение для внутренней и внешней изоляции обмоток ВН, НН и нейтрали 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i/>
                <w:i/>
                <w:iCs/>
                <w:shd w:fill="FFFF99" w:val="clea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Согласно требованиям таблицы 5.1 ГОСТ Р 55195-2012 (в зависимости от класса напряжения трансформатора и уровня изоляции)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Согласие с требованием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Допустимые систематические нагрузки и перегрузки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ГОСТ 14209-85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 9.3.2.4 ГОСТ Р 52719-2007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с учетом примечания в указанном пункте)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пп. 6.1.1, 6.1.3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Термосифонные фильтры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п. Г.53 ГОСТ Р 52719-2007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требованиям 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пп. Г.46-48, Г.50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Расположение основных элементов трансформатора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2.2.5 ГОСТ 11920-85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Установка трансформатора на фундаменте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 катков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Расширитель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Система защиты масла от контакта с окружающим воздухом, система дыхания, маслоуказатель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пп. Г.13, Г.14, Г.22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Необслуживаемый воздухоосушитель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Идет в комплекте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обмоток ВН, НН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Алюминий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трансформаторного масла, производитель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ГК, либо эквивалент, допускающий смешивание с маслом марки ГК без ограничений,  согласно ГОСТ 982-80.</w:t>
              <w:tab/>
              <w:t>Согласие с требованием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Лакокрасочное покрытие, цвет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Лакокрасочное покрытие: должно быть стойким к атмосферным воздействиям.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светло-серый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RAL 7035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Герметичность</w:t>
            </w:r>
          </w:p>
        </w:tc>
        <w:tc>
          <w:tcPr>
            <w:tcW w:w="3492" w:type="dxa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Негерметичный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высоковольтным вводам: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Тип: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Заводской чертёж: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Производитель: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Изготовление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55187-12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Материал внешней изоляции высоковольтных вводов (покрышки)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ВН: фарфор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НН: фарфор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3492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III – сильная </w:t>
            </w:r>
          </w:p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38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2,25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  <w:shd w:color="auto" w:fill="auto" w:val="clear"/>
          </w:tcPr>
          <w:p>
            <w:pPr>
              <w:pStyle w:val="BodyText3"/>
              <w:widowControl w:val="false"/>
              <w:shd w:val="clear" w:color="auto" w:fill="FFFFFF" w:themeFill="background1"/>
              <w:suppressAutoHyphens w:val="true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Цвет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внешней изоляции высоковольтных вводов (покрышки)</w:t>
            </w:r>
          </w:p>
        </w:tc>
        <w:tc>
          <w:tcPr>
            <w:tcW w:w="3492" w:type="dxa"/>
            <w:tcBorders/>
            <w:shd w:color="auto" w:fill="FFFFFF" w:themeFill="background1" w:val="clear"/>
          </w:tcPr>
          <w:p>
            <w:pPr>
              <w:pStyle w:val="BodyText3"/>
              <w:widowControl w:val="false"/>
              <w:shd w:val="clear" w:color="auto" w:fill="FFFFFF" w:themeFill="background1"/>
              <w:suppressAutoHyphens w:val="true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ВН: </w:t>
            </w:r>
            <w:r>
              <w:rPr>
                <w:rStyle w:val="Style18"/>
                <w:rFonts w:eastAsia="Times New Roman" w:cs="Times New Roman"/>
                <w:b w:val="false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указывается участником</w:t>
            </w:r>
          </w:p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НН: </w:t>
            </w:r>
            <w:r>
              <w:rPr>
                <w:rStyle w:val="Style18"/>
                <w:rFonts w:eastAsia="Times New Roman" w:cs="Times New Roman"/>
                <w:b w:val="false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</w:t>
            </w:r>
            <w:r>
              <w:rPr>
                <w:rFonts w:eastAsia="Times New Roman" w:cs="Times New Roman"/>
                <w:spacing w:val="-15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</w:t>
            </w:r>
            <w:r>
              <w:rPr>
                <w:rFonts w:eastAsia="Times New Roman" w:cs="Times New Roman"/>
                <w:spacing w:val="-15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высоковольтные вводы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русском языке. Два экземпляра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клеммы. Болты-соединения (метизы)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Контактные клеммы с комплектом крепежа для монтажа.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встроенным трансформаторам тока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 вводах ВН: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трансформаторов тока на стороне ВН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2 шт. на фазу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первичный ток, 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600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вторичный ток, 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защиты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10РR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точности: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измерений и учета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вторичная нагрузка, 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left="237" w:hanging="237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для учета электроэнергии: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left="237" w:hanging="237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для измерений: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20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left="237" w:hanging="237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для защиты: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предельная кратность вторичных обмоток для защиты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безопасности приборов обмоток для измерений и учета электроэнергии, не более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Ответвления трансформаторов тока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ответвления трансформаторов тока должны быть выведены в коробку для присоединения кабелей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 документация к трансформаторам тока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Должна быть на русском языке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Система охлаждения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Вид системы охлаждения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  <w:shd w:color="auto" w:fill="FFFFFF" w:themeFill="background1" w:val="clear"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8"/>
                <w:b w:val="false"/>
                <w:b w:val="false"/>
                <w:bCs/>
                <w:iCs/>
                <w:sz w:val="24"/>
                <w:szCs w:val="24"/>
              </w:rPr>
            </w:pPr>
            <w:r>
              <w:rPr>
                <w:b w:val="false"/>
                <w:bCs/>
                <w:iCs/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эксплуатации вентиляторов, системы охлаждения,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8"/>
                <w:b w:val="false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 лет (с заменой подшипников)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Напряжение питания, В:</w:t>
            </w:r>
          </w:p>
        </w:tc>
        <w:tc>
          <w:tcPr>
            <w:tcW w:w="3492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Style w:val="Style18"/>
                <w:b w:val="false"/>
                <w:b w:val="false"/>
                <w:bCs/>
                <w:iCs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Согласно требованиям п. Д 1.6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Шкаф автоматики системы охлаждения</w:t>
            </w:r>
          </w:p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шкафу автоматики: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автоматическое поддержание температуры внутри шкафа для нормальной работы в соответствии с климатическим исполнением трансформатора;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степень защиты шкафа не ниже IP55 по ГОСТ 14254-96;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Наличие контроля доступа в шкаф с сигнализацией;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Style w:val="Style18"/>
                <w:b w:val="false"/>
                <w:b w:val="false"/>
                <w:i w:val="false"/>
                <w:i w:val="false"/>
                <w:shd w:fill="auto" w:val="clea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Плавный пуск и токовая защита электродвигателей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вентиляторов обдува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Установка шкафа автоматического управления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Навесной на баке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BodyText3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Управление в системах охлаждения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8"/>
                <w:b w:val="false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Автоматическое и ручное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 безопасности: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безопасности, в том числе пожарной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п. 7.1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Заземление бака трансформатора </w:t>
            </w:r>
          </w:p>
        </w:tc>
        <w:tc>
          <w:tcPr>
            <w:tcW w:w="3492" w:type="dxa"/>
            <w:tcBorders/>
          </w:tcPr>
          <w:p>
            <w:pPr>
              <w:pStyle w:val="ConsPlusNormal1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7.2 ГОСТ Р 52719-2007, ГОСТ 12.2.007.0-75 со следующими дополнениями: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кВ·А </w:t>
            </w:r>
            <w:r>
              <w:rPr>
                <w:rFonts w:cs="Times New Roman"/>
                <w:kern w:val="0"/>
                <w:lang w:val="ru-RU" w:eastAsia="ru-RU" w:bidi="ar-SA"/>
              </w:rPr>
              <w:t>и более и М8 - для трансформаторов мощностью менее 25</w:t>
            </w: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>кВ·А</w:t>
            </w:r>
            <w:r>
              <w:rPr>
                <w:rFonts w:cs="Times New Roman"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322" w:hanging="3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Устройства защиты бака от повреждения внутренним давлением/количество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3.9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12.2.007.2-75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fill="FFFF99" w:val="clear"/>
              </w:rPr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Манометрический термометр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Поставляется согласно требованиям п. Г.25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Газовое реле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Поставляется согласно требованиям п. Г.36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Тип/производитель газового реле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</w:tcPr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Российская декларация о соответствии требованиям безопасности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массе и габаритным размерам трансформатора: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Масса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кг, не более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мм, не более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Транспортные размеры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мм, не более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Общее требование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10 лет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 даты подписания накладной ТОРГ-12 или УПД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Место поставки продукции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8"/>
                <w:rFonts w:eastAsia="Times New Roman" w:cs="Times New Roman" w:ascii="Liberation Serif" w:hAnsi="Liberation Serif"/>
                <w:b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Железнодорожный транспорт: станция Белогорск-1 Забайкальской железной дороги, код 950101.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yle18"/>
                <w:rFonts w:eastAsia="Times New Roman" w:cs="Times New Roman" w:ascii="Liberation Serif" w:hAnsi="Liberation Serif"/>
                <w:b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Автомобильный транспорт: Амурская область, г. Белогорск, ул. Энергетиков 1  (адрес базы сетевого участка)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6.9.1 ГОСТ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Транспортирование, перемещение и условия хранения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пп. 6.8.1, 11 ГОСТ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Регистратор ударов «Шок-индикатора»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регистратора ударов «Шок-индикатора» на трансформаторе для контроля условий погрузки/разгрузки и транспортирования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6.9.2 ГОСТ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Растамаживание и доставка до места назначения (площадка строительства ПС)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Входит в стоимость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Разгрузка оборудования на объекте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Входит в стоимость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Место и ориентация при разгрузке по сторонам ВН и НН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Выполняется согласно требованиям заказчика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охраны окружающей среды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8.1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Требование к утилизации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8.2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Ввод в эксплуатацию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12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25000 ч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Сервисные центры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Дополнительные условия гарантии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Комплектность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п.6.8 ГОСТ Р 52719-2007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Масло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полном объёме (транспортное, для до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лива и технологических нужд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ЗИП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18"/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Указывается участником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2.2.1.6.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Техническая документация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На русском языке согласно требованиям п. 6.8.2 ГОСТ Р 52719-2007, ГОСТ Р 2.610-2019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(2 экземпляра в бумажном виде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Силикагель для заправки в термосифонные фильтры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 поставки входит силикагель типа КСКГ ГОСТ-3956-76, готовый к полной заправке в термосифонные фильтры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Шкафы управления и сигнализации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Должны быть оцинкованными или изготовлены из нержавеющих материалов со степенью защиты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- 54 по ГОСТ 14254-96 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Силовые и контрольные кабели системы охлаждения, контрольные кабели от приборов контроля, сигнализации, защиты, трансформаторов тока в пределах трансформатора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Входят в комплект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Металлорукав по баку трансформатора для прокладки силовых и контрольных кабелей системы охлаждения, контрольных кабелей от приборов контроля, сигнализации, защиты трансформаторов тока до клеммных шкафов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Входят в комплект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Полный срок службы, не менее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 лет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229" w:leader="none"/>
                <w:tab w:val="left" w:pos="1800" w:leader="none"/>
              </w:tabs>
              <w:suppressAutoHyphens w:val="true"/>
              <w:spacing w:before="0" w:after="60"/>
              <w:ind w:left="0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2.2.1.5.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шефмонтажу и шефналадке: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Участие шеф-инженера при выполнении работ по проверке комплектности, монтажу и наладке оборудования (в соответствии с инструкцией завода-изготовителя)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Включено в стоимость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Участие шеф-инженера при выполнении работ по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проверке комплектности, постановке на длительное хранение оборудования (в соответствии с инструкцией завода-изготовителя)</w:t>
            </w:r>
          </w:p>
        </w:tc>
        <w:tc>
          <w:tcPr>
            <w:tcW w:w="34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Включено в стоимость поставки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участию в приемо-сдаточных испытаниях трансформатора: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продукции: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Требования к стране происхождения поставляемой продукции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постановлением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 (пункт 3), а именно: </w:t>
              <w:br/>
              <w:t xml:space="preserve">1) Реестр российской промышленной продукции;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2) </w:t>
            </w:r>
            <w:bookmarkStart w:id="63" w:name="_Hlk198128161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Евразийский реестр промышленных товаров государств - членов Евразийского экономического союза (за исключением Российской Федерации)</w:t>
            </w:r>
            <w:bookmarkEnd w:id="63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4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29" w:leader="none"/>
              </w:tabs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60"/>
        <w:ind w:left="426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>
      <w:pPr>
        <w:pStyle w:val="ListParagraph"/>
        <w:numPr>
          <w:ilvl w:val="0"/>
          <w:numId w:val="7"/>
        </w:numPr>
        <w:spacing w:before="0" w:after="60"/>
        <w:contextualSpacing/>
        <w:jc w:val="both"/>
        <w:rPr>
          <w:rFonts w:eastAsia="Calibri"/>
          <w:sz w:val="24"/>
          <w:szCs w:val="24"/>
        </w:rPr>
      </w:pPr>
      <w:r>
        <w:rPr/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ListParagraph"/>
        <w:numPr>
          <w:ilvl w:val="0"/>
          <w:numId w:val="7"/>
        </w:numPr>
        <w:spacing w:before="0" w:after="60"/>
        <w:contextualSpacing/>
        <w:jc w:val="both"/>
        <w:rPr>
          <w:rFonts w:eastAsia="Calibri"/>
          <w:sz w:val="24"/>
          <w:szCs w:val="24"/>
        </w:rPr>
      </w:pPr>
      <w:r>
        <w:rPr/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ListParagraph"/>
        <w:numPr>
          <w:ilvl w:val="0"/>
          <w:numId w:val="7"/>
        </w:numPr>
        <w:spacing w:before="0" w:after="60"/>
        <w:ind w:left="1146" w:right="0" w:hanging="360"/>
        <w:contextualSpacing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  <w:t>В случае если Участником будет предложено эквивалентное оборудование, не соответствующее проектной документации - «Реконструкция ПС 35 кВ Промышленная», но полностью соответствующее по техническим параметрам необходимо:</w:t>
      </w:r>
    </w:p>
    <w:p>
      <w:pPr>
        <w:pStyle w:val="ListParagraph"/>
        <w:numPr>
          <w:ilvl w:val="0"/>
          <w:numId w:val="7"/>
        </w:numPr>
        <w:spacing w:before="0" w:after="60"/>
        <w:ind w:left="1146" w:right="0" w:hanging="0"/>
        <w:contextualSpacing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  <w:t>1. Участник закупки должен предусмотреть затраты на перепроектирование и указать отдельной строкой стоимость данных работ в коммерческом предложении участника.</w:t>
      </w:r>
    </w:p>
    <w:p>
      <w:pPr>
        <w:pStyle w:val="ListParagraph"/>
        <w:numPr>
          <w:ilvl w:val="0"/>
          <w:numId w:val="7"/>
        </w:numPr>
        <w:spacing w:before="0" w:after="60"/>
        <w:ind w:left="1146" w:right="0" w:hanging="0"/>
        <w:contextualSpacing/>
        <w:jc w:val="both"/>
        <w:rPr>
          <w:color w:val="auto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</w:rPr>
        <w:t>2. Участник должен в составе заявки предоставить гарантийное письмо о согласии Участника на выполнение работ по перепроектированию в сроки, предусмотренные проектом договора.</w:t>
      </w:r>
    </w:p>
    <w:p>
      <w:pPr>
        <w:pStyle w:val="ListParagraph"/>
        <w:spacing w:before="0" w:after="60"/>
        <w:ind w:left="1146" w:hanging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3"/>
        <w:numPr>
          <w:ilvl w:val="2"/>
          <w:numId w:val="53"/>
        </w:numPr>
        <w:rPr>
          <w:rFonts w:eastAsia="Calibri"/>
          <w:sz w:val="24"/>
          <w:szCs w:val="24"/>
        </w:rPr>
      </w:pPr>
      <w:bookmarkStart w:id="64" w:name="__RefHeading___Toc22655_3214668549"/>
      <w:bookmarkStart w:id="65" w:name="_Toc219815418"/>
      <w:bookmarkStart w:id="66" w:name="_Toc184661962"/>
      <w:bookmarkStart w:id="67" w:name="_Toc184662352"/>
      <w:bookmarkStart w:id="68" w:name="_Toc184662456"/>
      <w:bookmarkStart w:id="69" w:name="_Toc184662457"/>
      <w:bookmarkStart w:id="70" w:name="_Toc184661961"/>
      <w:bookmarkStart w:id="71" w:name="_Toc184661960"/>
      <w:bookmarkStart w:id="72" w:name="_Toc184662432"/>
      <w:bookmarkStart w:id="73" w:name="_Toc184662354"/>
      <w:bookmarkStart w:id="74" w:name="_Toc184662353"/>
      <w:bookmarkStart w:id="75" w:name="_Toc184662458"/>
      <w:bookmarkStart w:id="76" w:name="_Toc184662430"/>
      <w:bookmarkStart w:id="77" w:name="_Toc184662431"/>
      <w:bookmarkEnd w:id="6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/>
        <w:t>В составе заявки необходимо предоставить</w:t>
      </w:r>
      <w:bookmarkEnd w:id="65"/>
    </w:p>
    <w:p>
      <w:pPr>
        <w:pStyle w:val="Normal"/>
        <w:spacing w:before="0" w:after="60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54"/>
        <w:numPr>
          <w:ilvl w:val="3"/>
          <w:numId w:val="54"/>
        </w:numPr>
        <w:ind w:left="1418" w:hanging="992"/>
        <w:rPr>
          <w:rFonts w:eastAsia="Calibri"/>
          <w:sz w:val="24"/>
          <w:szCs w:val="24"/>
        </w:rPr>
      </w:pPr>
      <w:r>
        <w:rPr/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54"/>
        <w:numPr>
          <w:ilvl w:val="3"/>
          <w:numId w:val="55"/>
        </w:numPr>
        <w:ind w:left="1418" w:hanging="992"/>
        <w:rPr>
          <w:rFonts w:eastAsia="Calibri"/>
          <w:sz w:val="24"/>
          <w:szCs w:val="24"/>
        </w:rPr>
      </w:pPr>
      <w:bookmarkStart w:id="78" w:name="_Ref210581249"/>
      <w:r>
        <w:rPr>
          <w:u w:val="single"/>
        </w:rPr>
        <w:t>Для продукции, которая ранее изготавливалась</w:t>
      </w:r>
      <w:r>
        <w:rPr/>
        <w:t xml:space="preserve"> – 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</w:r>
      <w:bookmarkEnd w:id="78"/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bookmarkStart w:id="79" w:name="_Ref210581066"/>
      <w:r>
        <w:rPr/>
        <w:t>Декларация о соответствии должна иметь электронную регистрацию (статус действующего документа)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</w:r>
      <w:bookmarkEnd w:id="79"/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/>
        <w:t>Высоковольтное оборудование должно иметь декларацию о соответствии (силовые трансформаторы ГОСТ Р 52719-2007, ГОСТ 1516.3-96, ГОСТ 12.2.007.2-75).</w:t>
      </w:r>
    </w:p>
    <w:p>
      <w:pPr>
        <w:pStyle w:val="Normal"/>
        <w:keepNext w:val="true"/>
        <w:spacing w:before="120" w:after="60"/>
        <w:ind w:left="1418" w:hanging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При отсутствии прототипа</w:t>
      </w:r>
      <w:r>
        <w:rPr>
          <w:rFonts w:eastAsia="Calibri"/>
          <w:sz w:val="24"/>
          <w:szCs w:val="24"/>
        </w:rPr>
        <w:t xml:space="preserve"> – справка о том, что декларация (сертификат) о соответствии отсутствует с указанием причины (отсутствие прототипа).</w:t>
      </w:r>
    </w:p>
    <w:p>
      <w:pPr>
        <w:pStyle w:val="54"/>
        <w:numPr>
          <w:ilvl w:val="3"/>
          <w:numId w:val="56"/>
        </w:numPr>
        <w:ind w:left="1418" w:hanging="992"/>
        <w:rPr>
          <w:rFonts w:eastAsia="Calibri"/>
          <w:sz w:val="24"/>
          <w:szCs w:val="24"/>
        </w:rPr>
      </w:pPr>
      <w:bookmarkStart w:id="80" w:name="_Ref210581275"/>
      <w:r>
        <w:rPr>
          <w:rFonts w:eastAsia="Times New Roman"/>
          <w:u w:val="single"/>
        </w:rPr>
        <w:t>Для продукции, которая ранее изготавливалась</w:t>
      </w:r>
      <w:r>
        <w:rPr>
          <w:rFonts w:eastAsia="Times New Roman"/>
        </w:rPr>
        <w:t xml:space="preserve"> – г</w:t>
      </w:r>
      <w:r>
        <w:rPr/>
        <w:t>абаритно-установочные чертежи с присоединительными и установочными размерами и размерами силового трансформатора.</w:t>
      </w:r>
      <w:bookmarkEnd w:id="80"/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>
          <w:u w:val="single"/>
        </w:rPr>
        <w:t>При отсутствии прототипа</w:t>
      </w:r>
      <w:r>
        <w:rPr/>
        <w:t xml:space="preserve"> – справка о том, что чертежи отсутствуют с указанием причины (отсутствие прототипа).</w:t>
      </w:r>
    </w:p>
    <w:p>
      <w:pPr>
        <w:pStyle w:val="54"/>
        <w:numPr>
          <w:ilvl w:val="3"/>
          <w:numId w:val="57"/>
        </w:numPr>
        <w:ind w:left="1418" w:hanging="992"/>
        <w:rPr>
          <w:rFonts w:eastAsia="Calibri"/>
          <w:sz w:val="24"/>
          <w:szCs w:val="24"/>
        </w:rPr>
      </w:pPr>
      <w:bookmarkStart w:id="81" w:name="_Ref215221809"/>
      <w:bookmarkStart w:id="82" w:name="_Ref210581295"/>
      <w:r>
        <w:rPr>
          <w:u w:val="single"/>
        </w:rPr>
        <w:t>Для продукции, которая ранее изготавливалась</w:t>
      </w:r>
      <w:r>
        <w:rPr/>
        <w:t xml:space="preserve"> – копии протоколов испытаний в полном объеме на соответствующий прототип трансформатора, а именно: высоковольтных испытаний, на стойкость при коротких замыканиях (протокол распространения), испытаний масла, акустических испытаний, электрической прочности изоляции импульсными напряжениями (протокол распространения), испытания на безопасность, испытания и проверки комплектующих и приборов, проведенных в аккредитованной испытательной лаборатории, подтверждающих соответствие оборудования требованиям ГОСТ Р 52719-2007</w:t>
      </w:r>
      <w:bookmarkEnd w:id="82"/>
      <w:r>
        <w:rPr/>
        <w:t>.</w:t>
      </w:r>
      <w:bookmarkEnd w:id="81"/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/>
        <w:t>Документы должны содержать вывод о том, что предлагаемый силовой трансформатор выдержал приемку в части проведенных испытаний.</w:t>
      </w:r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>
          <w:i/>
          <w:sz w:val="20"/>
          <w:szCs w:val="20"/>
        </w:rPr>
        <w:t xml:space="preserve">*Примечание (в части проведения испытаний трансформатора на стойкость при коротких замыканиях). </w:t>
      </w:r>
      <w:r>
        <w:rPr>
          <w:sz w:val="20"/>
          <w:szCs w:val="20"/>
        </w:rPr>
        <w:t>Согласно п. 9.3.2.4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ГОСТ Р 52719-2007 предоставляется: протокол испытаний на стойкость при коротких замыканиях или расчетное сравнение на стойкость при коротких замыканиях на предлагаемые силовые трансформаторы (документы должны содержать вывод о том, что предлагаемый силовой трансформатор выдержал приемку в части проведенных испытаний</w:t>
      </w:r>
      <w:r>
        <w:rPr/>
        <w:t>).</w:t>
      </w:r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>
          <w:u w:val="single"/>
        </w:rPr>
        <w:t>При отсутствии прототипа</w:t>
      </w:r>
      <w:r>
        <w:rPr/>
        <w:t xml:space="preserve"> – справка о том, что протоколы испытаний отсутствуют с указанием причины (отсутствие прототипа).</w:t>
      </w:r>
    </w:p>
    <w:p>
      <w:pPr>
        <w:pStyle w:val="54"/>
        <w:numPr>
          <w:ilvl w:val="3"/>
          <w:numId w:val="58"/>
        </w:numPr>
        <w:ind w:left="1418" w:hanging="992"/>
        <w:rPr>
          <w:rFonts w:eastAsia="Calibri"/>
          <w:sz w:val="24"/>
          <w:szCs w:val="24"/>
        </w:rPr>
      </w:pPr>
      <w:bookmarkStart w:id="83" w:name="_Ref210581359"/>
      <w:r>
        <w:rPr>
          <w:rFonts w:eastAsia="Times New Roman"/>
          <w:bCs/>
          <w:u w:val="single"/>
        </w:rPr>
        <w:t>Для продукции, которая ранее изготавливалась (по техническим условиям)</w:t>
      </w:r>
      <w:r>
        <w:rPr>
          <w:rFonts w:eastAsia="Times New Roman"/>
          <w:bCs/>
        </w:rPr>
        <w:t xml:space="preserve"> – о</w:t>
      </w:r>
      <w:r>
        <w:rPr/>
        <w:t>тсканированные копии утвержденных технических условий (все страницы документа) в соответствии с которыми выпускается силовой трансформатор.</w:t>
      </w:r>
      <w:bookmarkEnd w:id="83"/>
    </w:p>
    <w:p>
      <w:pPr>
        <w:pStyle w:val="54"/>
        <w:numPr>
          <w:ilvl w:val="0"/>
          <w:numId w:val="0"/>
        </w:numPr>
        <w:ind w:left="1418" w:hanging="0"/>
        <w:rPr>
          <w:rFonts w:eastAsia="Calibri"/>
          <w:sz w:val="24"/>
          <w:szCs w:val="24"/>
        </w:rPr>
      </w:pPr>
      <w:r>
        <w:rPr>
          <w:bCs/>
          <w:u w:val="single"/>
        </w:rPr>
        <w:t>При отсутствии прототипа или если продукция ранее изготавливалась по ГОСТ (а не по техническим условиям)</w:t>
      </w:r>
      <w:r>
        <w:rPr>
          <w:bCs/>
        </w:rPr>
        <w:t xml:space="preserve"> – справка о том, что технические условия отсутствуют с указанием соответствующей причины.</w:t>
      </w:r>
    </w:p>
    <w:p>
      <w:pPr>
        <w:pStyle w:val="54"/>
        <w:numPr>
          <w:ilvl w:val="3"/>
          <w:numId w:val="59"/>
        </w:numPr>
        <w:ind w:left="1418" w:hanging="992"/>
        <w:rPr>
          <w:rFonts w:eastAsia="Calibri"/>
          <w:sz w:val="24"/>
          <w:szCs w:val="24"/>
        </w:rPr>
      </w:pPr>
      <w:bookmarkStart w:id="84" w:name="_Ref210581406"/>
      <w:r>
        <w:rPr/>
        <w:t>Ведомость ЗИП.</w:t>
      </w:r>
      <w:bookmarkEnd w:id="84"/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54"/>
        <w:numPr>
          <w:ilvl w:val="3"/>
          <w:numId w:val="60"/>
        </w:numPr>
        <w:ind w:left="1418" w:hanging="992"/>
        <w:rPr>
          <w:rFonts w:eastAsia="Calibri"/>
          <w:sz w:val="24"/>
          <w:szCs w:val="24"/>
        </w:rPr>
      </w:pPr>
      <w:r>
        <w:rPr/>
        <w:t>Документы, подтверждающие страну происхождения поставляемой продукции в соответствии с нормами постановления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1875.</w:t>
      </w:r>
    </w:p>
    <w:p>
      <w:pPr>
        <w:pStyle w:val="1"/>
        <w:ind w:left="426" w:hanging="360"/>
        <w:rPr>
          <w:b/>
          <w:b/>
          <w:i/>
          <w:i/>
          <w:sz w:val="24"/>
          <w:szCs w:val="24"/>
        </w:rPr>
      </w:pPr>
      <w:bookmarkStart w:id="85" w:name="__RefHeading___Toc22657_3214668549"/>
      <w:bookmarkStart w:id="86" w:name="_Toc46743519"/>
      <w:bookmarkStart w:id="87" w:name="_Toc51339699"/>
      <w:bookmarkStart w:id="88" w:name="_Toc219815419"/>
      <w:bookmarkEnd w:id="85"/>
      <w:r>
        <w:rPr/>
        <w:t>Приложения</w:t>
      </w:r>
      <w:bookmarkEnd w:id="86"/>
      <w:bookmarkEnd w:id="87"/>
      <w:bookmarkEnd w:id="88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  <w:t>1. Спецификация поставляемого оборудования</w:t>
      </w:r>
    </w:p>
    <w:sectPr>
      <w:headerReference w:type="default" r:id="rId6"/>
      <w:headerReference w:type="first" r:id="rId7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>
    <w:lvl w:ilvl="0">
      <w:start w:val="1"/>
      <w:numFmt w:val="russianLower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45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46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47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48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49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0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1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2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3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4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5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6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7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8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59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60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d0a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2"/>
    <w:qFormat/>
    <w:pPr>
      <w:numPr>
        <w:ilvl w:val="0"/>
        <w:numId w:val="1"/>
      </w:numPr>
      <w:ind w:left="426" w:hanging="0"/>
      <w:jc w:val="center"/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4"/>
    <w:qFormat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2"/>
    <w:qFormat/>
    <w:pPr>
      <w:keepNext w:val="true"/>
      <w:numPr>
        <w:ilvl w:val="2"/>
        <w:numId w:val="1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next w:val="Normal"/>
    <w:link w:val="40"/>
    <w:qFormat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1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next w:val="Normal"/>
    <w:link w:val="70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next w:val="Normal"/>
    <w:link w:val="80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Style5" w:customStyle="1">
    <w:name w:val="Заголовок Знак"/>
    <w:basedOn w:val="DefaultParagraphFont"/>
    <w:link w:val="a8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link w:val="ab"/>
    <w:uiPriority w:val="99"/>
    <w:qFormat/>
    <w:rPr/>
  </w:style>
  <w:style w:type="character" w:styleId="Style7" w:customStyle="1">
    <w:name w:val="Название объекта Знак"/>
    <w:basedOn w:val="DefaultParagraphFont"/>
    <w:link w:val="ad"/>
    <w:uiPriority w:val="35"/>
    <w:qFormat/>
    <w:rPr>
      <w:b/>
      <w:bCs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Annotationreference">
    <w:name w:val="annotation reference"/>
    <w:uiPriority w:val="99"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1" w:customStyle="1">
    <w:name w:val="Заголовок 6 Знак"/>
    <w:link w:val="6"/>
    <w:uiPriority w:val="9"/>
    <w:qFormat/>
    <w:rPr>
      <w:rFonts w:ascii="Cambria" w:hAnsi="Cambria"/>
      <w:i/>
      <w:iCs/>
      <w:color w:val="243F60"/>
    </w:rPr>
  </w:style>
  <w:style w:type="character" w:styleId="71" w:customStyle="1">
    <w:name w:val="Заголовок 7 Знак"/>
    <w:link w:val="7"/>
    <w:uiPriority w:val="9"/>
    <w:qFormat/>
    <w:rPr>
      <w:rFonts w:ascii="Cambria" w:hAnsi="Cambria"/>
      <w:i/>
      <w:iCs/>
      <w:color w:val="404040"/>
    </w:rPr>
  </w:style>
  <w:style w:type="character" w:styleId="81" w:customStyle="1">
    <w:name w:val="Заголовок 8 Знак"/>
    <w:link w:val="8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link w:val="11"/>
    <w:qFormat/>
    <w:rPr>
      <w:rFonts w:eastAsia="Calibri"/>
      <w:b/>
      <w:sz w:val="28"/>
      <w:szCs w:val="28"/>
    </w:rPr>
  </w:style>
  <w:style w:type="character" w:styleId="21" w:customStyle="1">
    <w:name w:val="Заголовок 2 Знак"/>
    <w:link w:val="23"/>
    <w:qFormat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link w:val="31"/>
    <w:qFormat/>
    <w:rPr>
      <w:rFonts w:eastAsia="Calibri"/>
      <w:b/>
      <w:sz w:val="24"/>
      <w:szCs w:val="24"/>
    </w:rPr>
  </w:style>
  <w:style w:type="character" w:styleId="41" w:customStyle="1">
    <w:name w:val="Заголовок 4 Знак"/>
    <w:link w:val="4"/>
    <w:qFormat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link w:val="50"/>
    <w:uiPriority w:val="9"/>
    <w:qFormat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styleId="Style10" w:customStyle="1">
    <w:name w:val="Название Знак"/>
    <w:link w:val="15"/>
    <w:uiPriority w:val="10"/>
    <w:qFormat/>
    <w:rPr>
      <w:sz w:val="28"/>
    </w:rPr>
  </w:style>
  <w:style w:type="character" w:styleId="Style11" w:customStyle="1">
    <w:name w:val="Подзаголовок Знак"/>
    <w:link w:val="aff8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12">
    <w:name w:val="Выделение"/>
    <w:uiPriority w:val="20"/>
    <w:qFormat/>
    <w:rPr>
      <w:i/>
      <w:iCs/>
    </w:rPr>
  </w:style>
  <w:style w:type="character" w:styleId="22" w:customStyle="1">
    <w:name w:val="Цитата 2 Знак"/>
    <w:link w:val="2d"/>
    <w:uiPriority w:val="29"/>
    <w:qFormat/>
    <w:rPr>
      <w:rFonts w:ascii="Calibri" w:hAnsi="Calibri" w:eastAsia="Calibri"/>
      <w:i/>
      <w:iCs/>
      <w:color w:val="000000"/>
    </w:rPr>
  </w:style>
  <w:style w:type="character" w:styleId="Style13" w:customStyle="1">
    <w:name w:val="Выделенная цитата Знак"/>
    <w:link w:val="affd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14" w:customStyle="1">
    <w:name w:val="Электронная подпись Знак"/>
    <w:link w:val="afff5"/>
    <w:uiPriority w:val="99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afb"/>
    <w:qFormat/>
    <w:rPr>
      <w:sz w:val="28"/>
    </w:rPr>
  </w:style>
  <w:style w:type="character" w:styleId="Style15" w:customStyle="1">
    <w:name w:val="Текст сноски Знак"/>
    <w:link w:val="af0"/>
    <w:qFormat/>
    <w:rPr/>
  </w:style>
  <w:style w:type="character" w:styleId="Style16" w:customStyle="1">
    <w:name w:val="Основной текст Знак"/>
    <w:link w:val="af8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link w:val="affb"/>
    <w:uiPriority w:val="34"/>
    <w:qFormat/>
    <w:rPr>
      <w:rFonts w:eastAsia="Calibri"/>
      <w:sz w:val="24"/>
      <w:szCs w:val="24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link w:val="afffd"/>
    <w:qFormat/>
    <w:rPr>
      <w:sz w:val="26"/>
      <w:szCs w:val="26"/>
    </w:rPr>
  </w:style>
  <w:style w:type="character" w:styleId="32" w:customStyle="1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styleId="Style20" w:customStyle="1">
    <w:name w:val="Верхний колонтитул Знак"/>
    <w:link w:val="af4"/>
    <w:uiPriority w:val="99"/>
    <w:qFormat/>
    <w:rPr>
      <w:sz w:val="24"/>
      <w:szCs w:val="24"/>
    </w:rPr>
  </w:style>
  <w:style w:type="character" w:styleId="Style21" w:customStyle="1">
    <w:name w:val="Текст примечания Знак"/>
    <w:link w:val="aff2"/>
    <w:qFormat/>
    <w:rPr/>
  </w:style>
  <w:style w:type="character" w:styleId="Style22" w:customStyle="1">
    <w:name w:val="Текст концевой сноски Знак"/>
    <w:basedOn w:val="DefaultParagraphFont"/>
    <w:link w:val="affff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3" w:customStyle="1">
    <w:name w:val="Пункт2 Знак"/>
    <w:link w:val="29"/>
    <w:qFormat/>
    <w:rPr>
      <w:b/>
      <w:sz w:val="28"/>
    </w:rPr>
  </w:style>
  <w:style w:type="character" w:styleId="13" w:customStyle="1">
    <w:name w:val="УРОВЕНЬ_1. Знак"/>
    <w:link w:val="1b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7"/>
    <w:qFormat/>
    <w:rPr>
      <w:sz w:val="16"/>
      <w:szCs w:val="16"/>
    </w:rPr>
  </w:style>
  <w:style w:type="character" w:styleId="ConsPlusNormal" w:customStyle="1">
    <w:name w:val="ConsPlusNormal Знак"/>
    <w:link w:val="ConsPlusNormal"/>
    <w:qFormat/>
    <w:rPr>
      <w:rFonts w:ascii="Arial" w:hAnsi="Arial" w:cs="Arial"/>
    </w:rPr>
  </w:style>
  <w:style w:type="character" w:styleId="Style24" w:customStyle="1">
    <w:name w:val="курсив ТТ Знак"/>
    <w:basedOn w:val="DefaultParagraphFont"/>
    <w:link w:val="affff4"/>
    <w:qFormat/>
    <w:rPr>
      <w:iCs/>
      <w:sz w:val="24"/>
      <w:szCs w:val="24"/>
    </w:rPr>
  </w:style>
  <w:style w:type="character" w:styleId="Style25" w:customStyle="1">
    <w:name w:val="НТ Знак"/>
    <w:basedOn w:val="DefaultParagraphFont"/>
    <w:link w:val="affff6"/>
    <w:qFormat/>
    <w:rPr>
      <w:b/>
      <w:sz w:val="24"/>
      <w:szCs w:val="24"/>
    </w:rPr>
  </w:style>
  <w:style w:type="character" w:styleId="Style26" w:customStyle="1">
    <w:name w:val="На) Знак"/>
    <w:basedOn w:val="Style17"/>
    <w:link w:val="a1"/>
    <w:qFormat/>
    <w:rPr>
      <w:rFonts w:eastAsia="Calibri"/>
      <w:sz w:val="24"/>
      <w:szCs w:val="24"/>
    </w:rPr>
  </w:style>
  <w:style w:type="character" w:styleId="52" w:customStyle="1">
    <w:name w:val="Н5 Знак"/>
    <w:basedOn w:val="31"/>
    <w:link w:val="5"/>
    <w:qFormat/>
    <w:rPr>
      <w:rFonts w:eastAsia="Calibri"/>
      <w:b w:val="false"/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34" w:customStyle="1">
    <w:name w:val="Основной текст 3 Знак"/>
    <w:basedOn w:val="DefaultParagraphFont"/>
    <w:link w:val="35"/>
    <w:qFormat/>
    <w:rPr>
      <w:sz w:val="16"/>
      <w:szCs w:val="16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27">
    <w:name w:val="Символ сноски"/>
    <w:qFormat/>
    <w:rPr/>
  </w:style>
  <w:style w:type="character" w:styleId="Style28">
    <w:name w:val="Ссылка указателя"/>
    <w:qFormat/>
    <w:rPr/>
  </w:style>
  <w:style w:type="character" w:styleId="Style29">
    <w:name w:val="Символ концевой сноски"/>
    <w:qFormat/>
    <w:rPr/>
  </w:style>
  <w:style w:type="character" w:styleId="WWCharLFO19LVL9">
    <w:name w:val="WW_CharLFO19LVL9"/>
    <w:qFormat/>
    <w:rPr>
      <w:b w:val="false"/>
    </w:rPr>
  </w:style>
  <w:style w:type="character" w:styleId="WWCharLFO19LVL8">
    <w:name w:val="WW_CharLFO19LVL8"/>
    <w:qFormat/>
    <w:rPr>
      <w:b w:val="false"/>
    </w:rPr>
  </w:style>
  <w:style w:type="character" w:styleId="WWCharLFO19LVL7">
    <w:name w:val="WW_CharLFO19LVL7"/>
    <w:qFormat/>
    <w:rPr>
      <w:b w:val="false"/>
    </w:rPr>
  </w:style>
  <w:style w:type="character" w:styleId="WWCharLFO19LVL6">
    <w:name w:val="WW_CharLFO19LVL6"/>
    <w:qFormat/>
    <w:rPr>
      <w:b w:val="false"/>
    </w:rPr>
  </w:style>
  <w:style w:type="character" w:styleId="WWCharLFO19LVL5">
    <w:name w:val="WW_CharLFO19LVL5"/>
    <w:qFormat/>
    <w:rPr>
      <w:b w:val="false"/>
    </w:rPr>
  </w:style>
  <w:style w:type="character" w:styleId="WWCharLFO19LVL4">
    <w:name w:val="WW_CharLFO19LVL4"/>
    <w:qFormat/>
    <w:rPr>
      <w:b w:val="false"/>
    </w:rPr>
  </w:style>
  <w:style w:type="character" w:styleId="WWCharLFO19LVL3">
    <w:name w:val="WW_CharLFO19LVL3"/>
    <w:qFormat/>
    <w:rPr>
      <w:b w:val="false"/>
    </w:rPr>
  </w:style>
  <w:style w:type="character" w:styleId="WWCharLFO19LVL2">
    <w:name w:val="WW_CharLFO19LVL2"/>
    <w:qFormat/>
    <w:rPr>
      <w:b/>
      <w:bCs/>
      <w:sz w:val="24"/>
      <w:szCs w:val="24"/>
    </w:rPr>
  </w:style>
  <w:style w:type="character" w:styleId="WWCharLFO19LVL1">
    <w:name w:val="WW_CharLFO19LVL1"/>
    <w:qFormat/>
    <w:rPr>
      <w:b/>
      <w:color w:val="00000A"/>
    </w:rPr>
  </w:style>
  <w:style w:type="character" w:styleId="WW">
    <w:name w:val="WW-Символы концевой сноски"/>
    <w:qFormat/>
    <w:rPr/>
  </w:style>
  <w:style w:type="character" w:styleId="Style30">
    <w:name w:val="Символы концевой сноски"/>
    <w:qFormat/>
    <w:rPr>
      <w:vertAlign w:val="superscript"/>
    </w:rPr>
  </w:style>
  <w:style w:type="character" w:styleId="15">
    <w:name w:val="Знак концевой сноски1"/>
    <w:qFormat/>
    <w:rPr>
      <w:vertAlign w:val="superscript"/>
    </w:rPr>
  </w:style>
  <w:style w:type="character" w:styleId="16">
    <w:name w:val="Гиперссылка1"/>
    <w:qFormat/>
    <w:rPr>
      <w:color w:val="0000FF"/>
      <w:u w:val="single"/>
    </w:rPr>
  </w:style>
  <w:style w:type="character" w:styleId="17">
    <w:name w:val="Знак сноски1"/>
    <w:qFormat/>
    <w:rPr>
      <w:vertAlign w:val="superscript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4z2">
    <w:name w:val="WW8Num4z2"/>
    <w:qFormat/>
    <w:rPr>
      <w:b w:val="false"/>
    </w:rPr>
  </w:style>
  <w:style w:type="character" w:styleId="WW8Num4z1">
    <w:name w:val="WW8Num4z1"/>
    <w:qFormat/>
    <w:rPr>
      <w:b/>
      <w:sz w:val="26"/>
    </w:rPr>
  </w:style>
  <w:style w:type="character" w:styleId="WW8Num4z0">
    <w:name w:val="WW8Num4z0"/>
    <w:qFormat/>
    <w:rPr>
      <w:b/>
      <w:color w:val="00000A"/>
      <w:sz w:val="26"/>
    </w:rPr>
  </w:style>
  <w:style w:type="character" w:styleId="WW8Num3z2">
    <w:name w:val="WW8Num3z2"/>
    <w:qFormat/>
    <w:rPr>
      <w:b w:val="false"/>
    </w:rPr>
  </w:style>
  <w:style w:type="character" w:styleId="WW8Num3z1">
    <w:name w:val="WW8Num3z1"/>
    <w:qFormat/>
    <w:rPr>
      <w:b/>
      <w:sz w:val="26"/>
    </w:rPr>
  </w:style>
  <w:style w:type="character" w:styleId="WW8Num3z0">
    <w:name w:val="WW8Num3z0"/>
    <w:qFormat/>
    <w:rPr>
      <w:b/>
      <w:color w:val="00000A"/>
      <w:sz w:val="26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sz w:val="24"/>
      <w:szCs w:val="24"/>
    </w:rPr>
  </w:style>
  <w:style w:type="character" w:styleId="WW8Num2z1">
    <w:name w:val="WW8Num2z1"/>
    <w:qFormat/>
    <w:rPr>
      <w:b w:val="false"/>
      <w:bCs/>
      <w:sz w:val="24"/>
      <w:szCs w:val="24"/>
    </w:rPr>
  </w:style>
  <w:style w:type="character" w:styleId="WW8Num2z0">
    <w:name w:val="WW8Num2z0"/>
    <w:qFormat/>
    <w:rPr>
      <w:b/>
      <w:bCs w:val="false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vertAlign w:val="baseline"/>
      <w:em w:val="none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link w:val="af9"/>
    <w:pPr>
      <w:spacing w:before="0" w:after="120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Style36">
    <w:name w:val="Title"/>
    <w:basedOn w:val="Normal"/>
    <w:next w:val="Normal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3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38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39" w:customStyle="1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Style40">
    <w:name w:val="Footnote Text"/>
    <w:basedOn w:val="Normal"/>
    <w:link w:val="af1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link w:val="af3"/>
    <w:uiPriority w:val="10"/>
    <w:qFormat/>
    <w:pPr>
      <w:jc w:val="center"/>
    </w:pPr>
    <w:rPr>
      <w:szCs w:val="20"/>
    </w:rPr>
  </w:style>
  <w:style w:type="paragraph" w:styleId="Style41">
    <w:name w:val="Колонтитул"/>
    <w:basedOn w:val="Normal"/>
    <w:qFormat/>
    <w:pPr/>
    <w:rPr/>
  </w:style>
  <w:style w:type="paragraph" w:styleId="Style42">
    <w:name w:val="Header"/>
    <w:basedOn w:val="Normal"/>
    <w:link w:val="af5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43">
    <w:name w:val="Body Text Indent"/>
    <w:basedOn w:val="Normal"/>
    <w:pPr>
      <w:ind w:left="360" w:hanging="0"/>
    </w:pPr>
    <w:rPr>
      <w:sz w:val="24"/>
      <w:szCs w:val="24"/>
    </w:rPr>
  </w:style>
  <w:style w:type="paragraph" w:styleId="Style44">
    <w:name w:val="Footer"/>
    <w:basedOn w:val="Normal"/>
    <w:link w:val="a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6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8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5" w:customStyle="1">
    <w:name w:val="Подпункт"/>
    <w:basedOn w:val="Normal"/>
    <w:link w:val="16"/>
    <w:qFormat/>
    <w:pPr>
      <w:tabs>
        <w:tab w:val="clear" w:pos="709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link w:val="2a"/>
    <w:qFormat/>
    <w:pPr>
      <w:keepNext w:val="true"/>
      <w:tabs>
        <w:tab w:val="clear" w:pos="709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110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46" w:customStyle="1">
    <w:name w:val="Раздел регламента"/>
    <w:basedOn w:val="Normal"/>
    <w:qFormat/>
    <w:pPr/>
    <w:rPr/>
  </w:style>
  <w:style w:type="paragraph" w:styleId="Style47" w:customStyle="1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f3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11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3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8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link w:val="ac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tyle49">
    <w:name w:val="Subtitle"/>
    <w:basedOn w:val="Normal"/>
    <w:next w:val="Normal"/>
    <w:link w:val="aff9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affc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e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affe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TOCHeading">
    <w:name w:val="TOC Heading"/>
    <w:basedOn w:val="1"/>
    <w:next w:val="Normal"/>
    <w:uiPriority w:val="39"/>
    <w:qFormat/>
    <w:pPr>
      <w:keepLines/>
      <w:numPr>
        <w:ilvl w:val="0"/>
        <w:numId w:val="0"/>
      </w:numPr>
      <w:spacing w:before="480" w:after="60"/>
      <w:ind w:left="426" w:hanging="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6"/>
    <w:uiPriority w:val="99"/>
    <w:unhideWhenUsed/>
    <w:qFormat/>
    <w:pPr/>
    <w:rPr>
      <w:rFonts w:eastAsia="Calibri"/>
      <w:sz w:val="24"/>
      <w:szCs w:val="24"/>
    </w:rPr>
  </w:style>
  <w:style w:type="paragraph" w:styleId="Style50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38" w:customStyle="1">
    <w:name w:val="List Bullet 4"/>
    <w:basedOn w:val="Normal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0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9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51" w:customStyle="1">
    <w:name w:val="Пункт"/>
    <w:basedOn w:val="Normal"/>
    <w:qFormat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2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52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5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4" w:customStyle="1">
    <w:name w:val="Подподпункт"/>
    <w:basedOn w:val="Style45"/>
    <w:link w:val="afffe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55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6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0" w:customStyle="1">
    <w:name w:val="УРОВЕНЬ_Абзац_тип3"/>
    <w:basedOn w:val="ListParagraph"/>
    <w:link w:val="3b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7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3" w:customStyle="1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8">
    <w:name w:val="Endnote Text"/>
    <w:basedOn w:val="Normal"/>
    <w:link w:val="affff0"/>
    <w:pPr/>
    <w:rPr>
      <w:sz w:val="20"/>
      <w:szCs w:val="20"/>
    </w:rPr>
  </w:style>
  <w:style w:type="paragraph" w:styleId="210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9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4" w:customStyle="1">
    <w:name w:val="УРОВЕНЬ_1."/>
    <w:basedOn w:val="ListParagraph"/>
    <w:link w:val="1c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pPr>
      <w:widowControl w:val="false"/>
      <w:tabs>
        <w:tab w:val="clear" w:pos="709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60" w:customStyle="1">
    <w:name w:val="курсив ТТ"/>
    <w:basedOn w:val="Normal"/>
    <w:link w:val="affff5"/>
    <w:qFormat/>
    <w:pPr/>
    <w:rPr>
      <w:iCs/>
      <w:sz w:val="24"/>
      <w:szCs w:val="24"/>
    </w:rPr>
  </w:style>
  <w:style w:type="paragraph" w:styleId="Style61" w:customStyle="1">
    <w:name w:val="НТ"/>
    <w:basedOn w:val="Normal"/>
    <w:link w:val="affff7"/>
    <w:qFormat/>
    <w:pPr/>
    <w:rPr>
      <w:b/>
      <w:sz w:val="24"/>
      <w:szCs w:val="24"/>
    </w:rPr>
  </w:style>
  <w:style w:type="paragraph" w:styleId="Style62" w:customStyle="1">
    <w:name w:val="На)"/>
    <w:basedOn w:val="ListParagraph"/>
    <w:link w:val="affff8"/>
    <w:qFormat/>
    <w:pPr>
      <w:numPr>
        <w:ilvl w:val="0"/>
        <w:numId w:val="8"/>
      </w:numPr>
    </w:pPr>
    <w:rPr/>
  </w:style>
  <w:style w:type="paragraph" w:styleId="54" w:customStyle="1">
    <w:name w:val="Н5"/>
    <w:basedOn w:val="3"/>
    <w:link w:val="54"/>
    <w:qFormat/>
    <w:pPr>
      <w:numPr>
        <w:ilvl w:val="0"/>
        <w:numId w:val="0"/>
      </w:numPr>
    </w:pPr>
    <w:rPr>
      <w:b w:val="false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0"/>
      <w:szCs w:val="20"/>
      <w:lang w:val="ru-RU" w:eastAsia="zh-CN" w:bidi="ar-SA"/>
    </w:rPr>
  </w:style>
  <w:style w:type="paragraph" w:styleId="115" w:customStyle="1">
    <w:name w:val="Цитата1"/>
    <w:qFormat/>
    <w:pPr>
      <w:widowControl w:val="false"/>
      <w:shd w:val="clear" w:color="auto" w:fill="FFFFFF"/>
      <w:tabs>
        <w:tab w:val="clear" w:pos="709"/>
        <w:tab w:val="left" w:pos="2635" w:leader="none"/>
      </w:tabs>
      <w:suppressAutoHyphens w:val="true"/>
      <w:bidi w:val="0"/>
      <w:spacing w:lineRule="exact" w:line="278" w:before="5" w:after="0"/>
      <w:ind w:left="725" w:right="2650" w:firstLine="485"/>
      <w:jc w:val="center"/>
    </w:pPr>
    <w:rPr>
      <w:rFonts w:ascii="Times New Roman" w:hAnsi="Times New Roman" w:eastAsia="Times New Roman" w:cs="Times New Roman"/>
      <w:b/>
      <w:bCs/>
      <w:color w:val="000000"/>
      <w:spacing w:val="-8"/>
      <w:kern w:val="0"/>
      <w:sz w:val="28"/>
      <w:szCs w:val="24"/>
      <w:u w:val="single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zh-CN" w:bidi="ar-SA"/>
    </w:rPr>
  </w:style>
  <w:style w:type="paragraph" w:styleId="Style63">
    <w:name w:val="Содержимое таблицы"/>
    <w:basedOn w:val="Normal"/>
    <w:qFormat/>
    <w:pPr>
      <w:widowControl w:val="false"/>
      <w:suppressLineNumbers/>
    </w:pPr>
    <w:rPr/>
  </w:style>
  <w:style w:type="paragraph" w:styleId="Style64">
    <w:name w:val="Заголовок таблицы"/>
    <w:basedOn w:val="Style63"/>
    <w:qFormat/>
    <w:pPr/>
    <w:rPr/>
  </w:style>
  <w:style w:type="paragraph" w:styleId="EndnoteSymbol">
    <w:name w:val="Endnote Symbol"/>
    <w:basedOn w:val="Normal"/>
    <w:qFormat/>
    <w:pPr/>
    <w:rPr>
      <w:sz w:val="20"/>
      <w:szCs w:val="20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Style65">
    <w:name w:val="Index Heading"/>
    <w:basedOn w:val="Style31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1"/>
    <w:qFormat/>
    <w:pPr>
      <w:keepLines/>
      <w:numPr>
        <w:ilvl w:val="0"/>
        <w:numId w:val="0"/>
      </w:numPr>
      <w:spacing w:before="480" w:after="60"/>
      <w:ind w:left="0" w:right="0" w:hanging="0"/>
    </w:pPr>
    <w:rPr>
      <w:rFonts w:ascii="Cambria" w:hAnsi="Cambria" w:cs="Cambria"/>
      <w:bCs/>
      <w:color w:val="365F91"/>
    </w:rPr>
  </w:style>
  <w:style w:type="paragraph" w:styleId="Indexheading1111">
    <w:name w:val="index heading1111"/>
    <w:basedOn w:val="Normal"/>
    <w:qFormat/>
    <w:pPr>
      <w:suppressLineNumbers/>
    </w:pPr>
    <w:rPr>
      <w:rFonts w:cs="Lohit Devanagari"/>
    </w:rPr>
  </w:style>
  <w:style w:type="paragraph" w:styleId="Caption1111">
    <w:name w:val="caption111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Style36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>
    <w:name w:val="index heading11"/>
    <w:basedOn w:val="Style36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36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6" w:customStyle="1">
    <w:name w:val="Стиль1"/>
    <w:uiPriority w:val="99"/>
    <w:qFormat/>
  </w:style>
  <w:style w:type="numbering" w:styleId="211" w:customStyle="1">
    <w:name w:val="Стиль2"/>
    <w:uiPriority w:val="99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">
    <w:name w:val="List Table 5 Dark"/>
    <w:basedOn w:val="a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7">
    <w:name w:val="Table Grid"/>
    <w:basedOn w:val="a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6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50">
    <w:name w:val="Grid Table 5 Dark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2f">
    <w:name w:val="Сетка таблицы2"/>
    <w:basedOn w:val="a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BBD3-1F01-4C48-8DD1-322C035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Application>LibreOffice/7.1.8.1$Linux_X86_64 LibreOffice_project/10$Build-1</Application>
  <AppVersion>15.0000</AppVersion>
  <Pages>26</Pages>
  <Words>4360</Words>
  <Characters>28695</Characters>
  <CharactersWithSpaces>32054</CharactersWithSpaces>
  <Paragraphs>939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2025-11-28T09:15:00Z</dcterms:created>
  <dc:creator>Быстров Олег Геннадьевич</dc:creator>
  <dc:description/>
  <dc:language>ru-RU</dc:language>
  <cp:lastModifiedBy/>
  <dcterms:modified xsi:type="dcterms:W3CDTF">2026-07-10T16:52:44Z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