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w:t>
      </w:r>
      <w:r>
        <w:rPr>
          <w:bCs/>
          <w:sz w:val="24"/>
          <w:szCs w:val="24"/>
          <w:shd w:fill="auto" w:val="clear"/>
        </w:rPr>
        <w:t xml:space="preserve">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Pr>
          <w:sz w:val="24"/>
          <w:szCs w:val="24"/>
          <w:highlight w:val="yellow"/>
        </w:rPr>
        <w:t>календарных</w:t>
      </w:r>
      <w:bookmarkStart w:id="0" w:name="_GoBack"/>
      <w:bookmarkEnd w:id="0"/>
      <w:r>
        <w:rPr>
          <w:sz w:val="24"/>
          <w:szCs w:val="24"/>
        </w:rPr>
        <w:t xml:space="preserve">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3" w:name="_Hlk130023773"/>
      <w:r>
        <w:rPr>
          <w:sz w:val="24"/>
          <w:szCs w:val="24"/>
          <w:highlight w:val="yellow"/>
        </w:rPr>
        <w:t xml:space="preserve">В случае </w:t>
      </w:r>
      <w:bookmarkStart w:id="4" w:name="_Hlk130023740"/>
      <w:r>
        <w:rPr>
          <w:sz w:val="24"/>
          <w:szCs w:val="24"/>
          <w:highlight w:val="yellow"/>
        </w:rPr>
        <w:t xml:space="preserve">нарушения </w:t>
      </w:r>
      <w:bookmarkEnd w:id="4"/>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bookmarkStart w:id="5" w:name="_Hlk130023812"/>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5"/>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bookmarkEnd w:id="5"/>
      <w:r>
        <w:rPr>
          <w:rFonts w:eastAsia="Calibri"/>
          <w:bCs/>
          <w:sz w:val="24"/>
          <w:szCs w:val="24"/>
          <w:highlight w:val="yellow"/>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r>
      <w:r>
        <w:rPr>
          <w:sz w:val="24"/>
          <w:szCs w:val="24"/>
          <w:highlight w:val="yellow"/>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sz w:val="24"/>
          <w:szCs w:val="24"/>
        </w:rPr>
      </w:pPr>
      <w:r>
        <w:rPr>
          <w:sz w:val="24"/>
          <w:szCs w:val="24"/>
        </w:rPr>
        <w:t xml:space="preserve">6.13. </w:t>
      </w:r>
      <w:r>
        <w:rPr>
          <w:sz w:val="24"/>
          <w:szCs w:val="24"/>
          <w:shd w:fill="FFFF00"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52"/>
        <w:gridCol w:w="421"/>
        <w:gridCol w:w="1703"/>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6"/>
    <w:lvlOverride w:ilvl="0">
      <w:startOverride w:val="1"/>
    </w:lvlOverride>
  </w:num>
  <w:num w:numId="19">
    <w:abstractNumId w:val="16"/>
  </w:num>
  <w:num w:numId="20">
    <w:abstractNumId w:val="16"/>
  </w:num>
  <w:num w:numId="21">
    <w:abstractNumId w:val="16"/>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98C0-A4C3-40C3-811D-D44987D3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Application>AlterOffice/3.4.0.6$Linux_X86_64 LibreOffice_project/ad8c41dce69105450bf791d4900d64b1f82e10d0</Application>
  <AppVersion>15.0000</AppVersion>
  <Pages>19</Pages>
  <Words>6700</Words>
  <Characters>47997</Characters>
  <CharactersWithSpaces>54239</CharactersWithSpaces>
  <Paragraphs>349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polovkovn@corp.gidroogk.com</cp:lastModifiedBy>
  <cp:lastPrinted>2017-11-07T14:48:00Z</cp:lastPrinted>
  <dcterms:modified xsi:type="dcterms:W3CDTF">2024-12-04T10:58:36Z</dcterms:modified>
  <cp:revision>51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