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word/header4.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right"/>
        <w:rPr>
          <w:rFonts w:ascii="Liberation Serif" w:hAnsi="Liberation Serif"/>
          <w:bCs/>
          <w:color w:val="000000"/>
          <w:sz w:val="20"/>
          <w:szCs w:val="20"/>
        </w:rPr>
      </w:pPr>
      <w:r>
        <w:rPr>
          <w:rFonts w:ascii="Liberation Serif" w:hAnsi="Liberation Serif"/>
          <w:bCs/>
          <w:color w:val="000000"/>
          <w:sz w:val="20"/>
          <w:szCs w:val="20"/>
        </w:rPr>
      </w:r>
    </w:p>
    <w:p>
      <w:pPr>
        <w:pStyle w:val="Normal"/>
        <w:tabs>
          <w:tab w:val="clear" w:pos="708"/>
          <w:tab w:val="left" w:pos="3148" w:leader="none"/>
          <w:tab w:val="center" w:pos="4818" w:leader="none"/>
          <w:tab w:val="left" w:pos="6926" w:leader="none"/>
        </w:tabs>
        <w:spacing w:lineRule="auto" w:line="240"/>
        <w:ind w:hanging="0"/>
        <w:jc w:val="center"/>
        <w:rPr>
          <w:rFonts w:ascii="Liberation Serif" w:hAnsi="Liberation Serif"/>
          <w:i/>
          <w:i/>
          <w:sz w:val="20"/>
          <w:szCs w:val="20"/>
        </w:rPr>
      </w:pPr>
      <w:r>
        <w:rPr>
          <w:rFonts w:ascii="Liberation Serif" w:hAnsi="Liberation Serif"/>
          <w:i/>
          <w:sz w:val="20"/>
          <w:szCs w:val="20"/>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Договор подряда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color w:val="00000A"/>
        </w:rPr>
        <w:t>(</w:t>
      </w:r>
      <w:r>
        <w:rPr>
          <w:color w:val="00000A"/>
          <w:lang w:val="ru-RU"/>
        </w:rPr>
        <w:t>АО «ДРСК»</w:t>
      </w:r>
      <w:r>
        <w:rPr>
          <w:color w:val="00000A"/>
        </w:rPr>
        <w:t xml:space="preserve">) (далее – «Заказчик»), в лице _______________ действующего на основании ______________,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lang w:val="ru-RU"/>
        </w:rPr>
        <w:br/>
      </w:r>
      <w:r>
        <w:rPr>
          <w:color w:val="00000A"/>
        </w:rPr>
        <w:t xml:space="preserve">по результатам проведенной Заказчиком конкурентной процедуры по лоту №     </w:t>
      </w:r>
      <w:r>
        <w:rPr>
          <w:b w:val="false"/>
          <w:bCs w:val="false"/>
          <w:i w:val="false"/>
          <w:iCs w:val="false"/>
          <w:strike w:val="false"/>
          <w:dstrike w:val="false"/>
          <w:outline w:val="false"/>
          <w:shadow w:val="false"/>
          <w:color w:val="00000A"/>
          <w:sz w:val="22"/>
          <w:u w:val="none"/>
          <w:em w:val="none"/>
        </w:rPr>
        <w:t>-КС ПИР СМР-2026-ДРСК-ХЭС</w:t>
      </w:r>
      <w:r>
        <w:rPr>
          <w:b w:val="false"/>
          <w:bCs w:val="false"/>
          <w:i w:val="false"/>
          <w:iCs w:val="false"/>
          <w:color w:val="00000A"/>
        </w:rPr>
        <w:t>,</w:t>
      </w:r>
      <w:r>
        <w:rPr/>
        <w:t xml:space="preserve"> </w:t>
      </w:r>
      <w:r>
        <w:rPr>
          <w:color w:val="00000A"/>
          <w:lang w:val="ru-RU"/>
        </w:rPr>
        <w:t>и</w:t>
      </w:r>
      <w:r>
        <w:rPr>
          <w:lang w:val="ru-RU"/>
        </w:rPr>
        <w:t xml:space="preserve"> </w:t>
      </w:r>
      <w:r>
        <w:rPr>
          <w:bCs/>
          <w:color w:val="00000A"/>
        </w:rPr>
        <w:t xml:space="preserve">на основании протокола о результатах </w:t>
      </w:r>
      <w:r>
        <w:rPr>
          <w:bCs/>
          <w:color w:val="00000A"/>
          <w:lang w:val="ru-RU"/>
        </w:rPr>
        <w:t>__________</w:t>
      </w:r>
      <w:r>
        <w:rPr>
          <w:bCs/>
          <w:color w:val="00000A"/>
        </w:rPr>
        <w:t xml:space="preserve"> от «___»__________ г</w:t>
      </w:r>
      <w:r>
        <w:rPr>
          <w:bCs/>
          <w:color w:val="00000A"/>
          <w:lang w:val="ru-RU"/>
        </w:rPr>
        <w:t>.</w:t>
      </w:r>
      <w:r>
        <w:rPr>
          <w:bCs/>
          <w:color w:val="00000A"/>
        </w:rPr>
        <w:t xml:space="preserve"> </w:t>
      </w:r>
      <w:r>
        <w:rPr>
          <w:bCs/>
          <w:color w:val="00000A"/>
          <w:lang w:val="ru-RU"/>
        </w:rPr>
        <w:t xml:space="preserve"> </w:t>
      </w:r>
      <w:r>
        <w:rPr>
          <w:bCs/>
          <w:color w:val="00000A"/>
        </w:rPr>
        <w:t>№_______</w:t>
      </w:r>
      <w:r>
        <w:rPr>
          <w:bCs/>
          <w:color w:val="00000A"/>
          <w:lang w:val="ru-RU"/>
        </w:rPr>
        <w:t>,</w:t>
      </w:r>
    </w:p>
    <w:p>
      <w:pPr>
        <w:pStyle w:val="BodyText3"/>
        <w:ind w:firstLine="708"/>
        <w:rPr>
          <w:color w:val="00000A"/>
          <w:lang w:val="ru-RU"/>
        </w:rPr>
      </w:pPr>
      <w:r>
        <w:rPr>
          <w:color w:val="00000A"/>
        </w:rPr>
        <w:t>заключили настоящий договор (далее – «Договор») о нижеследующем:</w:t>
      </w:r>
    </w:p>
    <w:p>
      <w:pPr>
        <w:pStyle w:val="BodyText3"/>
        <w:ind w:firstLine="708"/>
        <w:rPr>
          <w:color w:val="00000A"/>
          <w:lang w:val="ru-RU"/>
        </w:rPr>
      </w:pPr>
      <w:r>
        <w:rPr>
          <w:color w:val="00000A"/>
          <w:lang w:val="ru-RU"/>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00000A"/>
          <w:lang w:val="ru-RU"/>
        </w:rPr>
      </w:pPr>
      <w:r>
        <w:rPr>
          <w:color w:val="00000A"/>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 xml:space="preserve">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w:t>
        <w:br/>
        <w:t>№ 100.</w:t>
      </w:r>
    </w:p>
    <w:p>
      <w:pPr>
        <w:pStyle w:val="ListParagraph"/>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предусмотренному в дополнительных соглашениях х Договору.</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w:t>
        <w:br/>
        <w:t xml:space="preserve">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ind w:left="0" w:firstLine="708"/>
        <w:jc w:val="both"/>
        <w:rPr>
          <w:lang w:eastAsia="en-US"/>
        </w:rPr>
      </w:pPr>
      <w:r>
        <w:rPr>
          <w:b/>
          <w:lang w:eastAsia="en-US"/>
        </w:rPr>
        <w:t>«Акт ОС-15»</w:t>
      </w:r>
      <w:r>
        <w:rPr>
          <w:b/>
        </w:rPr>
        <w:t xml:space="preserve"> </w:t>
      </w:r>
      <w:r>
        <w:rP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Подрядчику для выполнения работ по его монтажу.</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w:t>
        <w:br/>
        <w:t xml:space="preserve">по форме, установленной Договором, подписываемый Сторонами по завершении работ (кроме Проектных работ) по каждому Этапу Работ, предусмотренных в дополнительных соглашениях к Договору. </w:t>
      </w:r>
    </w:p>
    <w:p>
      <w:pPr>
        <w:pStyle w:val="ListParagraph"/>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highlight w:val="none"/>
          <w:shd w:fill="auto" w:val="clear"/>
        </w:rPr>
      </w:pPr>
      <w:r>
        <w:rPr>
          <w:b/>
          <w:shd w:fill="auto" w:val="clear"/>
          <w:lang w:eastAsia="en-US"/>
        </w:rPr>
        <w:t xml:space="preserve">«Независимая гарантия» </w:t>
      </w:r>
      <w:r>
        <w:rPr>
          <w:b w:val="false"/>
          <w:bCs w:val="false"/>
          <w:shd w:fill="auto" w:val="clear"/>
          <w:lang w:eastAsia="en-US"/>
        </w:rPr>
        <w:t xml:space="preserve">- </w:t>
      </w:r>
      <w:r>
        <w:rPr>
          <w:rFonts w:ascii="Liberation Serif" w:hAnsi="Liberation Serif"/>
          <w:b w:val="false"/>
          <w:bCs w:val="false"/>
          <w:sz w:val="24"/>
          <w:szCs w:val="24"/>
          <w:shd w:fill="auto" w:val="clear"/>
          <w:lang w:eastAsia="en-US"/>
        </w:rPr>
        <w:t>гарантия,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7 Договора.</w:t>
      </w:r>
      <w:r>
        <w:rPr>
          <w:b w:val="false"/>
          <w:bCs w:val="false"/>
          <w:shd w:fill="auto" w:val="clear"/>
          <w:lang w:eastAsia="en-US"/>
        </w:rPr>
        <w:t xml:space="preserve">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«Гарантийный срок»</w:t>
      </w:r>
      <w:r>
        <w:rPr/>
        <w:t xml:space="preserve"> </w:t>
      </w:r>
      <w:r>
        <w:rP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none"/>
          <w:shd w:fill="auto" w:val="clear"/>
        </w:rPr>
      </w:pPr>
      <w:r>
        <w:rPr>
          <w:b/>
          <w:shd w:fill="auto" w:val="clear"/>
          <w:lang w:eastAsia="en-US"/>
        </w:rPr>
        <w:t>«Гарантированные показатели»</w:t>
      </w:r>
      <w:r>
        <w:rPr>
          <w:shd w:fill="auto" w:val="clear"/>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«Давальческие материалы и запасные части»</w:t>
      </w:r>
      <w:r>
        <w:rPr>
          <w:lang w:eastAsia="en-US"/>
        </w:rPr>
        <w:t xml:space="preserve"> – материалы (запасные части), </w:t>
      </w:r>
      <w:r>
        <w:rPr/>
        <w:t xml:space="preserve">которые будут являться составной частью Результата Работ по Договору, </w:t>
      </w:r>
      <w:r>
        <w:rPr>
          <w:lang w:eastAsia="en-US"/>
        </w:rPr>
        <w:t xml:space="preserve">подлежащие приемке Подрядчиком от Заказчика для выполнения Работ по Договору без оплаты стоимости </w:t>
        <w:br/>
        <w:t xml:space="preserve">таких материалов (запасных частей), с обязательством их использования </w:t>
        <w:br/>
        <w:t>при выполнении Работ и полного возврата Заказчику неиспользованных остатков. Перечень Давальческих материалов и запасных частей определяется в приложениях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highlight w:val="white"/>
        </w:rPr>
      </w:pPr>
      <w:r>
        <w:rPr>
          <w:b/>
          <w:shd w:fill="FFFFFF" w:val="clear"/>
          <w:lang w:eastAsia="en-US"/>
        </w:rPr>
        <w:t xml:space="preserve">«Исполнительная документация» – </w:t>
      </w:r>
      <w:r>
        <w:rPr>
          <w:shd w:fill="FFFFFF" w:val="clea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shd w:fill="FFFFFF" w:val="clear"/>
          <w:lang w:eastAsia="en-US"/>
        </w:rPr>
        <w:t>«Коммерческая тайна»</w:t>
      </w:r>
      <w:r>
        <w:rPr>
          <w:shd w:fill="FFFFFF" w:val="clear"/>
          <w:lang w:eastAsia="en-US"/>
        </w:rPr>
        <w:t xml:space="preserve"> – режим конфиденциальности информа</w:t>
      </w:r>
      <w:r>
        <w:rPr>
          <w:lang w:eastAsia="en-US"/>
        </w:rPr>
        <w:t xml:space="preserve">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«Обеспечительный платеж»</w:t>
      </w:r>
      <w:r>
        <w:rPr>
          <w:lang w:eastAsia="en-US"/>
        </w:rPr>
        <w:t xml:space="preserve"> – платеж в размере </w:t>
      </w:r>
      <w:r>
        <w:rPr>
          <w:shd w:fill="FFFFFF" w:val="clear"/>
          <w:lang w:eastAsia="en-US"/>
        </w:rPr>
        <w:t>5 % (пять</w:t>
      </w:r>
      <w:r>
        <w:rPr>
          <w:lang w:eastAsia="en-US"/>
        </w:rPr>
        <w:t xml:space="preserve"> процентов) от Цены Договора или суммарной стоимости Этапов Работ по соответствующему Объекту (включая стоимость Оборудования), который удерживается Заказчиком в качестве гарантийного резервирования в случае непредставления Подрядчиком </w:t>
      </w:r>
      <w:r>
        <w:rPr>
          <w:shd w:fill="FFFFFF" w:val="clear"/>
          <w:lang w:eastAsia="en-US"/>
        </w:rPr>
        <w:t>Независимой</w:t>
      </w:r>
      <w:r>
        <w:rPr>
          <w:lang w:eastAsia="en-US"/>
        </w:rPr>
        <w:t xml:space="preserve">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«Оборудование»</w:t>
      </w:r>
      <w:r>
        <w:rPr>
          <w:lang w:eastAsia="en-US"/>
        </w:rPr>
        <w:t xml:space="preserve"> – механизмы, машины, устройства, приборы, подлежащие поставке Подрядчиком в соответствии с условиями дополнительных соглашений к Договору на основании Технического задания и Спецификации Оборудования, являющихся приложениями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дополнительным соглашениям.</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 перечень Объектов приведен в Техническом задании, являющемся приложением к дополнительному заданию.</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«Партия Оборудования»</w:t>
      </w:r>
      <w:r>
        <w:rPr>
          <w:lang w:eastAsia="en-US"/>
        </w:rPr>
        <w:t xml:space="preserve"> – часть Оборудования, единовременно поставляемая Заказчику Подрядчиком, объем и состав которой определяется Спецификацией Оборудования, являющейся приложением к дополнительному соглашению к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по соответствующему Объекту.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true"/>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Заказчика.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eastAsia="en-US"/>
        </w:rPr>
        <w:t>«</w:t>
      </w:r>
      <w:r>
        <w:rPr>
          <w:sz w:val="24"/>
          <w:szCs w:val="24"/>
          <w:lang w:val="ru-RU" w:eastAsia="en-US"/>
        </w:rPr>
        <w:t>Проектные работы»</w:t>
      </w:r>
      <w:r>
        <w:rPr>
          <w:b w:val="false"/>
          <w:sz w:val="24"/>
          <w:szCs w:val="24"/>
          <w:lang w:val="ru-RU" w:eastAsia="en-US"/>
        </w:rPr>
        <w:t xml:space="preserve"> – вид Работ по Договору, выполняемый в целях разработки </w:t>
      </w:r>
      <w:r>
        <w:rPr>
          <w:b w:val="false"/>
          <w:sz w:val="24"/>
          <w:szCs w:val="24"/>
          <w:shd w:fill="auto" w:val="clear"/>
          <w:lang w:val="ru-RU" w:eastAsia="en-US"/>
        </w:rPr>
        <w:t>/ корректировки Проектной документации и Рабочей документации, подлежащей согласованию</w:t>
      </w:r>
      <w:r>
        <w:rPr>
          <w:b w:val="false"/>
          <w:sz w:val="24"/>
          <w:szCs w:val="24"/>
          <w:lang w:val="ru-RU" w:eastAsia="en-US"/>
        </w:rPr>
        <w:t xml:space="preserve"> и приемке Заказчиком.</w:t>
      </w:r>
    </w:p>
    <w:p>
      <w:pPr>
        <w:pStyle w:val="Heading3"/>
        <w:keepNext w:val="false"/>
        <w:widowControl w:val="false"/>
        <w:tabs>
          <w:tab w:val="clear" w:pos="708"/>
          <w:tab w:val="left" w:pos="567" w:leader="none"/>
        </w:tabs>
        <w:overflowPunct w:val="tru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w:t>
        <w:br/>
        <w:t xml:space="preserve">с использованием своих и / или привлеченных за свой счет сил и средств (материалов, Оборудования, инструмента), </w:t>
      </w:r>
      <w:r>
        <w:rPr>
          <w:b w:val="false"/>
          <w:sz w:val="24"/>
          <w:szCs w:val="24"/>
          <w:shd w:fill="auto" w:val="clear"/>
          <w:lang w:val="ru-RU" w:eastAsia="en-US"/>
        </w:rPr>
        <w:t>Давальческих материалов и запасных частей и Оборудования</w:t>
      </w:r>
      <w:r>
        <w:rPr>
          <w:b w:val="false"/>
          <w:sz w:val="24"/>
          <w:szCs w:val="24"/>
          <w:highlight w:val="lightGray"/>
          <w:lang w:val="ru-RU" w:eastAsia="en-US"/>
        </w:rPr>
        <w:t xml:space="preserve"> </w:t>
      </w:r>
      <w:r>
        <w:rPr>
          <w:b w:val="false"/>
          <w:sz w:val="24"/>
          <w:szCs w:val="24"/>
          <w:shd w:fill="auto" w:val="clear"/>
          <w:lang w:val="ru-RU" w:eastAsia="en-US"/>
        </w:rPr>
        <w:t>Заказчика в с</w:t>
      </w:r>
      <w:r>
        <w:rPr>
          <w:b w:val="false"/>
          <w:sz w:val="24"/>
          <w:szCs w:val="24"/>
          <w:lang w:val="ru-RU" w:eastAsia="en-US"/>
        </w:rPr>
        <w:t>оответствии с условиями Договора, Проектной документацией, Рабочей документацией и Применимым правом работы, в том числе Проектные работы, строительно-монтажные, пусконаладочные и прочие неразрывно связанные с ними работы, поставка Оборудования,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rPr>
      </w:pPr>
      <w:r>
        <w:rPr>
          <w:b/>
          <w:sz w:val="24"/>
          <w:szCs w:val="24"/>
          <w:lang w:eastAsia="en-US"/>
        </w:rPr>
        <w:t xml:space="preserve">«Рабочая документация» – </w:t>
      </w:r>
      <w:r>
        <w:rPr>
          <w:sz w:val="24"/>
          <w:szCs w:val="24"/>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4"/>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сметную документацию, определяющую полную стоимость Работ (кроме Проектных Работ) по Рабочей документации. </w:t>
      </w:r>
    </w:p>
    <w:p>
      <w:pPr>
        <w:pStyle w:val="Normal"/>
        <w:widowControl w:val="false"/>
        <w:tabs>
          <w:tab w:val="clear" w:pos="708"/>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 реконструкции и последующего ввода в эксплуатацию Объекта.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w:t>
        <w:br/>
        <w:t xml:space="preserve">в Гарантийную эксплуатацию по Акту КС-11 либо </w:t>
      </w:r>
      <w:r>
        <w:rPr>
          <w:b w:val="false"/>
          <w:sz w:val="24"/>
          <w:szCs w:val="24"/>
          <w:shd w:fill="auto" w:val="clear"/>
          <w:lang w:val="ru-RU" w:eastAsia="en-US"/>
        </w:rPr>
        <w:t>Акту КС-14</w:t>
      </w:r>
      <w:r>
        <w:rPr>
          <w:sz w:val="24"/>
          <w:szCs w:val="24"/>
          <w:shd w:fill="auto" w:val="clear"/>
        </w:rPr>
        <w:t xml:space="preserve"> </w:t>
      </w:r>
      <w:r>
        <w:rPr>
          <w:b w:val="false"/>
          <w:sz w:val="24"/>
          <w:szCs w:val="24"/>
          <w:shd w:fill="auto" w:val="clear"/>
          <w:lang w:val="ru-RU"/>
        </w:rPr>
        <w:t>(</w:t>
      </w:r>
      <w:r>
        <w:rPr>
          <w:b w:val="false"/>
          <w:sz w:val="24"/>
          <w:szCs w:val="24"/>
          <w:shd w:fill="auto" w:val="clear"/>
          <w:lang w:val="ru-RU" w:eastAsia="en-US"/>
        </w:rPr>
        <w:t xml:space="preserve">в случае необходимости комиссионной приемки Объекта), соответствующий требованиям, изложенным </w:t>
      </w:r>
      <w:r>
        <w:rPr>
          <w:b w:val="false"/>
          <w:sz w:val="24"/>
          <w:szCs w:val="24"/>
          <w:lang w:val="ru-RU" w:eastAsia="en-US"/>
        </w:rPr>
        <w:br/>
        <w:t>в Технических требованиях (Приложение № 1 к Договору) и в Технических заданиях к Договору.</w:t>
      </w:r>
    </w:p>
    <w:p>
      <w:pPr>
        <w:pStyle w:val="Normal"/>
        <w:spacing w:lineRule="auto" w:line="240"/>
        <w:ind w:firstLine="709"/>
        <w:rPr>
          <w:bCs/>
          <w:sz w:val="24"/>
          <w:szCs w:val="24"/>
        </w:rPr>
      </w:pPr>
      <w:r>
        <w:rPr>
          <w:b/>
          <w:sz w:val="24"/>
          <w:szCs w:val="24"/>
          <w:lang w:eastAsia="en-US"/>
        </w:rPr>
        <w:t>«Скрытые работы»</w:t>
      </w:r>
      <w:r>
        <w:rPr>
          <w:sz w:val="24"/>
          <w:szCs w:val="24"/>
          <w:lang w:eastAsia="en-US"/>
        </w:rPr>
        <w:t xml:space="preserve"> – </w:t>
      </w:r>
      <w:r>
        <w:rPr>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Heading3"/>
        <w:keepNext w:val="false"/>
        <w:widowControl w:val="false"/>
        <w:tabs>
          <w:tab w:val="clear" w:pos="708"/>
          <w:tab w:val="left" w:pos="567" w:leader="none"/>
        </w:tabs>
        <w:overflowPunct w:val="true"/>
        <w:spacing w:before="0" w:after="0"/>
        <w:ind w:firstLine="709"/>
        <w:jc w:val="both"/>
        <w:textAlignment w:val="baseline"/>
        <w:rPr>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p>
    <w:p>
      <w:pPr>
        <w:pStyle w:val="Normal"/>
        <w:spacing w:lineRule="auto" w:line="240"/>
        <w:ind w:firstLine="709"/>
        <w:rPr>
          <w:sz w:val="24"/>
          <w:szCs w:val="24"/>
          <w:lang w:val="x-none" w:eastAsia="en-US"/>
        </w:rPr>
      </w:pPr>
      <w:r>
        <w:rPr>
          <w:b/>
          <w:sz w:val="24"/>
          <w:szCs w:val="24"/>
          <w:lang w:eastAsia="en-US"/>
        </w:rPr>
        <w:t xml:space="preserve"> </w:t>
      </w:r>
      <w:r>
        <w:rPr>
          <w:b/>
          <w:sz w:val="24"/>
          <w:szCs w:val="24"/>
          <w:lang w:eastAsia="en-US"/>
        </w:rPr>
        <w:t>«МСП»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расположение площадки указывается в Техническом задании.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«Технические требования»</w:t>
      </w:r>
      <w:r>
        <w:rPr>
          <w:b w:val="false"/>
          <w:sz w:val="24"/>
          <w:szCs w:val="24"/>
          <w:lang w:val="ru-RU" w:eastAsia="en-US"/>
        </w:rPr>
        <w:t xml:space="preserve"> – документ, содержащий общий объем и состав Работ по Договору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подготовленный Заказчиком и содержащий характеристики конкретного Объекта, объем и состав Работ по Объекту, перечень необходимого Оборудования и требования Заказчика к выполнению Подрядчиком Работ по указа</w:t>
      </w:r>
      <w:r>
        <w:rPr>
          <w:b w:val="false"/>
          <w:sz w:val="24"/>
          <w:szCs w:val="24"/>
          <w:shd w:fill="auto" w:val="clear"/>
          <w:lang w:val="ru-RU" w:eastAsia="en-US"/>
        </w:rPr>
        <w:t>нному Объекту.</w:t>
      </w:r>
    </w:p>
    <w:p>
      <w:pPr>
        <w:pStyle w:val="Heading3"/>
        <w:widowControl w:val="false"/>
        <w:tabs>
          <w:tab w:val="clear" w:pos="708"/>
          <w:tab w:val="left" w:pos="567" w:leader="none"/>
        </w:tabs>
        <w:overflowPunct w:val="false"/>
        <w:spacing w:before="0" w:after="0"/>
        <w:ind w:firstLine="708"/>
        <w:jc w:val="both"/>
        <w:textAlignment w:val="baseline"/>
        <w:rPr>
          <w:highlight w:val="none"/>
          <w:shd w:fill="auto" w:val="clear"/>
        </w:rPr>
      </w:pPr>
      <w:r>
        <w:rPr>
          <w:rFonts w:ascii="Liberation Serif" w:hAnsi="Liberation Serif"/>
          <w:b/>
          <w:bCs/>
          <w:sz w:val="24"/>
          <w:szCs w:val="24"/>
          <w:shd w:fill="auto" w:val="clear"/>
          <w:lang w:val="ru-RU" w:eastAsia="en-US"/>
        </w:rPr>
        <w:t xml:space="preserve">«Универсальный передаточный документ (УПД)» </w:t>
      </w:r>
      <w:r>
        <w:rPr>
          <w:rFonts w:ascii="Liberation Serif" w:hAnsi="Liberation Serif"/>
          <w:b w:val="false"/>
          <w:bCs w:val="false"/>
          <w:sz w:val="24"/>
          <w:szCs w:val="24"/>
          <w:shd w:fill="auto" w:val="clear"/>
          <w:lang w:val="ru-RU" w:eastAsia="en-US"/>
        </w:rPr>
        <w:t>– форма докуме</w:t>
      </w:r>
      <w:r>
        <w:rPr>
          <w:rFonts w:ascii="Liberation Serif" w:hAnsi="Liberation Serif"/>
          <w:b w:val="false"/>
          <w:sz w:val="24"/>
          <w:szCs w:val="24"/>
          <w:shd w:fill="auto"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shd w:fill="auto" w:val="clear"/>
          <w:lang w:val="ru-RU" w:eastAsia="en-US"/>
        </w:rPr>
        <w:t xml:space="preserve"> </w:t>
      </w:r>
      <w:r>
        <w:rPr>
          <w:sz w:val="24"/>
          <w:szCs w:val="24"/>
          <w:shd w:fill="auto" w:val="clear"/>
          <w:lang w:val="ru-RU" w:eastAsia="en-US"/>
        </w:rPr>
        <w:t>«Це</w:t>
      </w:r>
      <w:r>
        <w:rPr>
          <w:sz w:val="24"/>
          <w:szCs w:val="24"/>
          <w:lang w:val="ru-RU" w:eastAsia="en-US"/>
        </w:rPr>
        <w:t>на Договора»</w:t>
      </w:r>
      <w:r>
        <w:rPr>
          <w:b w:val="false"/>
          <w:sz w:val="24"/>
          <w:szCs w:val="24"/>
          <w:lang w:val="ru-RU" w:eastAsia="en-US"/>
        </w:rPr>
        <w:t xml:space="preserve"> – сумма, определяемая в соответствии с разделом </w:t>
      </w:r>
      <w:r>
        <w:rPr>
          <w:b w:val="false"/>
          <w:sz w:val="24"/>
          <w:szCs w:val="24"/>
          <w:shd w:fill="FFFFFF" w:val="clear"/>
          <w:lang w:val="ru-RU" w:eastAsia="en-US"/>
        </w:rPr>
        <w:t>3</w:t>
      </w:r>
      <w:r>
        <w:rPr>
          <w:b w:val="false"/>
          <w:sz w:val="24"/>
          <w:szCs w:val="24"/>
          <w:lang w:val="ru-RU" w:eastAsia="en-US"/>
        </w:rPr>
        <w:t xml:space="preserve"> Договора,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tru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w:t>
      </w:r>
      <w:r>
        <w:rPr>
          <w:b w:val="false"/>
          <w:sz w:val="24"/>
          <w:szCs w:val="24"/>
          <w:shd w:fill="FFFFFF" w:val="clear"/>
          <w:lang w:val="ru-RU" w:eastAsia="en-US"/>
        </w:rPr>
        <w:t xml:space="preserve"> 4</w:t>
      </w:r>
      <w:r>
        <w:rPr>
          <w:b w:val="false"/>
          <w:sz w:val="24"/>
          <w:szCs w:val="24"/>
          <w:lang w:val="ru-RU" w:eastAsia="en-US"/>
        </w:rPr>
        <w:t xml:space="preserve">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rPr>
          <w:lang w:val="x-none" w:eastAsia="x-none"/>
        </w:rPr>
      </w:pPr>
      <w:r>
        <w:rPr>
          <w:lang w:val="x-none" w:eastAsia="x-none"/>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bookmarkStart w:id="0" w:name="_Ref361410951"/>
      <w:r>
        <w:rPr>
          <w:bCs/>
          <w:shd w:fill="auto" w:val="clear"/>
        </w:rPr>
        <w:t>П</w:t>
      </w:r>
      <w:r>
        <w:rPr>
          <w:bCs/>
          <w:sz w:val="24"/>
          <w:szCs w:val="24"/>
          <w:shd w:fill="auto" w:val="clear"/>
        </w:rPr>
        <w:t xml:space="preserve">одрядчик обязуется по заданию Заказчика в соответствии с Техническими требованиями (Приложение № 1 к Договору) </w:t>
      </w:r>
      <w:r>
        <w:rPr>
          <w:sz w:val="24"/>
          <w:szCs w:val="24"/>
          <w:shd w:fill="auto" w:val="clear"/>
        </w:rPr>
        <w:t>разработать проектно-сметную документацию и выполнить строительно-монтажные работы по реконструкции (строительству)</w:t>
      </w:r>
      <w:r>
        <w:rPr>
          <w:i w:val="false"/>
          <w:iCs w:val="false"/>
          <w:sz w:val="24"/>
          <w:szCs w:val="24"/>
          <w:shd w:fill="auto" w:val="clear"/>
        </w:rPr>
        <w:t xml:space="preserve"> объектов в рамках выполнения</w:t>
      </w:r>
      <w:bookmarkEnd w:id="0"/>
      <w:r>
        <w:rPr>
          <w:b/>
          <w:bCs/>
          <w:i/>
          <w:iCs/>
          <w:sz w:val="24"/>
          <w:szCs w:val="24"/>
          <w:shd w:fill="auto" w:val="clear"/>
        </w:rPr>
        <w:t xml:space="preserve"> </w:t>
      </w:r>
      <w:r>
        <w:rPr>
          <w:rFonts w:eastAsia="Lucida Sans Unicode" w:cs=""/>
          <w:b/>
          <w:bCs/>
          <w:i/>
          <w:iCs/>
          <w:strike w:val="false"/>
          <w:dstrike w:val="false"/>
          <w:outline w:val="false"/>
          <w:shadow w:val="false"/>
          <w:color w:val="00000A"/>
          <w:kern w:val="0"/>
          <w:sz w:val="24"/>
          <w:szCs w:val="24"/>
          <w:u w:val="none"/>
          <w:shd w:fill="auto" w:val="clear"/>
          <w:em w:val="none"/>
          <w:lang w:val="ru-RU" w:eastAsia="en-US" w:bidi="ar-SA"/>
        </w:rPr>
        <w:t>"</w:t>
      </w:r>
      <w:r>
        <w:rPr>
          <w:rFonts w:eastAsia="Lucida Sans Unicode" w:cs=""/>
          <w:b/>
          <w:bCs/>
          <w:i/>
          <w:iCs/>
          <w:strike w:val="false"/>
          <w:dstrike w:val="false"/>
          <w:outline w:val="false"/>
          <w:shadow w:val="false"/>
          <w:color w:val="00000A"/>
          <w:kern w:val="2"/>
          <w:sz w:val="24"/>
          <w:szCs w:val="24"/>
          <w:u w:val="none"/>
          <w:shd w:fill="auto" w:val="clear"/>
          <w:em w:val="none"/>
          <w:lang w:val="ru-RU" w:eastAsia="en-US" w:bidi="ar-SA"/>
        </w:rPr>
        <w:t>О</w:t>
      </w:r>
      <w:r>
        <w:rPr>
          <w:rFonts w:eastAsia="Times New Roman" w:cs=""/>
          <w:b/>
          <w:bCs/>
          <w:i/>
          <w:iCs/>
          <w:strike w:val="false"/>
          <w:dstrike w:val="false"/>
          <w:outline w:val="false"/>
          <w:shadow w:val="false"/>
          <w:color w:val="00000A"/>
          <w:kern w:val="0"/>
          <w:sz w:val="24"/>
          <w:szCs w:val="24"/>
          <w:u w:val="none"/>
          <w:shd w:fill="auto" w:val="clear"/>
          <w:em w:val="none"/>
          <w:lang w:val="ru-RU" w:eastAsia="ru-RU" w:bidi="ar-SA"/>
        </w:rPr>
        <w:t>КПД2 43.21.10 Мероприятия по подключению новых потребителей для нужд филиала "Хабаровские электрические сети" расположенных на территории СП "ЦЭС",</w:t>
      </w:r>
      <w:r>
        <w:rPr>
          <w:bCs/>
          <w:sz w:val="24"/>
          <w:szCs w:val="24"/>
          <w:shd w:fill="auto" w:val="clear"/>
        </w:rPr>
        <w:t xml:space="preserve">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В состав Работ по Договору входят:</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Обследования, изыскания, разработка Рабочей документации (далее – Проектные работы);</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Подготовка территории строительства;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Строительно-монтажные работы, шеф-монтаж;</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Пусконаладочные работы, шеф-наладка;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Поставка оборудования;</w:t>
      </w:r>
    </w:p>
    <w:p>
      <w:pPr>
        <w:pStyle w:val="ListParagraph"/>
        <w:numPr>
          <w:ilvl w:val="1"/>
          <w:numId w:val="2"/>
        </w:numPr>
        <w:shd w:val="clear" w:color="auto" w:fill="FFFFFF"/>
        <w:tabs>
          <w:tab w:val="clear" w:pos="708"/>
          <w:tab w:val="left" w:pos="1134" w:leader="none"/>
        </w:tabs>
        <w:ind w:left="0" w:firstLine="709"/>
        <w:jc w:val="both"/>
        <w:rPr>
          <w:bCs/>
        </w:rPr>
      </w:pPr>
      <w:r>
        <w:rPr>
          <w:bCs/>
          <w:shd w:fill="auto" w:val="clear"/>
        </w:rPr>
        <w:t xml:space="preserve">Общий объем и состав Работ по Договору определяется Техническим требованием (Приложение № 1 к Договору). </w:t>
      </w:r>
      <w:r>
        <w:rPr>
          <w:shd w:fill="auto" w:val="clear"/>
        </w:rPr>
        <w:t xml:space="preserve">Конкретный объект, перечень и объем работ, выполняемых Подрядчиком, будет установлен сторонами в </w:t>
      </w:r>
      <w:r>
        <w:rPr/>
        <w:t xml:space="preserve">дополнительных соглашениях, которые подписываются на основании Технического задания Заказчика. </w:t>
      </w:r>
      <w:r>
        <w:rPr>
          <w:bCs/>
        </w:rPr>
        <w:t>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Работы по Договору выполняются для нужд филиала  АО "ДРСК" "Хабаровские электрические сети".</w:t>
      </w:r>
    </w:p>
    <w:p>
      <w:pPr>
        <w:pStyle w:val="ListParagraph"/>
        <w:numPr>
          <w:ilvl w:val="1"/>
          <w:numId w:val="2"/>
        </w:numPr>
        <w:shd w:val="clear" w:color="auto" w:fill="FFFFFF"/>
        <w:tabs>
          <w:tab w:val="clear" w:pos="708"/>
          <w:tab w:val="left" w:pos="1134" w:leader="none"/>
        </w:tabs>
        <w:ind w:left="0" w:firstLine="709"/>
        <w:jc w:val="both"/>
        <w:rPr>
          <w:bCs/>
        </w:rPr>
      </w:pPr>
      <w:r>
        <w:rPr>
          <w:bCs/>
        </w:rPr>
        <w:t>Место выполнения Работ</w:t>
      </w:r>
      <w:r>
        <w:rPr>
          <w:bCs/>
          <w:shd w:fill="auto" w:val="clear"/>
        </w:rPr>
        <w:t xml:space="preserve">: </w:t>
      </w:r>
      <w:r>
        <w:rPr>
          <w:b/>
          <w:bCs/>
          <w:shd w:fill="auto" w:val="clear"/>
        </w:rPr>
        <w:t>Хабаровский край.</w:t>
      </w:r>
    </w:p>
    <w:p>
      <w:pPr>
        <w:pStyle w:val="ListParagraph"/>
        <w:numPr>
          <w:ilvl w:val="1"/>
          <w:numId w:val="2"/>
        </w:numPr>
        <w:shd w:val="clear" w:color="auto" w:fill="FFFFFF"/>
        <w:tabs>
          <w:tab w:val="clear" w:pos="708"/>
          <w:tab w:val="left" w:pos="1134" w:leader="none"/>
        </w:tabs>
        <w:ind w:left="0" w:firstLine="709"/>
        <w:jc w:val="both"/>
        <w:rPr>
          <w:bCs/>
        </w:rPr>
      </w:pPr>
      <w:bookmarkStart w:id="1" w:name="_Ref361320424"/>
      <w:bookmarkEnd w:id="1"/>
      <w:r>
        <w:rPr>
          <w:bCs/>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pPr>
      <w:r>
        <w:rPr>
          <w:bCs/>
        </w:rPr>
        <w:t xml:space="preserve">начало выполнения Работ: </w:t>
      </w:r>
      <w:r>
        <w:rPr>
          <w:b/>
          <w:bCs/>
          <w:shd w:fill="auto" w:val="clear"/>
        </w:rPr>
        <w:t xml:space="preserve">с даты, следующей </w:t>
        <w:br/>
        <w:t>за датой заключения Договора</w:t>
      </w:r>
      <w:r>
        <w:rPr/>
        <w:t>;</w:t>
      </w:r>
    </w:p>
    <w:p>
      <w:pPr>
        <w:pStyle w:val="ListParagraph"/>
        <w:numPr>
          <w:ilvl w:val="2"/>
          <w:numId w:val="2"/>
        </w:numPr>
        <w:shd w:val="clear" w:color="auto" w:fill="FFFFFF"/>
        <w:tabs>
          <w:tab w:val="clear" w:pos="708"/>
          <w:tab w:val="left" w:pos="1418" w:leader="none"/>
        </w:tabs>
        <w:ind w:left="0" w:firstLine="709"/>
        <w:jc w:val="both"/>
        <w:rPr/>
      </w:pPr>
      <w:r>
        <w:rPr>
          <w:bCs/>
        </w:rPr>
        <w:t xml:space="preserve">окончание выполнения Работ: </w:t>
      </w:r>
      <w:r>
        <w:rPr>
          <w:b/>
          <w:bCs/>
          <w:shd w:fill="auto" w:val="clear"/>
        </w:rPr>
        <w:t>«31» декабря 2026 г.</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Выполнение Работ осуществляется поэтапно. </w:t>
      </w:r>
      <w:r>
        <w:rPr/>
        <w:t xml:space="preserve">Промежуточные сроки выполнения работ стороны установят в Календарных графиках к дополнительным соглашениям к настоящему Договору, составленных на основании Технического задания Заказчика </w:t>
      </w:r>
      <w:r>
        <w:rPr>
          <w:bCs/>
        </w:rPr>
        <w:t xml:space="preserve">в рамках общих сроков, указанных в пункте 1.6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Сторонами в дополнительных соглашениях к настоящему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Дополнительные с</w:t>
      </w:r>
      <w:r>
        <w:rPr>
          <w:bCs/>
          <w:shd w:fill="auto" w:val="clear"/>
        </w:rPr>
        <w:t xml:space="preserve">оглашения, указанные в п.1.3, 1.7 и 1.8 настоящего договора подписываются Подрядчиком в течение 5 (пяти) календарных дней </w:t>
      </w:r>
      <w:r>
        <w:rPr>
          <w:bCs/>
        </w:rPr>
        <w:t xml:space="preserve">с момента получения оферты дополнительного соглашения от Заказчика. </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t>В целях оформления и подписания дополнительных соглашений, предусмотренных п.1.3, 1.7 и 1.8 договора, своевременно  направлять Подрядчику Технические требования.</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 </w:t>
      </w:r>
      <w:r>
        <w:rPr>
          <w:bCs/>
          <w:sz w:val="24"/>
          <w:szCs w:val="24"/>
        </w:rPr>
        <w:t>В течение двух рабочих дней с момента получения от Подрядчика документов, перечисленных в п.2.3.1 договора, направить Подрядчику на подписание оферту дополнительного соглашения.</w:t>
      </w:r>
    </w:p>
    <w:p>
      <w:pPr>
        <w:pStyle w:val="ListParagraph"/>
        <w:numPr>
          <w:ilvl w:val="2"/>
          <w:numId w:val="2"/>
        </w:numPr>
        <w:shd w:val="clear" w:color="auto" w:fill="FFFFFF"/>
        <w:tabs>
          <w:tab w:val="clear" w:pos="708"/>
          <w:tab w:val="left" w:pos="1418" w:leader="none"/>
        </w:tabs>
        <w:ind w:left="0" w:firstLine="709"/>
        <w:jc w:val="both"/>
        <w:rPr>
          <w:bCs/>
        </w:rPr>
      </w:pPr>
      <w:r>
        <w:rPr>
          <w:bCs/>
        </w:rPr>
        <w:t>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w:t>
      </w:r>
      <w:r>
        <w:rPr>
          <w:bCs/>
          <w:shd w:fill="auto" w:val="clear"/>
        </w:rPr>
        <w:t xml:space="preserve">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bookmarkStart w:id="2" w:name="_Ref361396847"/>
      <w:bookmarkStart w:id="3" w:name="_Ref361320734"/>
      <w:r>
        <w:rPr>
          <w:bCs/>
          <w:shd w:fill="auto" w:val="clear"/>
        </w:rPr>
        <w:t>В течение 3 (трех) рабочих дней с даты подписания сторонами дополнительных соглашений, установленных в п.1.9 настоящего Договора, но не ранее получения соответствующего письменного запроса Подрядчика, передать (предоставить) последнему: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shd w:fill="auto" w:val="clear"/>
        </w:rPr>
        <w:t xml:space="preserve">место производства Работ, место (помещение) для складирования материалов </w:t>
        <w:br/>
        <w:t>и Оборудования по соответствующим актам сдачи-приемки (Приложение № 3.1 к Договору);</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r>
        <w:rPr>
          <w:bCs/>
          <w:shd w:fill="auto" w:val="clear"/>
        </w:rPr>
        <w:t>техническую и иную документацию, указанную в Техническом требовании,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rPr>
          <w:shd w:fill="auto" w:val="clear"/>
        </w:rPr>
        <w:t xml:space="preserve"> </w:t>
      </w:r>
    </w:p>
    <w:p>
      <w:pPr>
        <w:pStyle w:val="ListParagraph"/>
        <w:numPr>
          <w:ilvl w:val="0"/>
          <w:numId w:val="5"/>
        </w:numPr>
        <w:shd w:val="clear" w:color="auto" w:fill="FFFFFF"/>
        <w:tabs>
          <w:tab w:val="clear" w:pos="708"/>
          <w:tab w:val="left" w:pos="709" w:leader="none"/>
          <w:tab w:val="left" w:pos="1418" w:leader="none"/>
        </w:tabs>
        <w:ind w:left="0" w:firstLine="709"/>
        <w:jc w:val="both"/>
        <w:rPr>
          <w:highlight w:val="none"/>
          <w:shd w:fill="auto" w:val="clear"/>
        </w:rPr>
      </w:pPr>
      <w:bookmarkStart w:id="4" w:name="_Ref361401696"/>
      <w:r>
        <w:rPr>
          <w:bCs/>
          <w:shd w:fill="auto" w:val="clear"/>
        </w:rPr>
        <w:t xml:space="preserve">оборудование и инструменты, которые не будут являться составной частью Результата Работ, по Акту сдачи-приемки оборудования и инструментов (Приложение № 3.3 </w:t>
        <w:br/>
        <w:t>к Договору).</w:t>
      </w:r>
      <w:bookmarkEnd w:id="4"/>
      <w:r>
        <w:rPr>
          <w:bCs/>
          <w:shd w:fill="auto" w:val="clear"/>
        </w:rPr>
        <w:t xml:space="preserve"> </w:t>
      </w:r>
      <w:bookmarkEnd w:id="2"/>
      <w:bookmarkEnd w:id="3"/>
      <w:r>
        <w:rPr>
          <w:shd w:fill="auto" w:val="clear"/>
        </w:rPr>
        <w:t xml:space="preserve"> </w:t>
      </w:r>
    </w:p>
    <w:p>
      <w:pPr>
        <w:pStyle w:val="ListParagraph"/>
        <w:numPr>
          <w:ilvl w:val="2"/>
          <w:numId w:val="2"/>
        </w:numPr>
        <w:shd w:val="clear" w:color="auto" w:fill="FFFFFF"/>
        <w:tabs>
          <w:tab w:val="clear" w:pos="708"/>
          <w:tab w:val="left" w:pos="1418" w:leader="none"/>
        </w:tabs>
        <w:ind w:left="0" w:firstLine="709"/>
        <w:jc w:val="both"/>
        <w:rPr/>
      </w:pPr>
      <w:r>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требованием. </w:t>
      </w:r>
    </w:p>
    <w:p>
      <w:pPr>
        <w:pStyle w:val="Normal"/>
        <w:shd w:val="clear" w:color="auto" w:fill="FFFFFF"/>
        <w:tabs>
          <w:tab w:val="clear" w:pos="708"/>
          <w:tab w:val="left" w:pos="1418" w:leader="none"/>
        </w:tabs>
        <w:spacing w:lineRule="auto" w:line="240"/>
        <w:ind w:firstLine="709"/>
        <w:rPr>
          <w:bCs/>
        </w:rPr>
      </w:pPr>
      <w:r>
        <w:rPr>
          <w:sz w:val="24"/>
          <w:szCs w:val="24"/>
        </w:rPr>
        <w:t>Предоставление Заказчиком ресурсов и услуг, указанных в Техническом требовании, осуществляется без дополнительной оплаты в соответствии с Порядком предоставления ресурсов и оказа</w:t>
      </w:r>
      <w:r>
        <w:rPr>
          <w:sz w:val="24"/>
          <w:szCs w:val="24"/>
          <w:shd w:fill="auto" w:val="clear"/>
        </w:rPr>
        <w:t>ния Заказчиком услуг, необходимых для исполнения Подрядчиком обязательств по Договору (Приложение №10 к Договору). Пр</w:t>
      </w:r>
      <w:r>
        <w:rPr>
          <w:sz w:val="24"/>
          <w:szCs w:val="24"/>
        </w:rPr>
        <w:t>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Ознакомить Подрядчика с локальными нормативными актами Заказчика, устанавливающими требования по охране тр</w:t>
      </w:r>
      <w:r>
        <w:rPr>
          <w:bCs/>
          <w:shd w:fill="auto" w:val="clear"/>
        </w:rPr>
        <w:t xml:space="preserve">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0" w:leader="none"/>
          <w:tab w:val="left" w:pos="1418" w:leader="none"/>
        </w:tabs>
        <w:ind w:left="0" w:firstLine="709"/>
        <w:jc w:val="both"/>
        <w:rPr>
          <w:highlight w:val="none"/>
          <w:shd w:fill="auto" w:val="clear"/>
        </w:rPr>
      </w:pPr>
      <w:r>
        <w:rPr>
          <w:shd w:fill="auto" w:val="clear"/>
        </w:rPr>
        <w:t>Предоставить Подрядчику в порядке, установленном Приложением № 8</w:t>
        <w:br/>
        <w:t>к Договору, необходимые Давальческие материалы и запасные части, перечень которых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Предоставить Подрядчику в порядке, установленном Приложением № 9 к Договору, необходимое Оборудование Заказчика, перечень которого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709" w:leader="none"/>
        </w:tabs>
        <w:ind w:left="0" w:firstLine="709"/>
        <w:jc w:val="both"/>
        <w:rPr>
          <w:bCs/>
        </w:rPr>
      </w:pPr>
      <w:r>
        <w:rPr>
          <w:bCs/>
        </w:rPr>
        <w:t xml:space="preserve">Принять и оплатить выполненные Подрядчиком Работы на условиях, по цене </w:t>
        <w:br/>
        <w:t>и в сроки, предусмотренные Договором.</w:t>
      </w:r>
    </w:p>
    <w:p>
      <w:pPr>
        <w:pStyle w:val="ListParagraph"/>
        <w:numPr>
          <w:ilvl w:val="2"/>
          <w:numId w:val="2"/>
        </w:numPr>
        <w:tabs>
          <w:tab w:val="clear" w:pos="708"/>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2"/>
        </w:numPr>
        <w:shd w:val="clear" w:color="auto" w:fill="FFFFFF"/>
        <w:tabs>
          <w:tab w:val="clear" w:pos="708"/>
          <w:tab w:val="left" w:pos="709" w:leader="none"/>
        </w:tabs>
        <w:ind w:left="0" w:firstLine="709"/>
        <w:jc w:val="both"/>
        <w:rPr/>
      </w:pPr>
      <w:r>
        <w:rPr/>
        <w:t xml:space="preserve">Не позднее 2 рабочих дней с момента получения от Подрядчика уведомления, указанного в пункте 2.3.10.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ListParagraph"/>
        <w:numPr>
          <w:ilvl w:val="2"/>
          <w:numId w:val="2"/>
        </w:numPr>
        <w:shd w:val="clear" w:color="auto" w:fill="FFFFFF"/>
        <w:tabs>
          <w:tab w:val="clear" w:pos="708"/>
          <w:tab w:val="left" w:pos="709" w:leader="none"/>
        </w:tabs>
        <w:ind w:left="0" w:firstLine="709"/>
        <w:jc w:val="both"/>
        <w:rPr/>
      </w:pPr>
      <w:r>
        <w:rPr>
          <w:rFonts w:ascii="Liberation Serif" w:hAnsi="Liberation Serif"/>
          <w:bCs/>
          <w:sz w:val="24"/>
          <w:szCs w:val="24"/>
          <w:shd w:fill="auto" w:val="clear"/>
        </w:rPr>
        <w:t xml:space="preserve">Рассмотреть и подписать полученную от Подрядчика оферту дополнительного соглашения о корректировке Календарного графика, подготовленную Подрядчиком в соответствии с п.2.3.40 Договора, </w:t>
      </w:r>
      <w:r>
        <w:rPr>
          <w:rFonts w:ascii="Liberation Serif" w:hAnsi="Liberation Serif"/>
          <w:bCs/>
          <w:sz w:val="24"/>
          <w:szCs w:val="24"/>
        </w:rPr>
        <w:t>в течение 30 (тридцати) календарных дней с момента получения оферты от Подрядчика.</w:t>
      </w:r>
    </w:p>
    <w:p>
      <w:pPr>
        <w:pStyle w:val="ListParagraph"/>
        <w:numPr>
          <w:ilvl w:val="2"/>
          <w:numId w:val="2"/>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Подрядчиком </w:t>
        <w:br/>
        <w:t xml:space="preserve">и Субподрядчиками по Договору Работ, соблюдением сроков и качеством их выполнения, </w:t>
        <w:br/>
        <w:t>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условий Технических требований,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Технические требования (Приложение №1)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Normal"/>
        <w:shd w:val="clear" w:color="auto" w:fill="FFFFFF"/>
        <w:tabs>
          <w:tab w:val="clear" w:pos="708"/>
          <w:tab w:val="left" w:pos="567" w:leader="none"/>
          <w:tab w:val="left" w:pos="1418" w:leader="none"/>
        </w:tabs>
        <w:spacing w:lineRule="auto" w:line="240"/>
        <w:ind w:firstLine="851"/>
        <w:rPr>
          <w:bCs/>
          <w:sz w:val="24"/>
        </w:rPr>
      </w:pPr>
      <w:r>
        <w:rPr>
          <w:bCs/>
          <w:sz w:val="24"/>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numPr>
          <w:ilvl w:val="2"/>
          <w:numId w:val="2"/>
        </w:numPr>
        <w:shd w:val="clear" w:color="auto" w:fill="FFFFFF"/>
        <w:tabs>
          <w:tab w:val="clear" w:pos="708"/>
          <w:tab w:val="left" w:pos="567" w:leader="none"/>
          <w:tab w:val="left" w:pos="1418" w:leader="none"/>
        </w:tabs>
        <w:ind w:left="0" w:firstLine="709"/>
        <w:jc w:val="both"/>
        <w:rPr>
          <w:bCs/>
        </w:rPr>
      </w:pPr>
      <w:r>
        <w:rPr>
          <w:bCs/>
          <w:shd w:fill="auto" w:val="clear"/>
        </w:rPr>
        <w:t>В случае нарушения Подрядчиком п.2.3.10 настоящего до</w:t>
      </w:r>
      <w:r>
        <w:rPr>
          <w:bCs/>
        </w:rPr>
        <w:t>говора Заказчик имеет право:</w:t>
      </w:r>
    </w:p>
    <w:p>
      <w:pPr>
        <w:pStyle w:val="Normal"/>
        <w:spacing w:lineRule="auto" w:line="240"/>
        <w:rPr>
          <w:bCs/>
          <w:sz w:val="24"/>
          <w:szCs w:val="24"/>
        </w:rPr>
      </w:pPr>
      <w:r>
        <w:rPr>
          <w:bCs/>
          <w:sz w:val="24"/>
          <w:szCs w:val="24"/>
        </w:rPr>
        <w:t>-о</w:t>
      </w:r>
      <w:r>
        <w:rPr>
          <w:sz w:val="24"/>
          <w:szCs w:val="24"/>
        </w:rPr>
        <w:t xml:space="preserve">тказать в допуске к работам </w:t>
      </w:r>
      <w:r>
        <w:rPr>
          <w:bCs/>
          <w:sz w:val="24"/>
          <w:szCs w:val="24"/>
        </w:rPr>
        <w:t>работников Подрядчика и / или привлеченных им Субподрядчиков до момента исполнени</w:t>
      </w:r>
      <w:r>
        <w:rPr>
          <w:bCs/>
          <w:sz w:val="24"/>
          <w:szCs w:val="24"/>
          <w:shd w:fill="auto" w:val="clear"/>
        </w:rPr>
        <w:t>я Подрядчиком всех обязанностей, предусмотренных п. 2.3.10 договора,</w:t>
      </w:r>
    </w:p>
    <w:p>
      <w:pPr>
        <w:pStyle w:val="Normal"/>
        <w:spacing w:lineRule="auto" w:line="240"/>
        <w:rPr>
          <w:highlight w:val="none"/>
          <w:shd w:fill="auto" w:val="clear"/>
        </w:rPr>
      </w:pPr>
      <w:r>
        <w:rPr>
          <w:bCs/>
          <w:sz w:val="24"/>
          <w:szCs w:val="24"/>
          <w:shd w:fill="auto" w:val="clear"/>
        </w:rPr>
        <w:t>либо</w:t>
      </w:r>
    </w:p>
    <w:p>
      <w:pPr>
        <w:pStyle w:val="Normal"/>
        <w:spacing w:lineRule="auto" w:line="240"/>
        <w:rPr>
          <w:sz w:val="24"/>
          <w:szCs w:val="24"/>
        </w:rPr>
      </w:pPr>
      <w:r>
        <w:rPr>
          <w:bCs/>
          <w:sz w:val="24"/>
          <w:szCs w:val="24"/>
          <w:shd w:fill="auto" w:val="clear"/>
        </w:rPr>
        <w:t>- допустить работников Подрядчика к работам в соответствии с п.2.1.10</w:t>
      </w:r>
      <w:r>
        <w:rPr>
          <w:sz w:val="24"/>
          <w:szCs w:val="24"/>
          <w:shd w:fill="auto" w:val="clear"/>
        </w:rPr>
        <w:t xml:space="preserve"> и предъявить Подрядчику требование об уплате штрафа в размере 20%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вычета суммы</w:t>
      </w:r>
      <w:r>
        <w:rPr>
          <w:sz w:val="24"/>
          <w:szCs w:val="24"/>
        </w:rPr>
        <w:t xml:space="preserve"> штрафа из  стоимости фактически выполненных Подрядчиком и принятых Заказчиком работ.</w:t>
      </w:r>
    </w:p>
    <w:p>
      <w:pPr>
        <w:pStyle w:val="ListParagraph"/>
        <w:shd w:val="clear" w:color="auto" w:fill="FFFFFF"/>
        <w:tabs>
          <w:tab w:val="clear" w:pos="708"/>
          <w:tab w:val="left" w:pos="567" w:leader="none"/>
        </w:tabs>
        <w:ind w:left="0" w:firstLine="567"/>
        <w:jc w:val="both"/>
        <w:rPr>
          <w:b/>
          <w:bCs/>
          <w:color w:val="000000"/>
        </w:rPr>
      </w:pPr>
      <w:r>
        <w:rPr>
          <w:b/>
          <w:bCs/>
          <w:color w:val="000000"/>
        </w:rPr>
        <w:t xml:space="preserve">2.2.10. </w:t>
      </w:r>
      <w:r>
        <w:rPr>
          <w:b w:val="false"/>
          <w:bCs w:val="false"/>
          <w:i w:val="false"/>
          <w:iCs w:val="false"/>
          <w:color w:val="000000"/>
          <w:sz w:val="24"/>
          <w:szCs w:val="24"/>
          <w:shd w:fill="auto" w:val="clear"/>
        </w:rPr>
        <w:t>В любое время т</w:t>
      </w:r>
      <w:r>
        <w:rPr>
          <w:b w:val="false"/>
          <w:bCs/>
          <w:i w:val="false"/>
          <w:iCs w:val="false"/>
          <w:color w:val="000000"/>
          <w:sz w:val="24"/>
          <w:szCs w:val="24"/>
          <w:shd w:fill="auto" w:val="clear"/>
        </w:rPr>
        <w:t xml:space="preserve">ребовать от Подрядчика представления информации о наличии </w:t>
      </w:r>
      <w:r>
        <w:rPr>
          <w:b w:val="false"/>
          <w:bCs w:val="false"/>
          <w:i w:val="false"/>
          <w:iC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color w:val="000000"/>
          <w:sz w:val="24"/>
          <w:szCs w:val="24"/>
          <w:shd w:fill="auto" w:val="clear"/>
        </w:rPr>
        <w:t>.</w:t>
      </w:r>
    </w:p>
    <w:p>
      <w:pPr>
        <w:pStyle w:val="ListParagraph"/>
        <w:numPr>
          <w:ilvl w:val="1"/>
          <w:numId w:val="2"/>
        </w:numPr>
        <w:shd w:val="clear" w:color="auto" w:fill="FFFFFF"/>
        <w:tabs>
          <w:tab w:val="clear" w:pos="708"/>
          <w:tab w:val="left" w:pos="1134" w:leader="none"/>
        </w:tabs>
        <w:ind w:left="0" w:firstLine="567"/>
        <w:jc w:val="both"/>
        <w:rPr>
          <w:bCs/>
        </w:rPr>
      </w:pPr>
      <w:r>
        <w:rPr>
          <w:bCs/>
          <w:u w:val="single"/>
        </w:rPr>
        <w:t>Подрядчик обязан</w:t>
      </w:r>
      <w:r>
        <w:rPr>
          <w:bCs/>
        </w:rPr>
        <w:t>:</w:t>
      </w:r>
    </w:p>
    <w:p>
      <w:pPr>
        <w:pStyle w:val="ListParagraph"/>
        <w:numPr>
          <w:ilvl w:val="2"/>
          <w:numId w:val="2"/>
        </w:numPr>
        <w:shd w:val="clear" w:color="auto" w:fill="FFFFFF"/>
        <w:tabs>
          <w:tab w:val="clear" w:pos="708"/>
          <w:tab w:val="left" w:pos="1418" w:leader="none"/>
        </w:tabs>
        <w:ind w:left="0" w:firstLine="567"/>
        <w:jc w:val="both"/>
        <w:rPr>
          <w:bCs/>
        </w:rPr>
      </w:pPr>
      <w:r>
        <w:rPr>
          <w:bCs/>
        </w:rPr>
        <w:t xml:space="preserve">Выполнить Работы в объеме, сроки и с качеством, соответствующим требованиям </w:t>
      </w:r>
      <w:r>
        <w:rPr>
          <w:bCs/>
          <w:shd w:fill="auto" w:val="clear"/>
        </w:rPr>
        <w:t>Договора и Применимого права</w:t>
      </w:r>
      <w:r>
        <w:rPr>
          <w:shd w:fill="auto" w:val="clear"/>
        </w:rPr>
        <w:t xml:space="preserve"> </w:t>
      </w:r>
      <w:r>
        <w:rPr>
          <w:bCs/>
          <w:shd w:fill="auto" w:val="clear"/>
        </w:rPr>
        <w:t>и сдать их результат Заказчику.</w:t>
      </w:r>
    </w:p>
    <w:p>
      <w:pPr>
        <w:pStyle w:val="Normal"/>
        <w:widowControl w:val="false"/>
        <w:shd w:val="clear" w:color="auto" w:fill="FFFFFF"/>
        <w:tabs>
          <w:tab w:val="clear" w:pos="708"/>
          <w:tab w:val="left" w:pos="1276" w:leader="none"/>
          <w:tab w:val="left" w:pos="1418" w:leader="none"/>
        </w:tabs>
        <w:spacing w:lineRule="auto" w:line="240"/>
        <w:rPr>
          <w:highlight w:val="none"/>
          <w:shd w:fill="FFFF00" w:val="clear"/>
        </w:rPr>
      </w:pPr>
      <w:r>
        <w:rPr>
          <w:sz w:val="24"/>
          <w:szCs w:val="24"/>
          <w:shd w:fill="auto" w:val="clear"/>
        </w:rPr>
        <w:t>В течение 5 (пяти) рабочих дней с момента получения от Заказчика Технического требования (п.2.1.1 договора), Подрядчик обязан передать Заказчику для подготовки дополнительного соглашения (п.1.3. 1.7, 1.8 договора) Сводную таблицу стоимости работ с приложением локальных смет на выполнение объема</w:t>
      </w:r>
      <w:r>
        <w:rPr>
          <w:color w:val="000000" w:themeColor="text1"/>
          <w:sz w:val="24"/>
          <w:szCs w:val="24"/>
          <w:shd w:fill="auto" w:val="clear"/>
        </w:rPr>
        <w:t xml:space="preserve"> работ, указанного в Техническом требовании</w:t>
      </w:r>
      <w:r>
        <w:rPr>
          <w:sz w:val="24"/>
          <w:szCs w:val="24"/>
          <w:shd w:fill="auto" w:val="clear"/>
        </w:rPr>
        <w:t>.</w:t>
      </w:r>
    </w:p>
    <w:p>
      <w:pPr>
        <w:pStyle w:val="Normal"/>
        <w:widowControl w:val="false"/>
        <w:shd w:val="clear" w:color="auto" w:fill="FFFFFF"/>
        <w:tabs>
          <w:tab w:val="clear" w:pos="708"/>
          <w:tab w:val="left" w:pos="1276" w:leader="none"/>
          <w:tab w:val="left" w:pos="1418" w:leader="none"/>
        </w:tabs>
        <w:spacing w:lineRule="auto" w:line="240"/>
        <w:rPr>
          <w:highlight w:val="none"/>
          <w:shd w:fill="auto" w:val="clear"/>
        </w:rPr>
      </w:pPr>
      <w:r>
        <w:rPr>
          <w:bCs/>
          <w:sz w:val="24"/>
          <w:szCs w:val="24"/>
          <w:shd w:fill="auto" w:val="clear"/>
        </w:rPr>
        <w:t>В сроки, установленные п. 1.9 договора, Подрядчик обязан</w:t>
      </w:r>
      <w:r>
        <w:rPr>
          <w:sz w:val="24"/>
          <w:szCs w:val="24"/>
          <w:shd w:fill="auto" w:val="clear"/>
        </w:rPr>
        <w:t xml:space="preserve"> подписать оферту дополнительного соглашения и передать ее Заказчику.</w:t>
      </w:r>
    </w:p>
    <w:p>
      <w:pPr>
        <w:pStyle w:val="ListParagraph"/>
        <w:numPr>
          <w:ilvl w:val="2"/>
          <w:numId w:val="2"/>
        </w:numPr>
        <w:shd w:val="clear" w:color="auto" w:fill="FFFFFF"/>
        <w:tabs>
          <w:tab w:val="clear" w:pos="708"/>
          <w:tab w:val="left" w:pos="1418" w:leader="none"/>
        </w:tabs>
        <w:ind w:left="0" w:firstLine="567"/>
        <w:jc w:val="both"/>
        <w:rPr>
          <w:bCs/>
        </w:rPr>
      </w:pPr>
      <w:r>
        <w:rPr>
          <w:bCs/>
          <w:shd w:fill="auto" w:val="clear"/>
        </w:rPr>
        <w:t>В срок, указанный в пункте 2.1.2 Договора, принять от Заказчика на время</w:t>
      </w:r>
      <w:r>
        <w:rPr>
          <w:bCs/>
        </w:rPr>
        <w:t xml:space="preserve"> выполнения Работ по Договору: </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bCs/>
          <w:shd w:fill="auto" w:val="clear"/>
        </w:rPr>
        <w:t>место производства Работ,</w:t>
      </w:r>
      <w:r>
        <w:rPr>
          <w:bCs/>
          <w:color w:val="FF0000"/>
          <w:shd w:fill="auto" w:val="clear"/>
        </w:rPr>
        <w:t xml:space="preserve"> </w:t>
      </w:r>
      <w:r>
        <w:rPr>
          <w:bCs/>
          <w:shd w:fill="auto" w:val="clear"/>
        </w:rPr>
        <w:t xml:space="preserve">место (помещение) для складирования материалов </w:t>
        <w:br/>
        <w:t>и Оборудования по соответствующим актам сдачи-приемки (Приложение № 3.1 к Договору);</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bCs/>
          <w:shd w:fill="auto" w:val="clear"/>
        </w:rPr>
        <w:t xml:space="preserve">техническую и иную документацию, указанную в Техническом задании по Акту сдачи-приемки технической и иной документации (Приложение № 3.2 к Договору); </w:t>
      </w:r>
    </w:p>
    <w:p>
      <w:pPr>
        <w:pStyle w:val="ListParagraph"/>
        <w:numPr>
          <w:ilvl w:val="0"/>
          <w:numId w:val="15"/>
        </w:numPr>
        <w:shd w:val="clear" w:color="auto" w:fill="FFFFFF"/>
        <w:tabs>
          <w:tab w:val="clear" w:pos="708"/>
          <w:tab w:val="left" w:pos="1418" w:leader="none"/>
        </w:tabs>
        <w:ind w:left="0" w:firstLine="709"/>
        <w:jc w:val="both"/>
        <w:rPr>
          <w:highlight w:val="none"/>
          <w:shd w:fill="auto" w:val="clear"/>
        </w:rPr>
      </w:pPr>
      <w:r>
        <w:rPr>
          <w:shd w:fill="auto" w:val="clear"/>
        </w:rPr>
        <w:t xml:space="preserve">оборудование и инструменты, которые не будут являться составной частью Результата работ, по Акту сдачи-приемки </w:t>
      </w:r>
      <w:r>
        <w:rPr>
          <w:bCs/>
          <w:shd w:fill="auto" w:val="clear"/>
        </w:rPr>
        <w:t xml:space="preserve">оборудования и инструментов </w:t>
      </w:r>
      <w:r>
        <w:rPr>
          <w:shd w:fill="auto" w:val="clear"/>
        </w:rPr>
        <w:t xml:space="preserve">(Приложение № 3.3 </w:t>
        <w:br/>
        <w:t>к Договору)</w:t>
      </w:r>
      <w:r>
        <w:rPr>
          <w:bCs/>
          <w:shd w:fill="auto" w:val="clear"/>
        </w:rPr>
        <w:t>.</w:t>
      </w:r>
    </w:p>
    <w:p>
      <w:pPr>
        <w:pStyle w:val="ListParagraph"/>
        <w:numPr>
          <w:ilvl w:val="2"/>
          <w:numId w:val="2"/>
        </w:numPr>
        <w:shd w:val="clear" w:color="auto" w:fill="FFFFFF"/>
        <w:tabs>
          <w:tab w:val="clear" w:pos="708"/>
          <w:tab w:val="left" w:pos="1418" w:leader="none"/>
        </w:tabs>
        <w:ind w:left="0" w:firstLine="567"/>
        <w:jc w:val="both"/>
        <w:rPr>
          <w:highlight w:val="none"/>
          <w:shd w:fill="auto" w:val="clear"/>
        </w:rPr>
      </w:pPr>
      <w:r>
        <w:rPr>
          <w:bCs/>
          <w:shd w:fill="auto" w:val="clear"/>
        </w:rPr>
        <w:t>При приемке места производства Работ, места (помещения) для складирования материалов и Оборудования, а также оборудования и инструмента,</w:t>
      </w:r>
      <w:r>
        <w:rPr>
          <w:shd w:fill="auto" w:val="clear"/>
        </w:rPr>
        <w:t xml:space="preserve"> которые не будут являться составной частью Результата работ,</w:t>
      </w:r>
      <w:r>
        <w:rPr>
          <w:bCs/>
          <w:shd w:fill="auto"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или достижение Объектом Гарантированных показателей. </w:t>
      </w:r>
    </w:p>
    <w:p>
      <w:pPr>
        <w:pStyle w:val="ListParagraph"/>
        <w:shd w:val="clear" w:color="auto" w:fill="FFFFFF"/>
        <w:tabs>
          <w:tab w:val="clear" w:pos="708"/>
          <w:tab w:val="left" w:pos="1418" w:leader="none"/>
        </w:tabs>
        <w:ind w:left="0" w:firstLine="567"/>
        <w:jc w:val="both"/>
        <w:rPr>
          <w:highlight w:val="none"/>
          <w:shd w:fill="auto" w:val="clear"/>
        </w:rPr>
      </w:pPr>
      <w:r>
        <w:rPr>
          <w:bCs/>
          <w:shd w:fill="auto"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2"/>
        </w:numPr>
        <w:shd w:val="clear" w:color="auto" w:fill="FFFFFF"/>
        <w:tabs>
          <w:tab w:val="clear" w:pos="708"/>
          <w:tab w:val="left" w:pos="1418" w:leader="none"/>
        </w:tabs>
        <w:ind w:left="0" w:firstLine="567"/>
        <w:jc w:val="both"/>
        <w:rPr>
          <w:bCs/>
        </w:rPr>
      </w:pPr>
      <w:r>
        <w:rPr>
          <w:bCs/>
          <w:shd w:fill="auto" w:val="clear"/>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w:t>
      </w:r>
      <w:r>
        <w:rPr>
          <w:bCs/>
        </w:rPr>
        <w:t xml:space="preserve"> иной документации и лишает Подрядчика права ссылаться на недостатки данной документации в дальнейшем.</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2.1.4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2"/>
        </w:numPr>
        <w:shd w:val="clear" w:color="auto" w:fill="FFFFFF"/>
        <w:tabs>
          <w:tab w:val="clear" w:pos="708"/>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1"/>
        </w:numPr>
        <w:shd w:val="clear" w:color="auto" w:fill="FFFFFF"/>
        <w:tabs>
          <w:tab w:val="clear" w:pos="708"/>
          <w:tab w:val="left" w:pos="993" w:leader="none"/>
        </w:tabs>
        <w:ind w:left="0" w:firstLine="709"/>
        <w:jc w:val="both"/>
        <w:rPr>
          <w:bCs/>
        </w:rPr>
      </w:pPr>
      <w:r>
        <w:rPr>
          <w:bCs/>
        </w:rPr>
        <w:t xml:space="preserve">контакты и должность представителей 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shd w:val="clear" w:color="auto" w:fill="FFFFFF"/>
        <w:tabs>
          <w:tab w:val="clear" w:pos="708"/>
          <w:tab w:val="left" w:pos="709" w:leader="none"/>
          <w:tab w:val="left" w:pos="993" w:leader="none"/>
        </w:tabs>
        <w:ind w:left="0" w:firstLine="709"/>
        <w:jc w:val="both"/>
        <w:rPr>
          <w:bCs/>
        </w:rPr>
      </w:pPr>
      <w:r>
        <w:rPr>
          <w:bCs/>
        </w:rPr>
        <w:t xml:space="preserve">контакты и должность представителя 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keepNext w:val="true"/>
        <w:keepLines/>
        <w:numPr>
          <w:ilvl w:val="0"/>
          <w:numId w:val="11"/>
        </w:numPr>
        <w:shd w:val="clear" w:color="auto" w:fill="FFFFFF"/>
        <w:tabs>
          <w:tab w:val="clear" w:pos="708"/>
          <w:tab w:val="left" w:pos="851" w:leader="none"/>
          <w:tab w:val="left" w:pos="993" w:leader="none"/>
          <w:tab w:val="left" w:pos="1069" w:leader="none"/>
        </w:tabs>
        <w:ind w:left="0" w:firstLine="709"/>
        <w:jc w:val="both"/>
        <w:rPr/>
      </w:pPr>
      <w:r>
        <w:rPr>
          <w:bCs/>
        </w:rPr>
        <w:t>контакты и должность представителей Подрядчика, ответственных за пожарную безопасность по</w:t>
      </w:r>
      <w:r>
        <w:rPr>
          <w:bCs/>
          <w:shd w:fill="auto" w:val="clear"/>
        </w:rPr>
        <w:t xml:space="preserve">мещений, переданных Заказчиком Подрядчику по </w:t>
      </w:r>
      <w:r>
        <w:rPr>
          <w:shd w:fill="auto" w:val="clear"/>
        </w:rPr>
        <w:t xml:space="preserve">соответствующим актам сдачи-приемки (Приложение № 3.1 </w:t>
      </w:r>
      <w:r>
        <w:rPr/>
        <w:t>к Договору) в соответствии с пунктами 2.1.2 и 2.1.3 Договора;</w:t>
      </w:r>
    </w:p>
    <w:p>
      <w:pPr>
        <w:pStyle w:val="ListParagraph"/>
        <w:numPr>
          <w:ilvl w:val="0"/>
          <w:numId w:val="11"/>
        </w:numPr>
        <w:shd w:val="clear" w:color="auto" w:fill="FFFFFF"/>
        <w:tabs>
          <w:tab w:val="clear" w:pos="708"/>
          <w:tab w:val="left" w:pos="709" w:leader="none"/>
          <w:tab w:val="left" w:pos="993" w:leader="none"/>
        </w:tabs>
        <w:ind w:left="0" w:firstLine="709"/>
        <w:jc w:val="both"/>
        <w:rPr>
          <w:bCs/>
        </w:rPr>
      </w:pPr>
      <w:r>
        <w:rPr>
          <w:bCs/>
        </w:rPr>
        <w:t>контакты и должность, реквизиты доверенностей</w:t>
      </w:r>
      <w:r>
        <w:rPr/>
        <w:t xml:space="preserve"> </w:t>
      </w:r>
      <w:r>
        <w:rPr>
          <w:bCs/>
        </w:rPr>
        <w:t>представителей Подрядчика, уполномоченных на совершение действий, предусмотренных пунктом 2.4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w:t>
      </w:r>
      <w:r>
        <w:rPr>
          <w:bCs/>
          <w:shd w:fill="auto" w:val="clear"/>
        </w:rPr>
        <w:t xml:space="preserve">оборудования </w:t>
        <w:br/>
        <w:t>и инструмента, а также возврат их Заказчику в первоначальном состоянии с учетом естественного износа не позднее даты окончания выполнения Работ, указанного в Техническом</w:t>
      </w:r>
      <w:r>
        <w:rPr>
          <w:bCs/>
        </w:rPr>
        <w:t xml:space="preserve"> требовании с учетом сроков, установленных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в том числе указанных в </w:t>
      </w:r>
      <w:r>
        <w:rPr>
          <w:bCs/>
          <w:shd w:fill="auto" w:val="clear"/>
        </w:rPr>
        <w:t>Приложении № 4 к Договору</w:t>
      </w:r>
      <w:r>
        <w:rPr>
          <w:shd w:fill="auto" w:val="clear"/>
        </w:rPr>
        <w:t xml:space="preserve">, а также </w:t>
      </w:r>
      <w:r>
        <w:rPr/>
        <w:t xml:space="preserve">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Обеспечить:</w:t>
      </w:r>
    </w:p>
    <w:p>
      <w:pPr>
        <w:pStyle w:val="ListParagraph"/>
        <w:numPr>
          <w:ilvl w:val="0"/>
          <w:numId w:val="12"/>
        </w:numPr>
        <w:shd w:val="clear" w:color="auto" w:fill="FFFFFF"/>
        <w:tabs>
          <w:tab w:val="clear" w:pos="708"/>
          <w:tab w:val="left" w:pos="567" w:leader="none"/>
        </w:tabs>
        <w:ind w:left="0" w:firstLine="709"/>
        <w:jc w:val="both"/>
        <w:rPr>
          <w:highlight w:val="none"/>
          <w:shd w:fill="auto" w:val="clear"/>
        </w:rPr>
      </w:pPr>
      <w:r>
        <w:rPr>
          <w:bCs/>
          <w:shd w:fill="auto" w:val="clear"/>
        </w:rPr>
        <w:t xml:space="preserve">участие в саморегулируемой организации, основанной на членстве лиц, </w:t>
      </w:r>
      <w:r>
        <w:rPr>
          <w:shd w:fill="auto" w:val="clear"/>
        </w:rPr>
        <w:t xml:space="preserve">выполняющих инженерные изыскания / подготовку проектной документации или / осуществляющих строительство </w:t>
      </w:r>
      <w:r>
        <w:rPr>
          <w:bCs/>
          <w:shd w:fill="auto" w:val="clear"/>
        </w:rPr>
        <w:t>(с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 xml:space="preserve">соответствие уровня имущественной ответственности Подрядчика </w:t>
        <w:br/>
        <w:t>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s>
        <w:ind w:left="0" w:firstLine="709"/>
        <w:jc w:val="both"/>
        <w:rPr>
          <w:bCs/>
        </w:rPr>
      </w:pPr>
      <w:r>
        <w:rPr>
          <w:bCs/>
        </w:rPr>
        <w:t xml:space="preserve">организацию выполнения Работ по Договору лицом (лицами), сведения </w:t>
        <w:br/>
      </w:r>
      <w:r>
        <w:rPr>
          <w:bCs/>
          <w:shd w:fill="auto" w:val="clear"/>
        </w:rPr>
        <w:t>о которых включены в 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p>
    <w:p>
      <w:pPr>
        <w:pStyle w:val="ListParagraph"/>
        <w:numPr>
          <w:ilvl w:val="2"/>
          <w:numId w:val="2"/>
        </w:numPr>
        <w:shd w:val="clear" w:color="auto" w:fill="FFFFFF"/>
        <w:tabs>
          <w:tab w:val="clear" w:pos="708"/>
          <w:tab w:val="left" w:pos="1418" w:leader="none"/>
        </w:tabs>
        <w:ind w:left="0" w:firstLine="710"/>
        <w:jc w:val="both"/>
        <w:rPr>
          <w:bCs/>
        </w:rPr>
      </w:pPr>
      <w:r>
        <w:rPr/>
        <w:t>Выполнять</w:t>
      </w:r>
      <w:r>
        <w:rPr>
          <w:bCs/>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Normal"/>
        <w:shd w:val="clear" w:color="auto" w:fill="FFFFFF"/>
        <w:tabs>
          <w:tab w:val="clear" w:pos="708"/>
          <w:tab w:val="left" w:pos="709" w:leader="none"/>
          <w:tab w:val="left" w:pos="1418" w:leader="none"/>
        </w:tabs>
        <w:spacing w:lineRule="auto" w:line="240"/>
        <w:ind w:firstLine="709"/>
        <w:rPr>
          <w:bCs/>
          <w:sz w:val="24"/>
        </w:rPr>
      </w:pPr>
      <w:r>
        <w:rPr>
          <w:bCs/>
          <w:sz w:val="24"/>
          <w:szCs w:val="23"/>
          <w:u w:val="none"/>
          <w:lang w:val="ru-RU" w:bidi="ar-SA"/>
        </w:rPr>
        <w:t>Не более чем за</w:t>
      </w:r>
      <w:r>
        <w:rPr>
          <w:bCs/>
          <w:sz w:val="24"/>
          <w:szCs w:val="23"/>
          <w:u w:val="none"/>
          <w:shd w:fill="auto" w:val="clear"/>
          <w:lang w:val="ru-RU" w:bidi="ar-SA"/>
        </w:rPr>
        <w:t xml:space="preserve"> </w:t>
      </w:r>
      <w:r>
        <w:rPr>
          <w:b/>
          <w:bCs/>
          <w:sz w:val="24"/>
          <w:szCs w:val="23"/>
          <w:u w:val="none"/>
          <w:shd w:fill="auto" w:val="clear"/>
          <w:lang w:val="ru-RU" w:bidi="ar-SA"/>
        </w:rPr>
        <w:t>3 рабочих</w:t>
      </w:r>
      <w:r>
        <w:rPr>
          <w:b/>
          <w:bCs/>
          <w:sz w:val="24"/>
          <w:szCs w:val="23"/>
          <w:u w:val="none"/>
          <w:lang w:val="ru-RU" w:bidi="ar-SA"/>
        </w:rPr>
        <w:t xml:space="preserve"> дня</w:t>
      </w:r>
      <w:r>
        <w:rPr>
          <w:bCs/>
          <w:sz w:val="24"/>
          <w:szCs w:val="23"/>
          <w:u w:val="none"/>
          <w:lang w:val="ru-RU" w:bidi="ar-SA"/>
        </w:rPr>
        <w:t xml:space="preserve"> до начала выполнения работ (вида работ) Подрядчик обязан направить в адрес Заказчика </w:t>
      </w:r>
      <w:r>
        <w:rPr>
          <w:b w:val="false"/>
          <w:bCs w:val="false"/>
          <w:sz w:val="24"/>
          <w:szCs w:val="23"/>
          <w:u w:val="none"/>
          <w:lang w:val="ru-RU" w:bidi="ar-SA"/>
        </w:rPr>
        <w:t>уведомление о допуске персонала По</w:t>
      </w:r>
      <w:r>
        <w:rPr>
          <w:b w:val="false"/>
          <w:bCs w:val="false"/>
          <w:sz w:val="24"/>
          <w:szCs w:val="23"/>
          <w:u w:val="none"/>
          <w:shd w:fill="FFFFFF" w:val="clear"/>
          <w:lang w:val="ru-RU" w:bidi="ar-SA"/>
        </w:rPr>
        <w:t xml:space="preserve">дрядчика и/или Субподрядчика к выполнению работ </w:t>
      </w:r>
      <w:r>
        <w:rPr>
          <w:bCs/>
          <w:sz w:val="24"/>
          <w:szCs w:val="23"/>
          <w:u w:val="none"/>
          <w:shd w:fill="FFFFFF" w:val="clear"/>
          <w:lang w:val="ru-RU" w:bidi="ar-SA"/>
        </w:rPr>
        <w:t>(вида работ) с указанием в нем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и/или Субподрядчика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w:t>
      </w:r>
      <w:r>
        <w:rPr>
          <w:bCs/>
          <w:sz w:val="24"/>
          <w:szCs w:val="23"/>
          <w:u w:val="none"/>
          <w:lang w:val="ru-RU" w:bidi="ar-SA"/>
        </w:rPr>
        <w:t>ментов, подтверждающих договорные отношения персонала с Подрядчиком.</w:t>
      </w:r>
      <w:r>
        <w:rPr>
          <w:bCs/>
          <w:sz w:val="24"/>
        </w:rPr>
        <w:t xml:space="preserve">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Normal"/>
        <w:shd w:val="clear" w:color="auto" w:fill="FFFFFF"/>
        <w:tabs>
          <w:tab w:val="clear" w:pos="708"/>
          <w:tab w:val="left" w:pos="1418" w:leader="none"/>
        </w:tabs>
        <w:spacing w:lineRule="auto" w:line="240"/>
        <w:ind w:firstLine="709"/>
        <w:rPr>
          <w:bCs/>
          <w:sz w:val="24"/>
        </w:rPr>
      </w:pPr>
      <w:r>
        <w:rPr>
          <w:sz w:val="24"/>
        </w:rPr>
        <w:t xml:space="preserve">После получения от Заказчика указания о предоставлении прав для ведения работ, оформленного в соответствии с пунктом 2.1.10 настоящего Договора, Подрядчик не позднее </w:t>
      </w:r>
      <w:r>
        <w:rPr>
          <w:b/>
          <w:bCs/>
          <w:sz w:val="24"/>
        </w:rPr>
        <w:t>1 рабочего дня</w:t>
      </w:r>
      <w:r>
        <w:rPr>
          <w:sz w:val="24"/>
        </w:rPr>
        <w:t xml:space="preserve">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погрузку,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8"/>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br/>
        <w:t xml:space="preserve">и требований локальных нормативных актов Заказчика. </w:t>
      </w:r>
    </w:p>
    <w:p>
      <w:pPr>
        <w:pStyle w:val="ListParagraph"/>
        <w:numPr>
          <w:ilvl w:val="2"/>
          <w:numId w:val="2"/>
        </w:numPr>
        <w:shd w:val="clear" w:color="auto" w:fill="FFFFFF"/>
        <w:tabs>
          <w:tab w:val="clear" w:pos="708"/>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w:t>
      </w:r>
      <w:r>
        <w:rPr>
          <w:bCs/>
          <w:shd w:fill="auto" w:val="clear"/>
        </w:rPr>
        <w:t>ически выполненных Работах.</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w:t>
      </w:r>
      <w:r>
        <w:rPr>
          <w:bCs/>
        </w:rPr>
        <w:t xml:space="preserve">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shd w:val="clear" w:color="auto" w:fill="FFFFFF"/>
        <w:tabs>
          <w:tab w:val="clear" w:pos="708"/>
          <w:tab w:val="left" w:pos="1418" w:leader="none"/>
        </w:tabs>
        <w:spacing w:lineRule="auto" w:line="240"/>
        <w:ind w:firstLine="709"/>
        <w:rPr>
          <w:bCs/>
          <w:sz w:val="24"/>
        </w:rPr>
      </w:pPr>
      <w:r>
        <w:rPr>
          <w:bCs/>
          <w:sz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2"/>
        </w:numPr>
        <w:shd w:val="clear" w:color="auto" w:fill="FFFFFF"/>
        <w:tabs>
          <w:tab w:val="clear" w:pos="708"/>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2"/>
        </w:numPr>
        <w:shd w:val="clear" w:color="auto" w:fill="FFFFFF"/>
        <w:tabs>
          <w:tab w:val="clear" w:pos="708"/>
          <w:tab w:val="left" w:pos="1418" w:leader="none"/>
        </w:tabs>
        <w:ind w:left="0" w:firstLine="71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2"/>
        </w:numPr>
        <w:shd w:val="clear" w:color="auto" w:fill="FFFFFF"/>
        <w:tabs>
          <w:tab w:val="clear" w:pos="708"/>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стоимости работ, определенных в дополнительных соглашениях к настоящему Договору,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 </w:t>
      </w: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ind w:left="0" w:right="23" w:firstLine="709"/>
        <w:jc w:val="both"/>
        <w:rPr/>
      </w:pPr>
      <w:r>
        <w:rPr/>
        <w:t>аварии – в течение 2 (двух) часов;</w:t>
      </w:r>
    </w:p>
    <w:p>
      <w:pPr>
        <w:pStyle w:val="ListParagraph"/>
        <w:numPr>
          <w:ilvl w:val="0"/>
          <w:numId w:val="13"/>
        </w:numPr>
        <w:tabs>
          <w:tab w:val="clear" w:pos="708"/>
          <w:tab w:val="left" w:pos="1418" w:leader="none"/>
        </w:tabs>
        <w:ind w:left="0" w:firstLine="709"/>
        <w:jc w:val="both"/>
        <w:rPr>
          <w:highlight w:val="white"/>
        </w:rPr>
      </w:pPr>
      <w:r>
        <w:rPr>
          <w:shd w:fill="FFFFFF" w:val="clear"/>
        </w:rPr>
        <w:t>любом несчастном случае независимо от степени его тяжести – в течение суток по форме, установленно</w:t>
      </w:r>
      <w:r>
        <w:rPr>
          <w:color w:val="000000"/>
          <w:shd w:fill="FFFFFF" w:val="clear"/>
        </w:rPr>
        <w:t>й приказом</w:t>
      </w:r>
      <w:r>
        <w:rPr>
          <w:bCs/>
          <w:color w:val="000000"/>
          <w:shd w:fill="FFFFFF" w:val="clear"/>
        </w:rPr>
        <w:t xml:space="preserve"> Минтруда России от 20.04.2022 № 223н</w:t>
      </w:r>
      <w:r>
        <w:rPr>
          <w:color w:val="000000"/>
          <w:shd w:fill="FFFFFF" w:val="clear"/>
        </w:rPr>
        <w:t>, а после окончания расследования п</w:t>
      </w:r>
      <w:r>
        <w:rPr>
          <w:shd w:fill="FFFFFF" w:val="clear"/>
        </w:rPr>
        <w:t>редоставлять копии соответствующих материалов;</w:t>
      </w:r>
    </w:p>
    <w:p>
      <w:pPr>
        <w:pStyle w:val="ListParagraph"/>
        <w:numPr>
          <w:ilvl w:val="0"/>
          <w:numId w:val="13"/>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3"/>
        </w:numPr>
        <w:ind w:left="0" w:right="23" w:firstLine="709"/>
        <w:jc w:val="both"/>
        <w:rPr/>
      </w:pPr>
      <w: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3"/>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pPr>
      <w:r>
        <w:rPr/>
        <w:t>Нести риск случайной гибели и случайного повреждения мест</w:t>
      </w:r>
      <w:r>
        <w:rPr>
          <w:shd w:fill="auto" w:val="clear"/>
        </w:rPr>
        <w:t xml:space="preserve"> (помещений), оборудования и инструмента, принятых от Заказчика в соответствии с пунктом 2.3.2 Договора,</w:t>
      </w:r>
      <w:r>
        <w:rPr/>
        <w:t xml:space="preserve"> до момента их передачи (возврата) Заказчику по соответствующим актам сдачи-приемки </w:t>
      </w:r>
      <w:r>
        <w:rPr>
          <w:shd w:fill="auto" w:val="clear"/>
        </w:rPr>
        <w:t>(Приложения №№ 3.1, 3.3 к Договору).</w:t>
      </w:r>
    </w:p>
    <w:p>
      <w:pPr>
        <w:pStyle w:val="ListParagraph"/>
        <w:numPr>
          <w:ilvl w:val="2"/>
          <w:numId w:val="2"/>
        </w:numPr>
        <w:shd w:val="clear" w:color="auto" w:fill="FFFFFF"/>
        <w:tabs>
          <w:tab w:val="clear" w:pos="708"/>
          <w:tab w:val="left" w:pos="1418" w:leader="none"/>
        </w:tabs>
        <w:ind w:left="0" w:firstLine="709"/>
        <w:jc w:val="both"/>
        <w:rPr/>
      </w:pPr>
      <w:r>
        <w:rPr>
          <w:shd w:fill="auto" w:val="clear"/>
        </w:rPr>
        <w:t>По требованию и в сроки, установл</w:t>
      </w:r>
      <w:r>
        <w:rPr/>
        <w:t>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8"/>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2"/>
        </w:numPr>
        <w:shd w:val="clear" w:color="auto" w:fill="FFFFFF"/>
        <w:tabs>
          <w:tab w:val="clear" w:pos="708"/>
          <w:tab w:val="left" w:pos="1418" w:leader="none"/>
        </w:tabs>
        <w:ind w:left="0" w:firstLine="709"/>
        <w:jc w:val="both"/>
        <w:rPr>
          <w:bCs/>
        </w:rPr>
      </w:pPr>
      <w:r>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color="auto" w:fill="FFFFFF"/>
        <w:tabs>
          <w:tab w:val="clear" w:pos="708"/>
          <w:tab w:val="left" w:pos="1418" w:leader="none"/>
        </w:tabs>
        <w:ind w:left="0" w:firstLine="709"/>
        <w:jc w:val="both"/>
        <w:rPr>
          <w:bCs/>
        </w:rPr>
      </w:pPr>
      <w:r>
        <w:rPr/>
        <w:t>Указанное уведомление должно быть получено Заказчиком заблаговременно</w:t>
      </w:r>
      <w:r>
        <w:rPr>
          <w:bCs/>
        </w:rPr>
        <w:t>, но не позднее, чем за</w:t>
      </w:r>
      <w:r>
        <w:rPr>
          <w:bCs/>
          <w:shd w:fill="auto" w:val="clear"/>
        </w:rPr>
        <w:t xml:space="preserve"> </w:t>
      </w:r>
      <w:r>
        <w:rPr>
          <w:shd w:fill="auto" w:val="clear"/>
        </w:rPr>
        <w:t>5 (пять)</w:t>
      </w:r>
      <w:r>
        <w:rPr>
          <w:bCs/>
          <w:shd w:fill="auto" w:val="clear"/>
        </w:rPr>
        <w:t xml:space="preserve"> раб</w:t>
      </w:r>
      <w:r>
        <w:rPr>
          <w:bCs/>
        </w:rPr>
        <w:t>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widowControl/>
        <w:shd w:val="clear" w:color="auto" w:fill="FFFFFF"/>
        <w:tabs>
          <w:tab w:val="clear" w:pos="708"/>
          <w:tab w:val="left" w:pos="1418" w:leader="none"/>
        </w:tabs>
        <w:ind w:left="0" w:right="0" w:firstLine="709"/>
        <w:jc w:val="both"/>
        <w:rPr>
          <w:highlight w:val="none"/>
          <w:shd w:fill="auto" w:val="clear"/>
        </w:rPr>
      </w:pPr>
      <w:r>
        <w:rPr>
          <w:bCs/>
          <w:sz w:val="24"/>
          <w:szCs w:val="24"/>
          <w:shd w:fill="auto" w:val="clear"/>
          <w:lang w:val="ru-RU" w:bidi="ar-SA"/>
        </w:rPr>
        <w:t xml:space="preserve">В целях проведения освидетельствования и/или приемки Скрытых работ в части приемки исполнительной документации Стороны устанавливают специальный порядок </w:t>
      </w:r>
      <w:r>
        <w:rPr>
          <w:b w:val="false"/>
          <w:bCs w:val="false"/>
          <w:sz w:val="24"/>
          <w:szCs w:val="24"/>
          <w:shd w:fill="auto" w:val="clear"/>
          <w:lang w:val="ru-RU" w:bidi="ar-SA"/>
        </w:rPr>
        <w:t>представления и согласования исполнительной документации на выполненные работы в соответствии с Приложением №12 к настоящему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Осуществлять мероприятия строительного контр</w:t>
      </w:r>
      <w:r>
        <w:rPr>
          <w:bCs/>
        </w:rPr>
        <w:t>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2"/>
        </w:numPr>
        <w:shd w:val="clear" w:color="auto" w:fill="FFFFFF"/>
        <w:tabs>
          <w:tab w:val="clear" w:pos="708"/>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Оборудо</w:t>
      </w:r>
      <w:r>
        <w:rPr>
          <w:bCs/>
          <w:shd w:fill="auto" w:val="clear"/>
        </w:rPr>
        <w:t>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color w:val="000000"/>
          <w:shd w:fill="auto" w:val="clear"/>
        </w:rPr>
        <w:t>Принять у Заказчика в порядке, установленном Приложением № 8 к Договору, необходимые Давальческие материалы и запасные части, перечень которых указан в дополнительном соглашении и Техническом требовании.</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color w:val="000000"/>
          <w:shd w:fill="auto" w:val="clear"/>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8 к Договору.</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Принять у Заказчика в порядке, установленном Приложением № 9 к Договору, необходимое Оборудование Заказчика, перечень которого установлен дополнительным соглашением и Техническим требованием.</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shd w:fill="auto" w:val="clear"/>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9 к Договору.</w:t>
      </w:r>
    </w:p>
    <w:p>
      <w:pPr>
        <w:pStyle w:val="ListParagraph"/>
        <w:numPr>
          <w:ilvl w:val="2"/>
          <w:numId w:val="2"/>
        </w:numPr>
        <w:ind w:left="0" w:firstLine="709"/>
        <w:jc w:val="both"/>
        <w:rPr>
          <w:highlight w:val="none"/>
          <w:shd w:fill="auto" w:val="clear"/>
        </w:rPr>
      </w:pPr>
      <w:r>
        <w:rPr>
          <w:color w:val="000000"/>
          <w:shd w:fill="auto" w:val="clear"/>
        </w:rPr>
        <w:t>Предоставить Заказчику Независимые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 xml:space="preserve">Подрядчик несет ответственность за несоответствие Результата Проектных Работ Техническим требованиям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hd w:fill="auto" w:val="clear"/>
          <w:lang w:eastAsia="en-US"/>
        </w:rPr>
        <w:t>Проектной документации, Результата Инженерных изысканий и / или Рабочей документации</w:t>
      </w:r>
      <w:r>
        <w:rPr>
          <w:bCs/>
          <w:shd w:fill="auto"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hd w:fill="auto" w:val="clear"/>
          <w:lang w:eastAsia="en-US"/>
        </w:rPr>
        <w:t>Проектной документации, Результата Инженерных изысканий и / или Рабочей документации</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pPr>
      <w:r>
        <w:rPr/>
        <w:t>Не передавать Результат Проектных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09"/>
        <w:jc w:val="both"/>
        <w:rPr/>
      </w:pPr>
      <w:r>
        <w:rPr/>
        <w:t>Осуществлять надлежащий учет, хранение и передачу материалов, демонтированных при исполнении договора, в соответствии с Порядком, установленным в Приложении №</w:t>
      </w:r>
      <w:r>
        <w:rPr>
          <w:shd w:fill="FFFFFF" w:val="clear"/>
        </w:rPr>
        <w:t>13</w:t>
      </w:r>
      <w:r>
        <w:rPr/>
        <w:t xml:space="preserve"> к Договору.</w:t>
      </w:r>
    </w:p>
    <w:p>
      <w:pPr>
        <w:pStyle w:val="ListParagraph"/>
        <w:numPr>
          <w:ilvl w:val="2"/>
          <w:numId w:val="2"/>
        </w:numPr>
        <w:shd w:val="clear" w:color="auto" w:fill="FFFFFF"/>
        <w:tabs>
          <w:tab w:val="clear" w:pos="708"/>
          <w:tab w:val="left" w:pos="1418" w:leader="none"/>
        </w:tabs>
        <w:ind w:left="0" w:firstLine="709"/>
        <w:jc w:val="both"/>
        <w:rPr>
          <w:highlight w:val="white"/>
        </w:rPr>
      </w:pPr>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widowControl/>
        <w:numPr>
          <w:ilvl w:val="2"/>
          <w:numId w:val="2"/>
        </w:numPr>
        <w:shd w:val="clear" w:color="auto" w:fill="FFFFFF"/>
        <w:tabs>
          <w:tab w:val="clear" w:pos="708"/>
          <w:tab w:val="left" w:pos="1418" w:leader="none"/>
        </w:tabs>
        <w:suppressAutoHyphens w:val="true"/>
        <w:bidi w:val="0"/>
        <w:spacing w:lineRule="auto" w:line="240" w:before="0" w:after="0"/>
        <w:ind w:left="0" w:right="0" w:firstLine="680"/>
        <w:contextualSpacing/>
        <w:jc w:val="both"/>
        <w:rPr>
          <w:rFonts w:ascii="Times New Roman" w:hAnsi="Times New Roman"/>
          <w:highlight w:val="none"/>
          <w:shd w:fill="auto" w:val="clear"/>
        </w:rPr>
      </w:pPr>
      <w:r>
        <w:rPr>
          <w:rFonts w:eastAsia="Calibri" w:cs="Times New Roman"/>
          <w:b w:val="false"/>
          <w:bCs w:val="false"/>
          <w:i w:val="false"/>
          <w:iCs w:val="false"/>
          <w:sz w:val="24"/>
          <w:szCs w:val="24"/>
          <w:shd w:fill="auto" w:val="clear"/>
          <w:lang w:val="ru-RU" w:eastAsia="en-US" w:bidi="ar-SA"/>
        </w:rPr>
        <w:t>Обеспечить своих работников, выполняющих работы на территории Заказчика,  средствами индивидуальной защиты. Средства индивидуальной защиты (специальная одежда, каски) работников Подрядчика должны иметь специальные фирменные логотипы с указанием наименования Подрядчика.</w:t>
      </w:r>
    </w:p>
    <w:p>
      <w:pPr>
        <w:pStyle w:val="ListParagraph"/>
        <w:numPr>
          <w:ilvl w:val="2"/>
          <w:numId w:val="2"/>
        </w:numPr>
        <w:shd w:val="clear" w:color="auto" w:fill="FFFFFF"/>
        <w:tabs>
          <w:tab w:val="clear" w:pos="708"/>
          <w:tab w:val="left" w:pos="1418" w:leader="none"/>
        </w:tabs>
        <w:ind w:left="0" w:firstLine="709"/>
        <w:jc w:val="both"/>
        <w:rPr/>
      </w:pPr>
      <w:r>
        <w:rPr>
          <w:rFonts w:eastAsia="Calibri" w:cs="Times New Roman"/>
          <w:b w:val="false"/>
          <w:bCs w:val="false"/>
          <w:i w:val="false"/>
          <w:iCs w:val="false"/>
          <w:sz w:val="24"/>
          <w:szCs w:val="24"/>
          <w:lang w:val="ru-RU" w:eastAsia="en-US" w:bidi="ar-SA"/>
        </w:rPr>
        <w:t xml:space="preserve">Исполнять иные обязанности, предусмотренные Договором и </w:t>
      </w:r>
      <w:r>
        <w:rPr>
          <w:rFonts w:eastAsia="Calibri" w:cs="Times New Roman"/>
          <w:b w:val="false"/>
          <w:bCs/>
          <w:i w:val="false"/>
          <w:iCs w:val="false"/>
          <w:sz w:val="24"/>
          <w:szCs w:val="24"/>
          <w:lang w:val="ru-RU" w:eastAsia="en-US" w:bidi="ar-SA"/>
        </w:rPr>
        <w:t>законодательством Российской Федерации.</w:t>
      </w:r>
    </w:p>
    <w:p>
      <w:pPr>
        <w:pStyle w:val="Normal"/>
        <w:spacing w:lineRule="auto" w:line="240"/>
        <w:rPr>
          <w:sz w:val="24"/>
          <w:szCs w:val="24"/>
        </w:rPr>
      </w:pPr>
      <w:r>
        <w:rPr>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субподряда в совокупности не более</w:t>
      </w:r>
      <w:r>
        <w:rPr>
          <w:bCs/>
          <w:shd w:fill="auto" w:val="clear"/>
        </w:rPr>
        <w:t xml:space="preserve"> чем на </w:t>
      </w:r>
      <w:r>
        <w:rPr>
          <w:bCs/>
          <w:shd w:fill="auto" w:val="clear"/>
        </w:rPr>
        <w:t>_</w:t>
      </w:r>
      <w:r>
        <w:rPr>
          <w:b/>
          <w:bCs/>
          <w:shd w:fill="auto" w:val="clear"/>
        </w:rPr>
        <w:t xml:space="preserve"> % (</w:t>
      </w:r>
      <w:r>
        <w:rPr>
          <w:b/>
          <w:bCs/>
          <w:shd w:fill="auto" w:val="clear"/>
        </w:rPr>
        <w:t>_________</w:t>
      </w:r>
      <w:r>
        <w:rPr>
          <w:b/>
          <w:bCs/>
          <w:shd w:fill="auto" w:val="clear"/>
        </w:rPr>
        <w:t>)</w:t>
      </w:r>
      <w:r>
        <w:rPr>
          <w:bCs/>
        </w:rPr>
        <w:t xml:space="preserve"> </w:t>
      </w:r>
      <w:r>
        <w:rPr>
          <w:bCs/>
          <w:shd w:fill="FFFFFF" w:val="clear"/>
        </w:rPr>
        <w:t>от</w:t>
      </w:r>
      <w:r>
        <w:rPr>
          <w:bCs/>
        </w:rPr>
        <w:t xml:space="preserve">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6"/>
        </w:numPr>
        <w:shd w:val="clear" w:color="auto" w:fill="FFFFFF"/>
        <w:tabs>
          <w:tab w:val="clear" w:pos="708"/>
          <w:tab w:val="left" w:pos="709" w:leader="none"/>
        </w:tabs>
        <w:ind w:left="0" w:firstLine="709"/>
        <w:jc w:val="both"/>
        <w:rPr>
          <w:bCs/>
        </w:rPr>
      </w:pPr>
      <w:r>
        <w:rPr>
          <w:bCs/>
        </w:rPr>
        <w:t xml:space="preserve">проект договора с Субподрядчиком; </w:t>
      </w:r>
    </w:p>
    <w:p>
      <w:pPr>
        <w:pStyle w:val="ListParagraph"/>
        <w:numPr>
          <w:ilvl w:val="0"/>
          <w:numId w:val="16"/>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16"/>
        </w:numPr>
        <w:tabs>
          <w:tab w:val="clear" w:pos="708"/>
          <w:tab w:val="left" w:pos="278" w:leader="none"/>
          <w:tab w:val="left" w:pos="709" w:leader="none"/>
          <w:tab w:val="left" w:pos="1134" w:leader="none"/>
        </w:tabs>
        <w:spacing w:lineRule="auto" w:line="259" w:before="0" w:after="160"/>
        <w:ind w:left="0" w:firstLine="709"/>
        <w:contextualSpacing/>
        <w:jc w:val="both"/>
        <w:rPr>
          <w:bCs/>
        </w:rPr>
      </w:pPr>
      <w:r>
        <w:rPr>
          <w:bCs/>
          <w:sz w:val="24"/>
          <w:szCs w:val="24"/>
        </w:rPr>
        <w:t xml:space="preserve">пофамильный перечень персонала Субподрядчика, который будет задействован при производстве работ с указанием их паспортных данных, </w:t>
      </w:r>
      <w:r>
        <w:rPr>
          <w:bCs/>
          <w:sz w:val="24"/>
          <w:szCs w:val="24"/>
          <w:shd w:fill="FFFFFF" w:val="clear"/>
        </w:rPr>
        <w:t>г</w:t>
      </w:r>
      <w:r>
        <w:rPr>
          <w:bCs/>
          <w:sz w:val="24"/>
          <w:szCs w:val="23"/>
          <w:u w:val="none"/>
          <w:shd w:fill="FFFFFF" w:val="clear"/>
          <w:lang w:val="ru-RU" w:bidi="ar-SA"/>
        </w:rPr>
        <w:t>руппы по электробезопасности работников, а также с приложением согласия персонала на обработку персональных данных, копий приказов о приеме на работу и трудовых договоров, с</w:t>
      </w:r>
      <w:r>
        <w:rPr>
          <w:b w:val="false"/>
          <w:bCs/>
          <w:i w:val="false"/>
          <w:iCs w:val="false"/>
          <w:color w:val="000000"/>
          <w:sz w:val="24"/>
          <w:szCs w:val="24"/>
          <w:u w:val="none"/>
          <w:shd w:fill="FFFFFF" w:val="clear"/>
          <w:lang w:val="ru-RU" w:bidi="ar-SA"/>
        </w:rPr>
        <w:t xml:space="preserve">ведений о трудовой (иной) деятельности  Подрядчика по форме подраздела 1.1 Раздела 1 отчета ЕФС-1 (с уведомлением/ отметкой о получении/сдачи сведений  территориальным органом СФР) </w:t>
      </w:r>
      <w:r>
        <w:rPr>
          <w:bCs/>
          <w:sz w:val="24"/>
          <w:szCs w:val="23"/>
          <w:u w:val="none"/>
          <w:shd w:fill="FFFFFF" w:val="clear"/>
          <w:lang w:val="ru-RU" w:bidi="ar-SA"/>
        </w:rPr>
        <w:t>и иных документов, подтверждающих договорные отношения персонала с Субподрядчиком;</w:t>
      </w:r>
      <w:r>
        <w:rPr>
          <w:bCs/>
          <w:shd w:fill="FFFFFF" w:val="clear"/>
        </w:rPr>
        <w:t xml:space="preserve"> </w:t>
      </w:r>
    </w:p>
    <w:p>
      <w:pPr>
        <w:pStyle w:val="ListParagraph"/>
        <w:numPr>
          <w:ilvl w:val="0"/>
          <w:numId w:val="16"/>
        </w:numPr>
        <w:tabs>
          <w:tab w:val="clear" w:pos="708"/>
          <w:tab w:val="left" w:pos="709" w:leader="none"/>
        </w:tabs>
        <w:ind w:left="0" w:firstLine="709"/>
        <w:jc w:val="both"/>
        <w:rPr/>
      </w:pPr>
      <w:r>
        <w:rPr>
          <w:bCs/>
        </w:rPr>
        <w:t xml:space="preserve">копии документов, подтверждающих наличие у Субподрядчика и его персонала </w:t>
      </w:r>
      <w:r>
        <w:rPr>
          <w:bCs/>
          <w:shd w:fill="auto" w:val="clear"/>
        </w:rPr>
        <w:t>до</w:t>
      </w:r>
      <w:r>
        <w:rPr>
          <w:bCs/>
          <w:color w:val="000000"/>
          <w:shd w:fill="auto" w:val="clear"/>
        </w:rPr>
        <w:t>пусков, разрешений и лицензий, необходимых для выполнения Работ.</w:t>
      </w:r>
    </w:p>
    <w:p>
      <w:pPr>
        <w:pStyle w:val="ListParagraph"/>
        <w:widowControl/>
        <w:numPr>
          <w:ilvl w:val="1"/>
          <w:numId w:val="2"/>
        </w:numPr>
        <w:tabs>
          <w:tab w:val="clear" w:pos="708"/>
          <w:tab w:val="left" w:pos="851" w:leader="none"/>
          <w:tab w:val="left" w:pos="1134" w:leader="none"/>
        </w:tabs>
        <w:suppressAutoHyphens w:val="true"/>
        <w:bidi w:val="0"/>
        <w:spacing w:lineRule="auto" w:line="240" w:before="0" w:after="0"/>
        <w:ind w:left="0" w:right="0" w:firstLine="680"/>
        <w:contextualSpacing/>
        <w:jc w:val="both"/>
        <w:rPr>
          <w:highlight w:val="none"/>
          <w:shd w:fill="auto" w:val="clear"/>
        </w:rPr>
      </w:pPr>
      <w:r>
        <w:rPr>
          <w:bCs/>
          <w:shd w:fill="auto" w:val="clear"/>
        </w:rPr>
        <w:t>Стороны обязуются выполнять в своей части требования, указанные в Регламенте взаимодействия в ходе исполнения процессов управления проектом (Приложение № 14 к Договору).</w:t>
      </w:r>
    </w:p>
    <w:p>
      <w:pPr>
        <w:pStyle w:val="ListParagraph"/>
        <w:shd w:val="clear" w:color="auto" w:fill="FFFFFF"/>
        <w:tabs>
          <w:tab w:val="clear" w:pos="708"/>
          <w:tab w:val="left" w:pos="1418" w:leader="none"/>
        </w:tabs>
        <w:ind w:left="0" w:firstLine="426"/>
        <w:jc w:val="both"/>
        <w:rPr>
          <w:highlight w:val="none"/>
          <w:shd w:fill="auto" w:val="clear"/>
        </w:rPr>
      </w:pPr>
      <w:r>
        <w:rPr>
          <w:shd w:fill="auto" w:val="clear"/>
        </w:rPr>
      </w:r>
    </w:p>
    <w:p>
      <w:pPr>
        <w:pStyle w:val="ListParagraph"/>
        <w:numPr>
          <w:ilvl w:val="0"/>
          <w:numId w:val="2"/>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widowControl w:val="false"/>
        <w:numPr>
          <w:ilvl w:val="1"/>
          <w:numId w:val="2"/>
        </w:numPr>
        <w:shd w:val="clear" w:color="auto" w:fill="FFFFFF"/>
        <w:tabs>
          <w:tab w:val="clear" w:pos="708"/>
          <w:tab w:val="left" w:pos="540" w:leader="none"/>
          <w:tab w:val="left" w:pos="1134" w:leader="none"/>
          <w:tab w:val="left" w:pos="1276" w:leader="none"/>
        </w:tabs>
        <w:ind w:left="0" w:firstLine="709"/>
        <w:jc w:val="both"/>
        <w:rPr>
          <w:color w:val="000000" w:themeColor="text1"/>
        </w:rPr>
      </w:pPr>
      <w:r>
        <w:rPr>
          <w:bCs/>
          <w:color w:val="000000" w:themeColor="text1"/>
        </w:rPr>
        <w:t xml:space="preserve">Цена </w:t>
      </w:r>
      <w:r>
        <w:rPr>
          <w:color w:val="000000" w:themeColor="text1"/>
        </w:rPr>
        <w:t xml:space="preserve">Договора </w:t>
      </w:r>
      <w:r>
        <w:rPr>
          <w:bCs/>
          <w:color w:val="000000" w:themeColor="text1"/>
        </w:rPr>
        <w:t xml:space="preserve">является предельной и составляет </w:t>
      </w:r>
      <w:r>
        <w:rPr>
          <w:b/>
          <w:bCs/>
          <w:i/>
          <w:iCs/>
          <w:color w:val="000000" w:themeColor="text1"/>
        </w:rPr>
        <w:t>34</w:t>
      </w:r>
      <w:r>
        <w:rPr>
          <w:b/>
          <w:bCs/>
          <w:i/>
          <w:iCs/>
          <w:color w:val="000000"/>
          <w:shd w:fill="auto" w:val="clear"/>
        </w:rPr>
        <w:t xml:space="preserve"> 500 000</w:t>
      </w:r>
      <w:r>
        <w:rPr>
          <w:b/>
          <w:bCs/>
          <w:i w:val="false"/>
          <w:iCs w:val="false"/>
          <w:color w:val="000000"/>
          <w:shd w:fill="auto" w:val="clear"/>
        </w:rPr>
        <w:t xml:space="preserve"> </w:t>
      </w:r>
      <w:r>
        <w:rPr>
          <w:b/>
          <w:bCs/>
          <w:color w:val="000000" w:themeColor="text1"/>
        </w:rPr>
        <w:t>(тридцать четыре миллиона пятьсот тысяч</w:t>
      </w:r>
      <w:r>
        <w:rPr>
          <w:b/>
          <w:bCs/>
          <w:color w:val="000000"/>
          <w:shd w:fill="auto" w:val="clear"/>
        </w:rPr>
        <w:t>)</w:t>
      </w:r>
      <w:r>
        <w:rPr>
          <w:bCs/>
          <w:color w:val="000000" w:themeColor="text1"/>
        </w:rPr>
        <w:t xml:space="preserve"> </w:t>
      </w:r>
      <w:r>
        <w:rPr>
          <w:b/>
          <w:bCs/>
          <w:color w:val="000000" w:themeColor="text1"/>
        </w:rPr>
        <w:t>рубле</w:t>
      </w:r>
      <w:r>
        <w:rPr>
          <w:b/>
          <w:bCs/>
          <w:color w:val="000000"/>
          <w:shd w:fill="auto" w:val="clear"/>
        </w:rPr>
        <w:t xml:space="preserve">й 00 </w:t>
      </w:r>
      <w:r>
        <w:rPr>
          <w:b/>
          <w:bCs/>
          <w:color w:val="000000" w:themeColor="text1"/>
          <w:shd w:fill="auto" w:val="clear"/>
        </w:rPr>
        <w:t>копеек</w:t>
      </w:r>
      <w:r>
        <w:rPr>
          <w:b/>
          <w:bCs/>
          <w:color w:val="000000"/>
          <w:shd w:fill="auto" w:val="clear"/>
        </w:rPr>
        <w:t xml:space="preserve"> </w:t>
      </w:r>
      <w:r>
        <w:rPr>
          <w:b w:val="false"/>
          <w:bCs w:val="false"/>
          <w:i/>
          <w:color w:val="000000"/>
          <w:shd w:fill="auto" w:val="clear"/>
        </w:rPr>
        <w:t>без учета НДС</w:t>
      </w:r>
      <w:r>
        <w:rPr>
          <w:b w:val="false"/>
          <w:bCs w:val="false"/>
          <w:color w:val="000000"/>
          <w:shd w:fill="auto" w:val="clear"/>
        </w:rPr>
        <w:t xml:space="preserve">, при этом НДС исчисляется дополнительно по ставке, установленной ст. 164 Налогового кодекса РФ. </w:t>
      </w:r>
      <w:r>
        <w:rPr>
          <w:b w:val="false"/>
          <w:bCs w:val="false"/>
          <w:color w:val="000000" w:themeColor="text1"/>
          <w:shd w:fill="auto" w:val="clear"/>
        </w:rPr>
        <w:t xml:space="preserve">Цена договора определяется из стоимости одной единицы конструктивного элемента, указанной в </w:t>
      </w:r>
      <w:r>
        <w:rPr>
          <w:b w:val="false"/>
          <w:bCs w:val="false"/>
          <w:i/>
          <w:iCs/>
          <w:color w:val="000000"/>
          <w:sz w:val="24"/>
          <w:szCs w:val="24"/>
          <w:shd w:fill="auto" w:val="clear"/>
        </w:rPr>
        <w:t xml:space="preserve"> </w:t>
      </w:r>
      <w:r>
        <w:rPr>
          <w:b w:val="false"/>
          <w:bCs w:val="false"/>
          <w:i w:val="false"/>
          <w:iCs w:val="false"/>
          <w:color w:val="000000"/>
          <w:sz w:val="24"/>
          <w:szCs w:val="24"/>
          <w:shd w:fill="auto" w:val="clear"/>
        </w:rPr>
        <w:t>Расчете стоимости строительства ВЛ/КЛ, ГНБ, ТП, РП</w:t>
      </w:r>
      <w:r>
        <w:rPr>
          <w:b w:val="false"/>
          <w:bCs w:val="false"/>
          <w:i/>
          <w:iCs/>
          <w:color w:val="000000"/>
          <w:sz w:val="26"/>
          <w:szCs w:val="26"/>
          <w:shd w:fill="auto" w:val="clear"/>
        </w:rPr>
        <w:t xml:space="preserve"> </w:t>
      </w:r>
      <w:r>
        <w:rPr>
          <w:b w:val="false"/>
          <w:bCs w:val="false"/>
          <w:color w:val="000000" w:themeColor="text1"/>
          <w:shd w:fill="auto" w:val="clear"/>
        </w:rPr>
        <w:t xml:space="preserve">(Приложение №2 к Договору) с применением тендерного коэффициента </w:t>
      </w:r>
      <w:r>
        <w:rPr>
          <w:b w:val="false"/>
          <w:bCs w:val="false"/>
          <w:color w:val="000000" w:themeColor="text1"/>
          <w:shd w:fill="FFFFFF" w:val="clear"/>
        </w:rPr>
        <w:t>в размере_______</w:t>
      </w:r>
      <w:r>
        <w:rPr>
          <w:rStyle w:val="FootnoteReference"/>
          <w:b w:val="false"/>
          <w:bCs w:val="false"/>
          <w:color w:val="000000" w:themeColor="text1"/>
          <w:shd w:fill="FFFFFF" w:val="clear"/>
        </w:rPr>
        <w:footnoteReference w:id="2"/>
      </w:r>
      <w:r>
        <w:rPr>
          <w:b w:val="false"/>
          <w:bCs w:val="false"/>
          <w:color w:val="000000" w:themeColor="text1"/>
          <w:shd w:fill="FFFFFF" w:val="clear"/>
        </w:rPr>
        <w:t>.</w:t>
      </w:r>
      <w:r>
        <w:rPr>
          <w:b w:val="false"/>
          <w:bCs w:val="false"/>
          <w:color w:val="000000" w:themeColor="text1"/>
          <w:shd w:fill="auto" w:val="clear"/>
        </w:rPr>
        <w:t xml:space="preserve"> Заказчик не компенсирует Подрядчику увеличение расходов, связанных с изменением курса рубля по отношению к иностранным валютам, в случае закупки Подрядчиком импортных материалов.</w:t>
      </w:r>
    </w:p>
    <w:p>
      <w:pPr>
        <w:pStyle w:val="Normal"/>
        <w:widowControl w:val="false"/>
        <w:numPr>
          <w:ilvl w:val="1"/>
          <w:numId w:val="2"/>
        </w:numPr>
        <w:shd w:val="clear" w:color="auto" w:fill="FFFFFF"/>
        <w:tabs>
          <w:tab w:val="clear" w:pos="708"/>
          <w:tab w:val="left" w:pos="1276" w:leader="none"/>
          <w:tab w:val="left" w:pos="1440" w:leader="none"/>
        </w:tabs>
        <w:spacing w:lineRule="auto" w:line="240"/>
        <w:ind w:left="0" w:firstLine="709"/>
        <w:rPr/>
      </w:pPr>
      <w:r>
        <w:rPr>
          <w:sz w:val="24"/>
          <w:szCs w:val="24"/>
        </w:rPr>
        <w:t>Стоимость работ по всем заключенным дополнительным соглашениям к договору не должна превышать цены договора, указанной в п. 3.1 Договора. Возможные допущенные Подрядчиком ошибки и просчеты в выборе способов производства работ, оценке объемов работ, количества материалов и иные подобные обстоятельства не являются основанием для увеличения установленной в настоящем Договоре общей стоимости работ по Договору.</w:t>
      </w:r>
    </w:p>
    <w:p>
      <w:pPr>
        <w:pStyle w:val="Normal"/>
        <w:widowControl w:val="false"/>
        <w:numPr>
          <w:ilvl w:val="1"/>
          <w:numId w:val="2"/>
        </w:numPr>
        <w:shd w:val="clear" w:color="auto" w:fill="FFFFFF"/>
        <w:tabs>
          <w:tab w:val="clear" w:pos="708"/>
          <w:tab w:val="left" w:pos="1276" w:leader="none"/>
        </w:tabs>
        <w:spacing w:lineRule="auto" w:line="240"/>
        <w:ind w:left="0" w:firstLine="709"/>
        <w:rPr>
          <w:color w:val="00000A"/>
          <w:highlight w:val="white"/>
        </w:rPr>
      </w:pPr>
      <w:r>
        <w:rPr>
          <w:rFonts w:ascii="Liberation Serif" w:hAnsi="Liberation Serif"/>
          <w:i w:val="false"/>
          <w:iCs w:val="false"/>
          <w:color w:val="000000"/>
          <w:sz w:val="24"/>
          <w:szCs w:val="24"/>
          <w:highlight w:val="white"/>
          <w:shd w:fill="FFFFFF" w:val="clear"/>
        </w:rPr>
        <w:t xml:space="preserve">Стоимость работ по дополнительному соглашению при его заключении определяется утвержденной проектно-сметной документацией, с применением тендерного коэффициента, предлагаемого Участником в своей заявке на этапе закупочной процедуры, с учетом конкретных объемов работ.  </w:t>
      </w:r>
    </w:p>
    <w:p>
      <w:pPr>
        <w:pStyle w:val="Style28"/>
        <w:suppressAutoHyphens w:val="true"/>
        <w:spacing w:lineRule="auto" w:line="240"/>
        <w:ind w:left="0" w:right="0" w:firstLine="680"/>
        <w:jc w:val="both"/>
        <w:rPr>
          <w:color w:val="00000A"/>
          <w:highlight w:val="white"/>
        </w:rPr>
      </w:pPr>
      <w:r>
        <w:rPr>
          <w:b w:val="false"/>
          <w:bCs w:val="false"/>
          <w:i w:val="false"/>
          <w:iCs w:val="false"/>
          <w:color w:val="000000"/>
          <w:sz w:val="24"/>
          <w:szCs w:val="24"/>
          <w:shd w:fill="FFFFFF" w:val="clear"/>
        </w:rPr>
        <w:t xml:space="preserve">После утверждения Заказчиком выполненной Подрядчиком по дополнительному соглашению проектной и рабочей документации (в том числе сметной документации)  Стороны уточняют </w:t>
      </w:r>
      <w:r>
        <w:rPr>
          <w:rFonts w:ascii="Liberation Serif" w:hAnsi="Liberation Serif"/>
          <w:b w:val="false"/>
          <w:bCs w:val="false"/>
          <w:i w:val="false"/>
          <w:iCs w:val="false"/>
          <w:color w:val="000000"/>
          <w:sz w:val="24"/>
          <w:szCs w:val="24"/>
          <w:shd w:fill="FFFFFF" w:val="clear"/>
        </w:rPr>
        <w:t xml:space="preserve">Сводную таблицу стоимости работ и утверждают ее с </w:t>
      </w:r>
      <w:r>
        <w:rPr>
          <w:b w:val="false"/>
          <w:bCs w:val="false"/>
          <w:i w:val="false"/>
          <w:iCs w:val="false"/>
          <w:color w:val="000000"/>
          <w:sz w:val="24"/>
          <w:szCs w:val="24"/>
          <w:shd w:fill="FFFFFF" w:val="clear"/>
        </w:rPr>
        <w:t>приложением локальных смет, в которых учитывается тендерный коэффициент, указанный в п. 3.1 настоящего Договора, путем заключения Сторонами дополнительного соглашения.</w:t>
      </w:r>
    </w:p>
    <w:p>
      <w:pPr>
        <w:pStyle w:val="Style28"/>
        <w:widowControl w:val="false"/>
        <w:tabs>
          <w:tab w:val="clear" w:pos="708"/>
          <w:tab w:val="left" w:pos="1276" w:leader="none"/>
        </w:tabs>
        <w:suppressAutoHyphens w:val="true"/>
        <w:spacing w:lineRule="auto" w:line="240"/>
        <w:ind w:left="0" w:right="0" w:firstLine="680"/>
        <w:jc w:val="both"/>
        <w:rPr>
          <w:color w:val="00000A"/>
          <w:highlight w:val="white"/>
        </w:rPr>
      </w:pPr>
      <w:r>
        <w:rPr>
          <w:rFonts w:ascii="Liberation Serif" w:hAnsi="Liberation Serif"/>
          <w:bCs/>
          <w:i w:val="false"/>
          <w:iCs w:val="false"/>
          <w:color w:val="000000"/>
          <w:sz w:val="24"/>
          <w:szCs w:val="24"/>
          <w:shd w:fill="FFFFFF" w:val="clear"/>
        </w:rPr>
        <w:t>В сметных расчетах в составе Сводных таблиц стоимости работ, являющихся приложением к дополнительным соглашениям, применение коэффициентов, учитывающих условия производства работ и усложняющие факторы, определяется в соответствии с действующими нормативными документами по ценообразованию в РФ, проектно-сметной документацией и ПОС.</w:t>
      </w:r>
    </w:p>
    <w:p>
      <w:pPr>
        <w:pStyle w:val="Normal"/>
        <w:widowControl w:val="false"/>
        <w:numPr>
          <w:ilvl w:val="1"/>
          <w:numId w:val="2"/>
        </w:numPr>
        <w:shd w:val="clear" w:color="auto" w:fill="FFFFFF"/>
        <w:tabs>
          <w:tab w:val="clear" w:pos="708"/>
          <w:tab w:val="left" w:pos="1276" w:leader="none"/>
          <w:tab w:val="left" w:pos="1440" w:leader="none"/>
        </w:tabs>
        <w:spacing w:lineRule="auto" w:line="240"/>
        <w:ind w:left="0" w:firstLine="709"/>
        <w:rPr>
          <w:highlight w:val="none"/>
          <w:shd w:fill="auto" w:val="clear"/>
        </w:rPr>
      </w:pPr>
      <w:bookmarkStart w:id="8" w:name="_Ref361335465"/>
      <w:bookmarkEnd w:id="8"/>
      <w:r>
        <w:rPr>
          <w:sz w:val="24"/>
          <w:shd w:fill="auto" w:val="clear"/>
        </w:rPr>
        <w:t>В случае приобретения материалов для выполнения работ у Заказчика по договорам купли-продажи, материалы включаются в акт КС-2 по стоимости соответствующей договору купли-продажи; в случае поставки материалов Подрядчиком, стоимость материалов включается в акт КС-2 на основании подтверждающих документов. Оборудование, поставляемое Заказчиком, передается Подрядчику по акту передачи в монтаж и списывается Заказчиком самостоятельно.</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Цена Договора включает в себя прибыль Подрядчика, а также все расходы </w:t>
        <w:br/>
        <w:t>и затраты Подрядчика на:</w:t>
      </w:r>
    </w:p>
    <w:p>
      <w:pPr>
        <w:pStyle w:val="ListParagraph"/>
        <w:numPr>
          <w:ilvl w:val="2"/>
          <w:numId w:val="2"/>
        </w:numPr>
        <w:shd w:val="clear" w:color="auto" w:fill="FFFFFF"/>
        <w:tabs>
          <w:tab w:val="clear" w:pos="708"/>
          <w:tab w:val="left" w:pos="1418" w:leader="none"/>
        </w:tabs>
        <w:ind w:left="0" w:firstLine="709"/>
        <w:jc w:val="both"/>
        <w:rPr>
          <w:bCs/>
        </w:rPr>
      </w:pPr>
      <w:r>
        <w:rPr>
          <w:bCs/>
        </w:rPr>
        <w:t>Производство или приобретение Оборудования, его т</w:t>
      </w:r>
      <w:r>
        <w:rPr>
          <w:bCs/>
          <w:shd w:fill="auto" w:val="clear"/>
        </w:rPr>
        <w:t xml:space="preserve">ранспортировку до Места поставки (в том числе перемещение по территории Заказчика), погрузку, разгрузку, </w:t>
      </w:r>
      <w:r>
        <w:rPr>
          <w:bCs/>
        </w:rPr>
        <w:t>стоимость тары и упаковки, монтаж и пусконаладочные работы,</w:t>
      </w:r>
      <w:r>
        <w:rPr/>
        <w:t xml:space="preserve"> </w:t>
      </w:r>
      <w:r>
        <w:rPr>
          <w:bCs/>
        </w:rPr>
        <w:t xml:space="preserve">включая стоимость необходимых для эксплуатации Оборудования лицензий. </w:t>
      </w:r>
    </w:p>
    <w:p>
      <w:pPr>
        <w:pStyle w:val="ListParagraph"/>
        <w:numPr>
          <w:ilvl w:val="2"/>
          <w:numId w:val="2"/>
        </w:numPr>
        <w:shd w:val="clear" w:color="auto" w:fill="FFFFFF"/>
        <w:tabs>
          <w:tab w:val="clear" w:pos="708"/>
          <w:tab w:val="left" w:pos="1418" w:leader="none"/>
        </w:tabs>
        <w:ind w:left="0" w:firstLine="709"/>
        <w:jc w:val="both"/>
        <w:rPr/>
      </w:pPr>
      <w:r>
        <w:rPr/>
        <w:t>Постав</w:t>
      </w:r>
      <w:r>
        <w:rPr>
          <w:shd w:fill="auto" w:val="clear"/>
        </w:rPr>
        <w:t>ку, разгрузку (в том</w:t>
      </w:r>
      <w:r>
        <w:rPr/>
        <w:t xml:space="preserve"> числе перемещение по территории Заказчика),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2"/>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w:t>
        <w:br/>
        <w:t xml:space="preserve">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
        </w:numPr>
        <w:shd w:val="clear" w:color="auto" w:fill="FFFFFF"/>
        <w:tabs>
          <w:tab w:val="clear" w:pos="708"/>
          <w:tab w:val="left" w:pos="1418" w:leader="none"/>
        </w:tabs>
        <w:ind w:left="0" w:firstLine="709"/>
        <w:jc w:val="both"/>
        <w:rPr/>
      </w:pPr>
      <w:r>
        <w:rPr/>
        <w:t xml:space="preserve">Все прочие затраты и расходы Подрядчика, связанные выполнением Работ, поставкой Оборудования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left="0" w:firstLine="709"/>
        <w:jc w:val="both"/>
        <w:rPr>
          <w:bCs/>
        </w:rPr>
      </w:pPr>
      <w:bookmarkStart w:id="9" w:name="_Ref361858588"/>
      <w:bookmarkStart w:id="10" w:name="_Ref361834675"/>
      <w:r>
        <w:rPr>
          <w:bCs/>
        </w:rPr>
        <w:t>Оплата по Договору осуществляется Заказчиком в следующем порядке:</w:t>
      </w:r>
      <w:bookmarkEnd w:id="9"/>
      <w:bookmarkEnd w:id="10"/>
      <w:r>
        <w:rPr>
          <w:bCs/>
        </w:rPr>
        <w:t xml:space="preserve"> </w:t>
      </w:r>
    </w:p>
    <w:p>
      <w:pPr>
        <w:pStyle w:val="ListParagraph"/>
        <w:numPr>
          <w:ilvl w:val="2"/>
          <w:numId w:val="2"/>
        </w:numPr>
        <w:shd w:val="clear" w:color="auto" w:fill="FFFFFF"/>
        <w:tabs>
          <w:tab w:val="clear" w:pos="708"/>
          <w:tab w:val="left" w:pos="1418" w:leader="none"/>
        </w:tabs>
        <w:ind w:left="0" w:firstLine="709"/>
        <w:jc w:val="both"/>
        <w:rPr/>
      </w:pPr>
      <w:r>
        <w:rPr/>
        <w:t xml:space="preserve">Платежи в размере стоимости каждого выполненного Этапа </w:t>
      </w:r>
      <w:r>
        <w:rPr>
          <w:shd w:fill="FFFFFF" w:val="clear"/>
        </w:rPr>
        <w:t xml:space="preserve">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3.7.3, 3.7.4 Договора. </w:t>
      </w:r>
    </w:p>
    <w:p>
      <w:pPr>
        <w:pStyle w:val="ListParagraph"/>
        <w:numPr>
          <w:ilvl w:val="2"/>
          <w:numId w:val="2"/>
        </w:numPr>
        <w:shd w:val="clear" w:color="auto" w:fill="FFFFFF"/>
        <w:tabs>
          <w:tab w:val="clear" w:pos="708"/>
          <w:tab w:val="left" w:pos="1418" w:leader="none"/>
        </w:tabs>
        <w:ind w:left="0" w:firstLine="709"/>
        <w:jc w:val="both"/>
        <w:rPr/>
      </w:pPr>
      <w:r>
        <w:rPr>
          <w:shd w:fill="FFFFFF" w:val="clear"/>
        </w:rPr>
        <w:t>Платежи в размере стоимости каждого выполненного Этапа Работ (за исключением проектных работ), указанного в  дополнительном соглашении к Договору, выплачиваются в течение   7 (семи) рабочих дней с даты подписания Сторонами документов, указанных в пункте 4.2 Договора, на основан</w:t>
      </w:r>
      <w:r>
        <w:rPr/>
        <w:t xml:space="preserve">ии счёта, выставленного Подрядчиком, и с учетом пунктов 3.7.3, 3.7.4 Договора. </w:t>
      </w:r>
    </w:p>
    <w:p>
      <w:pPr>
        <w:pStyle w:val="ListParagraph"/>
        <w:numPr>
          <w:ilvl w:val="2"/>
          <w:numId w:val="2"/>
        </w:numPr>
        <w:shd w:val="clear" w:color="auto" w:fill="FFFFFF"/>
        <w:tabs>
          <w:tab w:val="clear" w:pos="708"/>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w:t>
      </w:r>
      <w:r>
        <w:rPr>
          <w:shd w:fill="FFFFFF" w:val="clear"/>
        </w:rPr>
        <w:t>ета позднее чем за 10 (десять) ка</w:t>
      </w:r>
      <w:r>
        <w:rPr/>
        <w:t>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sz w:val="24"/>
          <w:szCs w:val="24"/>
        </w:rPr>
      </w:pPr>
      <w:r>
        <w:rPr>
          <w:sz w:val="24"/>
          <w:szCs w:val="24"/>
          <w:shd w:fill="FFFFFF" w:val="clear"/>
        </w:rPr>
        <w:t>Подрядчик обязан предоставить Заказчику Независимую гарантию надлежащего исполнения обязательств в размере 5 (Пять) процентов от Цены Объекта не позднее, чем за 3 (три) рабочих дня до предполагаемой даты выплаты первого платежа по Договору, в соответствии с разделом 6 настоящего Договора и предварительно согласованную Заказчиком.</w:t>
      </w:r>
    </w:p>
    <w:p>
      <w:pPr>
        <w:pStyle w:val="ListParagraph"/>
        <w:shd w:val="clear" w:color="auto" w:fill="FFFFFF"/>
        <w:tabs>
          <w:tab w:val="clear" w:pos="708"/>
          <w:tab w:val="left" w:pos="1276" w:leader="none"/>
          <w:tab w:val="left" w:pos="1418" w:leader="none"/>
        </w:tabs>
        <w:ind w:left="0" w:firstLine="709"/>
        <w:jc w:val="both"/>
        <w:rPr>
          <w:sz w:val="24"/>
          <w:szCs w:val="24"/>
        </w:rPr>
      </w:pPr>
      <w:r>
        <w:rPr>
          <w:sz w:val="24"/>
          <w:szCs w:val="24"/>
          <w:shd w:fill="FFFFFF" w:val="clear"/>
        </w:rPr>
        <w:t>В случае непредоставления Независимой гарантии и при отсутствии соглашения сторон об ином Заказчик вправе удерживать 5% (пять процентов) от стоимости Этапа Работ / Этапа Проектных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по соответствующему Объекту.</w:t>
      </w:r>
    </w:p>
    <w:p>
      <w:pPr>
        <w:pStyle w:val="ListParagraph"/>
        <w:shd w:val="clear" w:color="auto" w:fill="FFFFFF"/>
        <w:tabs>
          <w:tab w:val="clear" w:pos="708"/>
          <w:tab w:val="left" w:pos="1276" w:leader="none"/>
          <w:tab w:val="left" w:pos="1418" w:leader="none"/>
        </w:tabs>
        <w:ind w:left="0" w:firstLine="709"/>
        <w:jc w:val="both"/>
        <w:rPr>
          <w:highlight w:val="none"/>
          <w:shd w:fill="auto" w:val="clear"/>
        </w:rPr>
      </w:pPr>
      <w:bookmarkStart w:id="11" w:name="_Ref361834178"/>
      <w:r>
        <w:rPr>
          <w:shd w:fill="auto"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bookmarkEnd w:id="11"/>
      <w:r>
        <w:rPr>
          <w:shd w:fill="auto" w:val="clear"/>
        </w:rPr>
        <w:t>.</w:t>
      </w:r>
    </w:p>
    <w:p>
      <w:pPr>
        <w:pStyle w:val="ListParagraph"/>
        <w:numPr>
          <w:ilvl w:val="1"/>
          <w:numId w:val="2"/>
        </w:numPr>
        <w:shd w:val="clear" w:color="auto" w:fill="FFFFFF"/>
        <w:tabs>
          <w:tab w:val="clear" w:pos="708"/>
          <w:tab w:val="left" w:pos="1134" w:leader="none"/>
        </w:tabs>
        <w:ind w:left="0" w:firstLine="709"/>
        <w:jc w:val="both"/>
        <w:rPr>
          <w:bCs/>
        </w:rPr>
      </w:pPr>
      <w:bookmarkStart w:id="12" w:name="_Ref361336647"/>
      <w:bookmarkEnd w:id="12"/>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w:t>
      </w:r>
      <w:r>
        <w:rPr>
          <w:bCs/>
          <w:shd w:fill="auto" w:val="clear"/>
        </w:rPr>
        <w:t xml:space="preserve">Заказчиком не принимается и считается включенным в Цену Договора. </w:t>
      </w:r>
    </w:p>
    <w:p>
      <w:pPr>
        <w:pStyle w:val="ListParagraph"/>
        <w:shd w:val="clear" w:color="auto" w:fill="FFFFFF"/>
        <w:tabs>
          <w:tab w:val="clear" w:pos="708"/>
          <w:tab w:val="left" w:pos="1418" w:leader="none"/>
        </w:tabs>
        <w:ind w:left="0" w:firstLine="709"/>
        <w:jc w:val="both"/>
        <w:rPr>
          <w:highlight w:val="none"/>
          <w:shd w:fill="auto" w:val="clear"/>
        </w:rPr>
      </w:pPr>
      <w:r>
        <w:rPr>
          <w:b/>
          <w:bCs/>
          <w:shd w:fill="auto" w:val="clear"/>
        </w:rPr>
        <w:t xml:space="preserve">3.10. </w:t>
      </w:r>
      <w:r>
        <w:rPr>
          <w:shd w:fill="auto" w:val="clear"/>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pPr>
        <w:pStyle w:val="Normal"/>
        <w:shd w:val="clear" w:color="auto" w:fill="FFFFFF"/>
        <w:tabs>
          <w:tab w:val="clear" w:pos="708"/>
          <w:tab w:val="left" w:pos="1418" w:leader="none"/>
        </w:tabs>
        <w:spacing w:lineRule="auto" w:line="240"/>
        <w:ind w:firstLine="709"/>
        <w:rPr>
          <w:highlight w:val="none"/>
          <w:shd w:fill="auto" w:val="clear"/>
        </w:rPr>
      </w:pPr>
      <w:r>
        <w:rPr>
          <w:b/>
          <w:bCs/>
          <w:sz w:val="24"/>
          <w:szCs w:val="24"/>
          <w:shd w:fill="auto" w:val="clear"/>
        </w:rPr>
        <w:t>3.11.</w:t>
      </w:r>
      <w:r>
        <w:rPr>
          <w:shd w:fill="auto" w:val="clear"/>
        </w:rPr>
        <w:t xml:space="preserve"> </w:t>
      </w:r>
      <w:r>
        <w:rPr>
          <w:sz w:val="24"/>
          <w:szCs w:val="24"/>
          <w:shd w:fill="auto" w:val="clear"/>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являющемуся приложением к дополнительному соглашению.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p>
    <w:p>
      <w:pPr>
        <w:pStyle w:val="ListParagraph"/>
        <w:shd w:val="clear" w:color="auto" w:fill="FFFFFF"/>
        <w:tabs>
          <w:tab w:val="clear" w:pos="708"/>
          <w:tab w:val="left" w:pos="1134" w:leader="none"/>
        </w:tabs>
        <w:ind w:left="0" w:firstLine="709"/>
        <w:jc w:val="both"/>
        <w:rPr>
          <w:highlight w:val="none"/>
          <w:shd w:fill="auto" w:val="clear"/>
        </w:rPr>
      </w:pPr>
      <w:r>
        <w:rPr>
          <w:b/>
          <w:bCs/>
          <w:shd w:fill="auto" w:val="clear"/>
        </w:rPr>
        <w:t>3.12</w:t>
      </w:r>
      <w:r>
        <w:rPr>
          <w:bCs/>
          <w:shd w:fill="auto" w:val="clear"/>
        </w:rPr>
        <w:t xml:space="preserve">. Давальческие материалы и запасные части, перечень которых указан </w:t>
        <w:br/>
        <w:t>в дополнительных соглашениях, в стоимости Работ по Договору не учитываются.</w:t>
      </w:r>
    </w:p>
    <w:p>
      <w:pPr>
        <w:pStyle w:val="ListParagraph"/>
        <w:shd w:val="clear" w:color="auto" w:fill="FFFFFF"/>
        <w:tabs>
          <w:tab w:val="clear" w:pos="708"/>
          <w:tab w:val="left" w:pos="1134" w:leader="none"/>
        </w:tabs>
        <w:ind w:left="0" w:firstLine="709"/>
        <w:jc w:val="both"/>
        <w:rPr>
          <w:highlight w:val="none"/>
          <w:shd w:fill="auto" w:val="clear"/>
        </w:rPr>
      </w:pPr>
      <w:bookmarkStart w:id="13" w:name="_Ref361335023"/>
      <w:r>
        <w:rPr>
          <w:b/>
          <w:bCs/>
          <w:shd w:fill="auto" w:val="clear"/>
        </w:rPr>
        <w:t>3.13.</w:t>
      </w:r>
      <w:r>
        <w:rPr>
          <w:bCs/>
          <w:shd w:fill="auto" w:val="clear"/>
        </w:rPr>
        <w:t xml:space="preserve"> Оборудование Заказчика, перечень которого указан в дополнительных соглашениях, в стоимости Работ по Договору не учитывается</w:t>
      </w:r>
      <w:bookmarkStart w:id="14" w:name="_Ref361834251"/>
      <w:bookmarkEnd w:id="13"/>
      <w:r>
        <w:rPr>
          <w:bCs/>
          <w:shd w:fill="auto" w:val="clear"/>
        </w:rPr>
        <w:t>.</w:t>
      </w:r>
    </w:p>
    <w:p>
      <w:pPr>
        <w:pStyle w:val="ListParagraph"/>
        <w:shd w:val="clear" w:color="auto" w:fill="FFFFFF"/>
        <w:tabs>
          <w:tab w:val="clear" w:pos="708"/>
          <w:tab w:val="left" w:pos="1134" w:leader="none"/>
          <w:tab w:val="left" w:pos="1418" w:leader="none"/>
        </w:tabs>
        <w:ind w:left="0" w:firstLine="709"/>
        <w:jc w:val="both"/>
        <w:rPr>
          <w:bCs/>
        </w:rPr>
      </w:pPr>
      <w:r>
        <w:rPr>
          <w:b/>
          <w:bCs/>
          <w:shd w:fill="auto" w:val="clear"/>
        </w:rPr>
        <w:t>3.14.</w:t>
      </w:r>
      <w:bookmarkEnd w:id="14"/>
      <w:r>
        <w:rPr>
          <w:bCs/>
          <w:shd w:fill="auto" w:val="clear"/>
        </w:rPr>
        <w:t xml:space="preserve">  Индексация Цены Договора не допу</w:t>
      </w:r>
      <w:r>
        <w:rPr>
          <w:bCs/>
        </w:rPr>
        <w:t xml:space="preserve">скается. </w:t>
      </w:r>
    </w:p>
    <w:p>
      <w:pPr>
        <w:pStyle w:val="ListParagraph"/>
        <w:shd w:val="clear" w:color="auto" w:fill="FFFFFF"/>
        <w:tabs>
          <w:tab w:val="clear" w:pos="708"/>
          <w:tab w:val="left" w:pos="1134" w:leader="none"/>
          <w:tab w:val="left" w:pos="1418" w:leader="none"/>
        </w:tabs>
        <w:ind w:left="0" w:firstLine="709"/>
        <w:jc w:val="both"/>
        <w:rPr>
          <w:highlight w:val="white"/>
        </w:rPr>
      </w:pPr>
      <w:r>
        <w:rPr>
          <w:b/>
          <w:bCs/>
          <w:sz w:val="24"/>
          <w:szCs w:val="24"/>
          <w:shd w:fill="FFFFFF" w:val="clear"/>
        </w:rPr>
        <w:t>3.15.</w:t>
      </w:r>
      <w:r>
        <w:rPr>
          <w:bCs/>
          <w:sz w:val="24"/>
          <w:szCs w:val="24"/>
          <w:shd w:fill="FFFFFF" w:val="clear"/>
        </w:rPr>
        <w:t xml:space="preserve">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 и поставленного Подрядчиком Оборудования.</w:t>
      </w:r>
    </w:p>
    <w:p>
      <w:pPr>
        <w:pStyle w:val="ListParagraph"/>
        <w:shd w:val="clear" w:color="auto" w:fill="FFFFFF"/>
        <w:tabs>
          <w:tab w:val="clear" w:pos="708"/>
          <w:tab w:val="left" w:pos="1134" w:leader="none"/>
          <w:tab w:val="left" w:pos="1418" w:leader="none"/>
        </w:tabs>
        <w:ind w:left="0" w:firstLine="709"/>
        <w:jc w:val="both"/>
        <w:rPr>
          <w:highlight w:val="white"/>
        </w:rPr>
      </w:pPr>
      <w:r>
        <w:rPr>
          <w:bCs/>
          <w:sz w:val="24"/>
          <w:szCs w:val="24"/>
          <w:highlight w:val="white"/>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567"/>
        <w:jc w:val="both"/>
        <w:rPr>
          <w:bCs/>
          <w:shd w:fill="FFFFFF" w:val="clear"/>
        </w:rPr>
      </w:pPr>
      <w:r>
        <w:rPr>
          <w:bCs/>
          <w:shd w:fill="FFFFFF" w:val="clear"/>
        </w:rPr>
      </w:r>
    </w:p>
    <w:p>
      <w:pPr>
        <w:pStyle w:val="ListParagraph"/>
        <w:shd w:val="clear" w:color="auto" w:fill="FFFFFF"/>
        <w:tabs>
          <w:tab w:val="clear" w:pos="708"/>
          <w:tab w:val="left" w:pos="284" w:leader="none"/>
        </w:tabs>
        <w:ind w:left="0" w:hanging="0"/>
        <w:jc w:val="center"/>
        <w:rPr>
          <w:b/>
          <w:bCs/>
        </w:rPr>
      </w:pPr>
      <w:r>
        <w:rPr>
          <w:b/>
          <w:bCs/>
        </w:rPr>
        <w:t>4. Порядок сдачи-приемки Работ</w:t>
      </w:r>
    </w:p>
    <w:p>
      <w:pPr>
        <w:pStyle w:val="ListParagraph"/>
        <w:shd w:val="clear" w:color="auto" w:fill="FFFFFF"/>
        <w:tabs>
          <w:tab w:val="clear" w:pos="708"/>
          <w:tab w:val="left" w:pos="284" w:leader="none"/>
        </w:tabs>
        <w:ind w:left="0" w:hanging="0"/>
        <w:jc w:val="center"/>
        <w:rPr>
          <w:b/>
          <w:bCs/>
        </w:rPr>
      </w:pPr>
      <w:r>
        <w:rPr>
          <w:b/>
          <w:bCs/>
        </w:rPr>
      </w:r>
    </w:p>
    <w:p>
      <w:pPr>
        <w:pStyle w:val="ListParagraph"/>
        <w:numPr>
          <w:ilvl w:val="1"/>
          <w:numId w:val="19"/>
        </w:numPr>
        <w:shd w:val="clear" w:color="auto" w:fill="FFFFFF"/>
        <w:tabs>
          <w:tab w:val="clear" w:pos="708"/>
          <w:tab w:val="left" w:pos="993" w:leader="none"/>
        </w:tabs>
        <w:ind w:left="0" w:firstLine="709"/>
        <w:jc w:val="both"/>
        <w:rPr/>
      </w:pPr>
      <w:r>
        <w:rPr>
          <w:bCs/>
          <w:color w:val="000000"/>
          <w:shd w:fill="FFFFFF" w:val="clear"/>
        </w:rPr>
        <w:t>По завершении выполнения Работ по каждому Этапу Проектных работ, определенных в дополнительных соглашениях к Договору, Подрядчик в течение 5 (пяти) рабочих дней представляет Заказчику подп</w:t>
      </w:r>
      <w:r>
        <w:rPr>
          <w:bCs/>
          <w:color w:val="000000"/>
          <w:shd w:fill="auto" w:val="clear"/>
        </w:rPr>
        <w:t>исанный со своей стороны в 2 (двух) экземплярах Акт сдачи-приемки Проектных работ по форме Приложения № 6 к Догов</w:t>
      </w:r>
      <w:r>
        <w:rPr>
          <w:bCs/>
          <w:color w:val="000000"/>
          <w:shd w:fill="FFFFFF" w:val="clear"/>
        </w:rPr>
        <w:t xml:space="preserve">ору с приложением результата Проектных работ. Датой выполнения Этапа Проектных работ является дата </w:t>
      </w:r>
      <w:r>
        <w:rPr>
          <w:bCs/>
          <w:color w:val="000000"/>
          <w:shd w:fill="auto" w:val="clear"/>
        </w:rPr>
        <w:t>подписания Сторонами Акта сдачи-приемки Проектных работ по соответствующему Этапу.</w:t>
      </w:r>
    </w:p>
    <w:p>
      <w:pPr>
        <w:pStyle w:val="ListParagraph"/>
        <w:shd w:val="clear" w:color="auto" w:fill="FFFFFF"/>
        <w:tabs>
          <w:tab w:val="clear" w:pos="708"/>
          <w:tab w:val="left" w:pos="993" w:leader="none"/>
        </w:tabs>
        <w:ind w:left="0" w:firstLine="709"/>
        <w:jc w:val="both"/>
        <w:rPr>
          <w:highlight w:val="none"/>
          <w:shd w:fill="auto" w:val="clear"/>
        </w:rPr>
      </w:pPr>
      <w:r>
        <w:rPr>
          <w:rFonts w:ascii="Liberation Serif" w:hAnsi="Liberation Serif"/>
          <w:b w:val="false"/>
          <w:bCs w:val="false"/>
          <w:caps w:val="false"/>
          <w:smallCaps w:val="false"/>
          <w:color w:val="000000"/>
          <w:sz w:val="24"/>
          <w:szCs w:val="24"/>
          <w:shd w:fill="auto" w:val="clear"/>
          <w:lang w:eastAsia="en-US"/>
        </w:rPr>
        <w:t xml:space="preserve">При использовании Сторонами электронного документооборота, Стороны по договору вместо </w:t>
      </w:r>
      <w:r>
        <w:rPr>
          <w:rFonts w:ascii="Liberation Serif" w:hAnsi="Liberation Serif"/>
          <w:b w:val="false"/>
          <w:bCs/>
          <w:caps w:val="false"/>
          <w:smallCaps w:val="false"/>
          <w:color w:val="000000"/>
          <w:sz w:val="24"/>
          <w:szCs w:val="24"/>
          <w:shd w:fill="auto" w:val="clear"/>
          <w:lang w:eastAsia="en-US"/>
        </w:rPr>
        <w:t>Акта сдачи-приемки Проектных работ по форме Приложения № 6</w:t>
      </w:r>
      <w:r>
        <w:rPr>
          <w:rFonts w:ascii="Liberation Serif" w:hAnsi="Liberation Serif"/>
          <w:b w:val="false"/>
          <w:bCs w:val="false"/>
          <w:caps w:val="false"/>
          <w:smallCaps w:val="false"/>
          <w:color w:val="000000"/>
          <w:sz w:val="24"/>
          <w:szCs w:val="24"/>
          <w:shd w:fill="auto" w:val="clear"/>
          <w:lang w:eastAsia="en-US"/>
        </w:rPr>
        <w:t xml:space="preserve">  оформляют УПД. В этом случае условия Договора в отношении </w:t>
      </w:r>
      <w:r>
        <w:rPr>
          <w:rFonts w:ascii="Liberation Serif" w:hAnsi="Liberation Serif"/>
          <w:b w:val="false"/>
          <w:bCs/>
          <w:caps w:val="false"/>
          <w:smallCaps w:val="false"/>
          <w:color w:val="000000"/>
          <w:sz w:val="24"/>
          <w:szCs w:val="24"/>
          <w:shd w:fill="auto" w:val="clear"/>
          <w:lang w:eastAsia="en-US"/>
        </w:rPr>
        <w:t>Акта сдачи-приемки Проектных работ</w:t>
      </w:r>
      <w:r>
        <w:rPr>
          <w:rFonts w:ascii="Liberation Serif" w:hAnsi="Liberation Serif"/>
          <w:b w:val="false"/>
          <w:bCs w:val="false"/>
          <w:caps w:val="false"/>
          <w:smallCaps w:val="false"/>
          <w:color w:val="000000"/>
          <w:sz w:val="24"/>
          <w:szCs w:val="24"/>
          <w:shd w:fill="auto" w:val="clear"/>
          <w:lang w:eastAsia="en-US"/>
        </w:rPr>
        <w:t xml:space="preserve"> применяются в равной степени к УПД.</w:t>
      </w:r>
      <w:bookmarkStart w:id="15" w:name="_Ref361336754"/>
      <w:bookmarkStart w:id="16" w:name="_Ref361335138"/>
      <w:bookmarkStart w:id="17" w:name="_Ref373242517"/>
    </w:p>
    <w:p>
      <w:pPr>
        <w:pStyle w:val="Normal"/>
        <w:shd w:val="clear" w:color="auto" w:fill="FFFFFF"/>
        <w:tabs>
          <w:tab w:val="clear" w:pos="708"/>
          <w:tab w:val="left" w:pos="1134" w:leader="none"/>
        </w:tabs>
        <w:spacing w:lineRule="auto" w:line="240"/>
        <w:ind w:firstLine="709"/>
        <w:rPr>
          <w:sz w:val="24"/>
          <w:szCs w:val="24"/>
        </w:rPr>
      </w:pPr>
      <w:r>
        <w:rPr>
          <w:sz w:val="24"/>
          <w:szCs w:val="24"/>
        </w:rPr>
        <w:t>К Акту сдачи-приемки прилагается 3 (три) экземпляра разработанной проектно-сметной документации на бумажных носителях и по 1 (одному) экз. в электронном виде С</w:t>
      </w:r>
      <w:r>
        <w:rPr>
          <w:sz w:val="24"/>
          <w:szCs w:val="24"/>
          <w:lang w:val="en-US"/>
        </w:rPr>
        <w:t>D</w:t>
      </w:r>
      <w:r>
        <w:rPr>
          <w:sz w:val="24"/>
          <w:szCs w:val="24"/>
        </w:rPr>
        <w:t xml:space="preserve"> или </w:t>
      </w:r>
      <w:r>
        <w:rPr>
          <w:sz w:val="24"/>
          <w:szCs w:val="24"/>
          <w:lang w:val="en-US"/>
        </w:rPr>
        <w:t>DVD</w:t>
      </w:r>
      <w:r>
        <w:rPr>
          <w:sz w:val="24"/>
          <w:szCs w:val="24"/>
        </w:rPr>
        <w:t xml:space="preserve">. Текстовую и графическую части проекта представить в стандартных форматах </w:t>
      </w:r>
      <w:r>
        <w:rPr>
          <w:sz w:val="24"/>
          <w:szCs w:val="24"/>
          <w:lang w:val="en-US"/>
        </w:rPr>
        <w:t>Windows</w:t>
      </w:r>
      <w:r>
        <w:rPr>
          <w:sz w:val="24"/>
          <w:szCs w:val="24"/>
        </w:rPr>
        <w:t xml:space="preserve">, </w:t>
      </w:r>
      <w:r>
        <w:rPr>
          <w:sz w:val="24"/>
          <w:szCs w:val="24"/>
          <w:lang w:val="en-US"/>
        </w:rPr>
        <w:t>MS</w:t>
      </w:r>
      <w:r>
        <w:rPr>
          <w:sz w:val="24"/>
          <w:szCs w:val="24"/>
        </w:rPr>
        <w:t xml:space="preserve"> </w:t>
      </w:r>
      <w:r>
        <w:rPr>
          <w:sz w:val="24"/>
          <w:szCs w:val="24"/>
          <w:lang w:val="en-US"/>
        </w:rPr>
        <w:t>Office</w:t>
      </w:r>
      <w:r>
        <w:rPr>
          <w:sz w:val="24"/>
          <w:szCs w:val="24"/>
        </w:rPr>
        <w:t xml:space="preserve">, </w:t>
      </w:r>
      <w:r>
        <w:rPr>
          <w:sz w:val="24"/>
          <w:szCs w:val="24"/>
          <w:lang w:val="en-US"/>
        </w:rPr>
        <w:t>AutoCAD</w:t>
      </w:r>
      <w:r>
        <w:rPr>
          <w:sz w:val="24"/>
          <w:szCs w:val="24"/>
        </w:rPr>
        <w:t xml:space="preserve"> и </w:t>
      </w:r>
      <w:r>
        <w:rPr>
          <w:sz w:val="24"/>
          <w:szCs w:val="24"/>
          <w:lang w:val="en-US"/>
        </w:rPr>
        <w:t>Acrobat</w:t>
      </w:r>
      <w:r>
        <w:rPr>
          <w:sz w:val="24"/>
          <w:szCs w:val="24"/>
        </w:rPr>
        <w:t xml:space="preserve"> </w:t>
      </w:r>
      <w:r>
        <w:rPr>
          <w:sz w:val="24"/>
          <w:szCs w:val="24"/>
          <w:lang w:val="en-US"/>
        </w:rPr>
        <w:t>Reader</w:t>
      </w:r>
      <w:r>
        <w:rPr>
          <w:sz w:val="24"/>
          <w:szCs w:val="24"/>
        </w:rPr>
        <w:t xml:space="preserve">. Сметную документацию в формате </w:t>
      </w:r>
      <w:r>
        <w:rPr>
          <w:sz w:val="24"/>
          <w:szCs w:val="24"/>
          <w:lang w:val="en-US"/>
        </w:rPr>
        <w:t>MS</w:t>
      </w:r>
      <w:r>
        <w:rPr>
          <w:sz w:val="24"/>
          <w:szCs w:val="24"/>
        </w:rPr>
        <w:t xml:space="preserve"> </w:t>
      </w:r>
      <w:r>
        <w:rPr>
          <w:sz w:val="24"/>
          <w:szCs w:val="24"/>
          <w:lang w:val="en-US"/>
        </w:rPr>
        <w:t>Excel</w:t>
      </w:r>
      <w:r>
        <w:rPr>
          <w:sz w:val="24"/>
          <w:szCs w:val="24"/>
        </w:rPr>
        <w:t xml:space="preserve"> либо другом числовом формате, совместимом с </w:t>
      </w:r>
      <w:r>
        <w:rPr>
          <w:sz w:val="24"/>
          <w:szCs w:val="24"/>
          <w:lang w:val="en-US"/>
        </w:rPr>
        <w:t>MS</w:t>
      </w:r>
      <w:r>
        <w:rPr>
          <w:sz w:val="24"/>
          <w:szCs w:val="24"/>
        </w:rPr>
        <w:t xml:space="preserve"> </w:t>
      </w:r>
      <w:r>
        <w:rPr>
          <w:sz w:val="24"/>
          <w:szCs w:val="24"/>
          <w:lang w:val="en-US"/>
        </w:rPr>
        <w:t>Excel</w:t>
      </w:r>
      <w:r>
        <w:rPr>
          <w:sz w:val="24"/>
          <w:szCs w:val="24"/>
        </w:rPr>
        <w:t>, а также в формате программы «Гранд-смета», позволяющем вести накопительные ведомости по локальным сметам, фотоматериалы выполненного объекта.</w:t>
      </w:r>
    </w:p>
    <w:p>
      <w:pPr>
        <w:pStyle w:val="ListParagraph"/>
        <w:shd w:val="clear" w:color="auto" w:fill="FFFFFF"/>
        <w:tabs>
          <w:tab w:val="clear" w:pos="708"/>
          <w:tab w:val="left" w:pos="0" w:leader="none"/>
        </w:tabs>
        <w:ind w:left="0" w:firstLine="709"/>
        <w:jc w:val="both"/>
        <w:rPr>
          <w:bCs/>
        </w:rPr>
      </w:pPr>
      <w:r>
        <w:rPr>
          <w:bCs/>
        </w:rPr>
        <w:t xml:space="preserve">Дополнительные 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в Технических требованиях (приложение №1 к Договору), являющихся приложением к дополнительным соглашениям. </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 xml:space="preserve">Качество выполненных Подрядчиком работ должно соответствовать требованиям нормативно-технической документации. </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Подрядчик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документации.</w:t>
      </w:r>
    </w:p>
    <w:p>
      <w:pPr>
        <w:pStyle w:val="NormalWeb"/>
        <w:tabs>
          <w:tab w:val="clear" w:pos="708"/>
          <w:tab w:val="left" w:pos="993" w:leader="none"/>
          <w:tab w:val="left" w:pos="1276" w:leader="none"/>
          <w:tab w:val="left" w:pos="1418" w:leader="none"/>
          <w:tab w:val="left" w:pos="1701" w:leader="none"/>
        </w:tabs>
        <w:spacing w:beforeAutospacing="0" w:before="0" w:afterAutospacing="0" w:after="0"/>
        <w:ind w:firstLine="709"/>
        <w:jc w:val="both"/>
        <w:rPr/>
      </w:pPr>
      <w:r>
        <w:rPr/>
        <w:t>Основаниями для отказа в приемки разработанной документации является несоответствие документации требованиям законодательства Российской Федерации, государственным стандартам, требованиям и указаниям Заказчика, изложенным в настоящем договоре и в дополнительных соглашениях.</w:t>
      </w:r>
    </w:p>
    <w:p>
      <w:pPr>
        <w:pStyle w:val="ListParagraph"/>
        <w:numPr>
          <w:ilvl w:val="1"/>
          <w:numId w:val="19"/>
        </w:numPr>
        <w:shd w:val="clear" w:color="auto" w:fill="FFFFFF"/>
        <w:tabs>
          <w:tab w:val="clear" w:pos="708"/>
          <w:tab w:val="left" w:pos="709" w:leader="none"/>
          <w:tab w:val="left" w:pos="1134" w:leader="none"/>
        </w:tabs>
        <w:ind w:left="0" w:firstLine="709"/>
        <w:jc w:val="both"/>
        <w:rPr/>
      </w:pPr>
      <w:r>
        <w:rPr>
          <w:bCs/>
        </w:rPr>
        <w:t xml:space="preserve">По завершении выполнения работ по каждому Этапу Работ </w:t>
      </w:r>
      <w:r>
        <w:rPr>
          <w:bCs/>
          <w:shd w:fill="FFFFFF" w:val="clear"/>
        </w:rPr>
        <w:t>(кроме Проектных работ), указанного в Календарном графике, составленного на основании Те</w:t>
      </w:r>
      <w:r>
        <w:rPr>
          <w:bCs/>
        </w:rPr>
        <w:t xml:space="preserve">хнического требования и являющегося приложением к дополнительному соглашению, Подрядчик в течение </w:t>
      </w:r>
      <w:r>
        <w:rPr>
          <w:bCs/>
          <w:shd w:fill="auto" w:val="clear"/>
        </w:rPr>
        <w:t>5</w:t>
      </w:r>
      <w:r>
        <w:rPr>
          <w:shd w:fill="auto" w:val="clear"/>
        </w:rPr>
        <w:t xml:space="preserve"> (пяти)</w:t>
      </w:r>
      <w:r>
        <w:rPr>
          <w:bCs/>
          <w:shd w:fill="auto" w:val="clear"/>
        </w:rPr>
        <w:t xml:space="preserve"> </w:t>
      </w:r>
      <w:r>
        <w:rPr>
          <w:bCs/>
        </w:rPr>
        <w:t>рабочих дней представляет Заказчику подписанный со своей стороны в 2 (двух) экземплярах Акт освидетельствования выполненных работ по ф</w:t>
      </w:r>
      <w:r>
        <w:rPr>
          <w:bCs/>
          <w:shd w:fill="auto" w:val="clear"/>
        </w:rPr>
        <w:t>орме Приложения № 7 к</w:t>
      </w:r>
      <w:r>
        <w:rPr>
          <w:bCs/>
        </w:rPr>
        <w:t xml:space="preserve"> Договору,</w:t>
      </w:r>
      <w:r>
        <w:rPr/>
        <w:t xml:space="preserve"> </w:t>
      </w:r>
      <w:r>
        <w:rPr>
          <w:bCs/>
        </w:rPr>
        <w:t xml:space="preserve">с приложением </w:t>
      </w:r>
      <w:r>
        <w:rPr>
          <w:shd w:fill="auto" w:val="clear"/>
        </w:rPr>
        <w:t xml:space="preserve">в 3 (трех) </w:t>
      </w:r>
      <w:r>
        <w:rPr/>
        <w:t>экземплярах</w:t>
      </w:r>
      <w:r>
        <w:rPr>
          <w:bCs/>
        </w:rPr>
        <w:t xml:space="preserve"> Приемо-сдаточной и Исполнительной документации</w:t>
      </w:r>
      <w:bookmarkEnd w:id="15"/>
      <w:bookmarkEnd w:id="16"/>
      <w:bookmarkEnd w:id="17"/>
      <w:r>
        <w:rPr/>
        <w:t>, указанной в Техническом требовании.</w:t>
      </w:r>
    </w:p>
    <w:p>
      <w:pPr>
        <w:pStyle w:val="Normal"/>
        <w:widowControl w:val="false"/>
        <w:shd w:val="clear" w:color="auto" w:fill="FFFFFF"/>
        <w:tabs>
          <w:tab w:val="clear" w:pos="708"/>
          <w:tab w:val="left" w:pos="1276" w:leader="none"/>
        </w:tabs>
        <w:spacing w:lineRule="auto" w:line="240"/>
        <w:ind w:firstLine="709"/>
        <w:rPr>
          <w:sz w:val="24"/>
          <w:szCs w:val="24"/>
        </w:rPr>
      </w:pPr>
      <w:r>
        <w:rPr>
          <w:sz w:val="24"/>
          <w:szCs w:val="24"/>
        </w:rPr>
        <w:t>Подрядчик ведет журнал производства работ (КС-6, КС-6А),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Форма журнала должна соответствовать типовой межотраслевой Форме №КС-6 и №КС-6А, утвержденной постановлением Госкомстата России от 30.10.1997 г. №71а. Журнал должен храниться непосредственно на объекте производства работ и немедленно предъявляться представителю Заказчика по его требованию.</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В случае если представителем Заказчика внесены в журнал производства работ замечания по выполненным работам, подлежащим закрытию, последующие работы не должны выполняться без письменного разрешения Заказчика. Если закрытие работ выполнено без подтверждения представителя Заказчика, то Подрядчик за свой счет обязуется открыть любую часть скрытых работ, не прошедших приемку представителем Заказчика, согласно его указанию, а затем восстановить ее.</w:t>
      </w:r>
    </w:p>
    <w:p>
      <w:pPr>
        <w:pStyle w:val="Normal"/>
        <w:shd w:val="clear" w:color="auto" w:fill="FFFFFF"/>
        <w:tabs>
          <w:tab w:val="clear" w:pos="708"/>
          <w:tab w:val="left" w:pos="709" w:leader="none"/>
          <w:tab w:val="left" w:pos="1134" w:leader="none"/>
        </w:tabs>
        <w:spacing w:lineRule="auto" w:line="240"/>
        <w:ind w:firstLine="709"/>
        <w:rPr>
          <w:sz w:val="24"/>
          <w:szCs w:val="24"/>
        </w:rPr>
      </w:pPr>
      <w:r>
        <w:rPr>
          <w:sz w:val="24"/>
          <w:szCs w:val="24"/>
        </w:rPr>
        <w:t xml:space="preserve">Для выполнения работ, Подрядчик разрабатывает проекты производства работ (ППР) и согласовывает за 10 (десять) дней до начала производства работ) их с Заказчиком, отражая в них объемы, технологическую последовательность, сроки выполнения строительно-монтажных работ, а также условия их совмещения с работой </w:t>
      </w:r>
      <w:r>
        <w:rPr>
          <w:sz w:val="24"/>
          <w:szCs w:val="24"/>
          <w:u w:val="none" w:color="FF0000"/>
        </w:rPr>
        <w:t>производственных цехов и участков реконструируемого объекта</w:t>
      </w:r>
      <w:r>
        <w:rPr>
          <w:sz w:val="24"/>
          <w:szCs w:val="24"/>
        </w:rPr>
        <w:t>, последовательность разборки конструкций, а также разборки или переноса инженерных сетей, место и условия подключения временных сетей электроснабжения и др., перевозок, складирования грузов и передвижения строительной техники по территории объекта, а также размещения временных зданий и сооружений и (или) использования для нужд строительства зданий Заказчика.</w:t>
      </w:r>
    </w:p>
    <w:p>
      <w:pPr>
        <w:pStyle w:val="Normal"/>
        <w:shd w:val="clear" w:color="auto" w:fill="FFFFFF"/>
        <w:tabs>
          <w:tab w:val="clear" w:pos="708"/>
          <w:tab w:val="left" w:pos="709" w:leader="none"/>
          <w:tab w:val="left" w:pos="1134" w:leader="none"/>
        </w:tabs>
        <w:spacing w:lineRule="auto" w:line="240"/>
        <w:ind w:firstLine="709"/>
        <w:rPr>
          <w:color w:val="auto"/>
          <w:highlight w:val="none"/>
          <w:shd w:fill="auto" w:val="clear"/>
        </w:rPr>
      </w:pPr>
      <w:r>
        <w:rPr>
          <w:color w:val="000000"/>
          <w:sz w:val="24"/>
          <w:szCs w:val="24"/>
          <w:shd w:fill="auto" w:val="clear"/>
        </w:rPr>
        <w:t>Подрядчик за свой счет обеспечивает осуществление в соответствии с требованиями нормативных технических документов авторского надзора за выполнением работ по настоящему Договору.</w:t>
      </w:r>
    </w:p>
    <w:p>
      <w:pPr>
        <w:pStyle w:val="ListParagraph"/>
        <w:numPr>
          <w:ilvl w:val="1"/>
          <w:numId w:val="19"/>
        </w:numPr>
        <w:shd w:val="clear" w:color="auto" w:fill="FFFFFF"/>
        <w:tabs>
          <w:tab w:val="clear" w:pos="708"/>
          <w:tab w:val="left" w:pos="1134" w:leader="none"/>
        </w:tabs>
        <w:ind w:left="0" w:firstLine="709"/>
        <w:jc w:val="both"/>
        <w:rPr/>
      </w:pPr>
      <w:r>
        <w:rPr>
          <w:bCs/>
        </w:rPr>
        <w:t>По завершении выполнения Работ в отно</w:t>
      </w:r>
      <w:r>
        <w:rPr>
          <w:bCs/>
          <w:shd w:fill="FFFFFF" w:val="clear"/>
        </w:rPr>
        <w:t xml:space="preserve">шении </w:t>
      </w:r>
      <w:r>
        <w:rPr>
          <w:shd w:fill="FFFFFF" w:val="clear"/>
        </w:rPr>
        <w:t>каждого</w:t>
      </w:r>
      <w:r>
        <w:rPr>
          <w:bCs/>
          <w:shd w:fill="FFFFFF" w:val="clear"/>
        </w:rPr>
        <w:t xml:space="preserve"> Объекта, установленного в Техническом требовании к дополнительному соглашению,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4"/>
        </w:numPr>
        <w:shd w:val="clear" w:color="auto" w:fill="FFFFFF"/>
        <w:tabs>
          <w:tab w:val="clear" w:pos="708"/>
          <w:tab w:val="left" w:pos="993" w:leader="none"/>
        </w:tabs>
        <w:ind w:left="0" w:firstLine="709"/>
        <w:jc w:val="both"/>
        <w:rPr/>
      </w:pPr>
      <w:r>
        <w:rPr>
          <w:shd w:fill="FFFFFF" w:val="clear"/>
        </w:rPr>
        <w:t>Акт КС-2, Справку КС-3 в отношении каждого</w:t>
      </w:r>
      <w:r>
        <w:rPr/>
        <w:t xml:space="preserve"> Объекта</w:t>
      </w:r>
      <w:r>
        <w:rPr>
          <w:bCs/>
        </w:rPr>
        <w:t xml:space="preserve"> н</w:t>
      </w:r>
      <w:r>
        <w:rPr/>
        <w:t>а весь объем выполненных работ по Объекту в 2 (двух) экземплярах.</w:t>
      </w:r>
    </w:p>
    <w:p>
      <w:pPr>
        <w:pStyle w:val="ListParagraph"/>
        <w:numPr>
          <w:ilvl w:val="0"/>
          <w:numId w:val="14"/>
        </w:numPr>
        <w:shd w:val="clear" w:color="auto" w:fill="FFFFFF"/>
        <w:tabs>
          <w:tab w:val="clear" w:pos="708"/>
          <w:tab w:val="left" w:pos="993" w:leader="none"/>
        </w:tabs>
        <w:ind w:left="0" w:firstLine="709"/>
        <w:jc w:val="both"/>
        <w:rPr/>
      </w:pPr>
      <w:r>
        <w:rPr>
          <w:shd w:fill="auto" w:val="clear"/>
        </w:rPr>
        <w:t>Акт</w:t>
      </w:r>
      <w:r>
        <w:rPr>
          <w:bCs/>
          <w:shd w:fill="auto" w:val="clear"/>
        </w:rPr>
        <w:t xml:space="preserve"> о приеме-сдаче отремонтированных, реконструированных, модернизированных объектов основных средств (по форме ОС-3)</w:t>
      </w:r>
      <w:r>
        <w:rPr>
          <w:bCs/>
        </w:rPr>
        <w:t xml:space="preserve"> в 2 (двух) экземплярах </w:t>
        <w:br/>
        <w:t xml:space="preserve">с приложением Приемо-сдаточной и Исполнительной документации </w:t>
      </w:r>
      <w:r>
        <w:rPr/>
        <w:t xml:space="preserve">в 3 (трех) экземплярах; </w:t>
      </w:r>
    </w:p>
    <w:p>
      <w:pPr>
        <w:pStyle w:val="ListParagraph"/>
        <w:numPr>
          <w:ilvl w:val="0"/>
          <w:numId w:val="14"/>
        </w:numPr>
        <w:shd w:val="clear" w:color="auto" w:fill="FFFFFF"/>
        <w:tabs>
          <w:tab w:val="clear" w:pos="708"/>
          <w:tab w:val="left" w:pos="993" w:leader="none"/>
        </w:tabs>
        <w:ind w:left="0" w:firstLine="709"/>
        <w:jc w:val="both"/>
        <w:rPr/>
      </w:pPr>
      <w:r>
        <w:rPr>
          <w:bCs/>
        </w:rPr>
        <w:t>А</w:t>
      </w:r>
      <w:r>
        <w:rPr/>
        <w:t>кт КС-11 в 2 (двух) экземплярах;</w:t>
      </w:r>
    </w:p>
    <w:p>
      <w:pPr>
        <w:pStyle w:val="ListParagraph"/>
        <w:numPr>
          <w:ilvl w:val="0"/>
          <w:numId w:val="14"/>
        </w:numPr>
        <w:shd w:val="clear" w:color="auto" w:fill="FFFFFF"/>
        <w:tabs>
          <w:tab w:val="clear" w:pos="708"/>
          <w:tab w:val="left" w:pos="993" w:leader="none"/>
        </w:tabs>
        <w:ind w:left="0" w:firstLine="709"/>
        <w:jc w:val="both"/>
        <w:rPr>
          <w:highlight w:val="none"/>
          <w:shd w:fill="auto" w:val="clear"/>
        </w:rPr>
      </w:pPr>
      <w:r>
        <w:rPr>
          <w:shd w:fill="auto" w:val="clear"/>
        </w:rPr>
        <w:t>Акт КС-14 (при необходимости) в 2 (двух) экземплярах;</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перечень организаций, участвовавших в производстве строительно-монтажных работ, с указанием видов выполненных ими работ и фамилий инженерно-технических работников, непосредственно ответственных за выполнение этих работ;</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комплект рабочих чертежей на строительство предъявляемого к приемке объекта, разработанных проектными организациями, с надписями о соответствии выполненных в натуре работ этим чертежам или внесенным в них изменениям, сделанными лицами, ответственными за производство строительно-монтажных работ. Указанный комплект рабочих чертежей является исполнительной документацией;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сертификаты, технические паспорта или другие документы, удостоверяющие качество материалов, конструкций и деталей, примененных при производстве строительно-монтажных работ;</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освидетельствовании скрытых работ и акты о промежуточной приемке отдельных ответственных конструкций (опор и пролетных строений мостов, арок, сводов, подпорных стен, несущих металлических и сборных железобетонных конструкций);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индивидуальных испытаниях смонтированного оборудования; акты об испытаниях технологических трубопроводов, внутренних систем холодного и горячего водоснабжения, канализации, газоснабжения, отопления и вентиляции, наружных сетей водоснабжения, канализации, теплоснабжения, газоснабжения и дренажных устройств; акты о выполнении уплотнения (герметизации) вводов и выпусков инженерных коммуникаций в местах прохода их через подземную часть наружных стен зданий в соответствии с проектом (рабочим проектом);</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внутренних и наружных электроустановок и электросетей;</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устройств телефонизации, радиофикации, телевидения, сигнализации и автоматизации;</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устройств, обеспечивающих взрывобезопасность, пожаробезопасность и молниезащиту;</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акты об испытаниях прочности сцепления в кладке несущих стен каменных зданий, расположенных в сейсмических районах;</w:t>
      </w:r>
    </w:p>
    <w:p>
      <w:pPr>
        <w:pStyle w:val="ListParagraph"/>
        <w:widowControl w:val="false"/>
        <w:numPr>
          <w:ilvl w:val="0"/>
          <w:numId w:val="14"/>
        </w:numPr>
        <w:shd w:val="clear" w:color="auto" w:fill="FFFFFF"/>
        <w:tabs>
          <w:tab w:val="clear" w:pos="708"/>
          <w:tab w:val="left" w:pos="993" w:leader="none"/>
          <w:tab w:val="left" w:pos="1620" w:leader="none"/>
        </w:tabs>
        <w:ind w:left="0" w:firstLine="709"/>
        <w:jc w:val="both"/>
        <w:rPr/>
      </w:pPr>
      <w:r>
        <w:rPr/>
        <w:t>журналы производства работ и авторского надзора проектных организаций, материалы обследований и проверок в процессе строительства органами государственного и другого надзора.</w:t>
      </w:r>
    </w:p>
    <w:p>
      <w:pPr>
        <w:pStyle w:val="Normal"/>
        <w:widowControl w:val="false"/>
        <w:shd w:val="clear" w:color="auto" w:fill="FFFFFF"/>
        <w:tabs>
          <w:tab w:val="clear" w:pos="708"/>
          <w:tab w:val="left" w:pos="425" w:leader="none"/>
          <w:tab w:val="left" w:pos="709" w:leader="none"/>
          <w:tab w:val="left" w:pos="1276" w:leader="none"/>
        </w:tabs>
        <w:spacing w:lineRule="auto" w:line="240"/>
        <w:ind w:firstLine="709"/>
        <w:rPr>
          <w:b/>
          <w:bCs/>
          <w:sz w:val="24"/>
        </w:rPr>
      </w:pPr>
      <w:r>
        <w:rPr>
          <w:sz w:val="24"/>
        </w:rPr>
        <w:t>Подрядчик письменно не позднее, чем за 5 (пять) дней до начала приемки извещает Заказчика о готовности отдельных ответственных конструкций и скрытых работ.</w:t>
      </w:r>
    </w:p>
    <w:p>
      <w:pPr>
        <w:pStyle w:val="Normal"/>
        <w:widowControl w:val="false"/>
        <w:shd w:val="clear" w:color="auto" w:fill="FFFFFF"/>
        <w:tabs>
          <w:tab w:val="clear" w:pos="708"/>
          <w:tab w:val="left" w:pos="425" w:leader="none"/>
          <w:tab w:val="left" w:pos="709" w:leader="none"/>
          <w:tab w:val="left" w:pos="1276" w:leader="none"/>
        </w:tabs>
        <w:spacing w:lineRule="auto" w:line="240"/>
        <w:ind w:firstLine="709"/>
        <w:rPr>
          <w:b/>
          <w:bCs/>
          <w:sz w:val="24"/>
        </w:rPr>
      </w:pPr>
      <w:r>
        <w:rPr>
          <w:sz w:val="24"/>
        </w:rPr>
        <w:t>Подрядчик приступает к выполнению последующих работ только после письменного разрешения Заказчика, внесенного в журнал производства работ.</w:t>
      </w:r>
    </w:p>
    <w:p>
      <w:pPr>
        <w:pStyle w:val="Normal"/>
        <w:shd w:val="clear" w:color="auto" w:fill="FFFFFF"/>
        <w:tabs>
          <w:tab w:val="clear" w:pos="708"/>
          <w:tab w:val="left" w:pos="1134" w:leader="none"/>
        </w:tabs>
        <w:spacing w:lineRule="auto" w:line="240"/>
        <w:ind w:firstLine="709"/>
        <w:rPr>
          <w:sz w:val="24"/>
        </w:rPr>
      </w:pPr>
      <w:r>
        <w:rPr>
          <w:sz w:val="24"/>
        </w:rPr>
        <w:t>Индивидуальное и комплексное опробование отдельных видов оборудования (трансформаторы, реакторы, выключатели и т.д.) выполняется под руководством Заказчика. Результаты опробования оформляются актами приемки оборудования.</w:t>
      </w:r>
    </w:p>
    <w:p>
      <w:pPr>
        <w:pStyle w:val="Normal"/>
        <w:shd w:val="clear" w:color="auto" w:fill="FFFFFF"/>
        <w:tabs>
          <w:tab w:val="clear" w:pos="708"/>
          <w:tab w:val="left" w:pos="1134" w:leader="none"/>
        </w:tabs>
        <w:spacing w:lineRule="auto" w:line="240"/>
        <w:ind w:firstLine="709"/>
        <w:rPr>
          <w:sz w:val="24"/>
        </w:rPr>
      </w:pPr>
      <w:r>
        <w:rPr>
          <w:sz w:val="24"/>
        </w:rPr>
        <w:t>Приемка объекта в целом осуществляется приемочной комиссии в соответствии с п.3.5, 3.6 СНиП 3.01.04-87.</w:t>
      </w:r>
    </w:p>
    <w:p>
      <w:pPr>
        <w:pStyle w:val="Normal"/>
        <w:shd w:val="clear" w:color="auto" w:fill="FFFFFF"/>
        <w:tabs>
          <w:tab w:val="clear" w:pos="708"/>
          <w:tab w:val="left" w:pos="1134" w:leader="none"/>
        </w:tabs>
        <w:spacing w:lineRule="auto" w:line="240"/>
        <w:ind w:firstLine="709"/>
        <w:rPr>
          <w:sz w:val="24"/>
        </w:rPr>
      </w:pPr>
      <w:r>
        <w:rPr>
          <w:sz w:val="24"/>
        </w:rPr>
        <w:t>Подрядчик предоставляет акты приемки выполняемых работ отдельно по каждому объекту.</w:t>
      </w:r>
    </w:p>
    <w:p>
      <w:pPr>
        <w:pStyle w:val="Normal"/>
        <w:shd w:val="clear" w:color="auto" w:fill="FFFFFF"/>
        <w:tabs>
          <w:tab w:val="clear" w:pos="708"/>
          <w:tab w:val="left" w:pos="1134" w:leader="none"/>
        </w:tabs>
        <w:spacing w:lineRule="auto" w:line="240"/>
        <w:ind w:firstLine="709"/>
        <w:rPr>
          <w:bCs/>
          <w:sz w:val="20"/>
        </w:rPr>
      </w:pPr>
      <w:bookmarkStart w:id="18" w:name="_Ref361336865"/>
      <w:bookmarkEnd w:id="18"/>
      <w:r>
        <w:rPr>
          <w:sz w:val="24"/>
        </w:rPr>
        <w:t>Акты приемки выполненных работ и счета-фактуры направляются в адрес филиала АО «ДРСК» «ХЭС».</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 xml:space="preserve">В течение 10 (десяти)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19"/>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w:t>
      </w:r>
      <w:r>
        <w:rPr>
          <w:bCs/>
          <w:shd w:fill="FFFFFF" w:val="clear"/>
        </w:rPr>
        <w:t xml:space="preserve">4.4 </w:t>
      </w:r>
      <w:r>
        <w:rPr>
          <w:bCs/>
        </w:rPr>
        <w:t>Договора.</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w:t>
        <w:br/>
        <w:t xml:space="preserve">по устранению недостатков, выявленных в ходе приемки результатов Работ, с отнесением </w:t>
        <w:br/>
        <w:t>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19"/>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9"/>
        </w:numPr>
        <w:shd w:val="clear" w:color="auto" w:fill="FFFFFF"/>
        <w:tabs>
          <w:tab w:val="clear" w:pos="708"/>
          <w:tab w:val="left" w:pos="1134" w:leader="none"/>
        </w:tabs>
        <w:ind w:left="0" w:firstLine="709"/>
        <w:jc w:val="both"/>
        <w:rPr>
          <w:bCs/>
        </w:rPr>
      </w:pPr>
      <w:bookmarkStart w:id="19" w:name="_Ref361337635"/>
      <w:r>
        <w:rPr>
          <w:bCs/>
        </w:rPr>
        <w:t xml:space="preserve">Подрядчик обязан представить Заказчику счета-фактуры, выставленные в сроки </w:t>
        <w:br/>
        <w:t>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w:t>
      </w:r>
      <w:r>
        <w:rPr>
          <w:bCs/>
          <w:shd w:fill="FFFFFF" w:val="clear"/>
        </w:rPr>
        <w:t>чика.</w:t>
      </w:r>
      <w:bookmarkEnd w:id="19"/>
      <w:r>
        <w:rPr>
          <w:bCs/>
          <w:shd w:fill="FFFFFF" w:val="clear"/>
        </w:rPr>
        <w:t xml:space="preserve">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w:t>
      </w:r>
      <w:r>
        <w:rPr>
          <w:bCs/>
          <w:shd w:fill="auto" w:val="clear"/>
        </w:rPr>
        <w:t>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Стоимость Давальческих материалов и запасных частей, указанных в приложениях к дополнительным соглашениям,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4.3 Договора.</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Стоимость Оборудования Заказчика, указанных в приложениях к дополнительным соглашениям,, передаваемого Подрядчику,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19"/>
        </w:numPr>
        <w:shd w:val="clear" w:color="auto" w:fill="FFFFFF"/>
        <w:tabs>
          <w:tab w:val="clear" w:pos="708"/>
          <w:tab w:val="left" w:pos="1134" w:leader="none"/>
        </w:tabs>
        <w:ind w:left="0" w:firstLine="709"/>
        <w:jc w:val="both"/>
        <w:rPr>
          <w:highlight w:val="white"/>
        </w:rPr>
      </w:pPr>
      <w:bookmarkStart w:id="20" w:name="_Ref361405028"/>
      <w:r>
        <w:rPr>
          <w:bCs/>
          <w:shd w:fill="FFFFFF" w:val="clear"/>
        </w:rPr>
        <w:t>Право собственности, риск случайной гибели или повреждения результата Проектных работ перехо</w:t>
      </w:r>
      <w:r>
        <w:rPr>
          <w:bCs/>
          <w:shd w:fill="auto" w:val="clear"/>
        </w:rPr>
        <w:t>дит к Заказчику с момента подписания соответствующего Акта сдачи-приемки Проектных работ по форме Приложения № 6 к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Риск случайной гибели или повреждения Резу</w:t>
      </w:r>
      <w:r>
        <w:rPr>
          <w:bCs/>
          <w:shd w:fill="FFFFFF" w:val="clear"/>
        </w:rPr>
        <w:t>льтата Работ (кроме Проектных работ)</w:t>
      </w:r>
      <w:r>
        <w:rPr>
          <w:bCs/>
        </w:rPr>
        <w:t xml:space="preserve"> в отношении каждого Объекта, включая Оборудование (в том числе, переданное </w:t>
        <w:br/>
        <w:t xml:space="preserve">в монтаж) и Материально-технические ресурсы, переходит к Заказчику с момента подписания соответствующего Акта </w:t>
      </w:r>
      <w:r>
        <w:rPr/>
        <w:t>КС-11</w:t>
      </w:r>
      <w:bookmarkEnd w:id="20"/>
      <w:r>
        <w:rPr>
          <w:bCs/>
        </w:rPr>
        <w:t>. До подписания Сторонами указанного Акта риск случайной гибели или повреждения Результата Работ по Объекту, несет Подрядчик.</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19"/>
        </w:numPr>
        <w:shd w:val="clear" w:color="auto" w:fill="FFFFFF"/>
        <w:tabs>
          <w:tab w:val="clear" w:pos="708"/>
          <w:tab w:val="left" w:pos="1134" w:leader="none"/>
        </w:tabs>
        <w:ind w:left="0" w:firstLine="709"/>
        <w:jc w:val="both"/>
        <w:rPr>
          <w:bCs/>
        </w:rPr>
      </w:pPr>
      <w:r>
        <w:rPr>
          <w:bCs/>
        </w:rPr>
        <w:t>Подписание</w:t>
      </w:r>
      <w:r>
        <w:rPr>
          <w:iCs/>
        </w:rPr>
        <w:t xml:space="preserve"> Заказчиком </w:t>
      </w:r>
      <w:r>
        <w:rPr>
          <w:bCs/>
        </w:rPr>
        <w:t xml:space="preserve">Акта </w:t>
      </w:r>
      <w:r>
        <w:rPr/>
        <w:t xml:space="preserve">КС-11 </w:t>
      </w:r>
      <w:r>
        <w:rPr>
          <w:iCs/>
        </w:rPr>
        <w:t xml:space="preserve">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Pr>
          <w:iCs/>
          <w:shd w:fill="auto" w:val="clear"/>
        </w:rPr>
        <w:t>Заказчика, в том числе приемка Этапов Работ, не освобождает Подрядчика от ответственности за Результат Работ по Договору в целом.</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Передача Заказчиком Давальческих материалов и запасных частей, указанных в приложении к дополнительным соглашениям, осуществляется без перехода права собственности на данное имущество к Подрядчику.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Передача Заказчиком Оборудования Заказчика, указанного в приложении к дополнительным соглашениям, осуществляется без перехода права собственности на данное имущество к Подрядчику.</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highlight w:val="yellow"/>
        </w:rPr>
      </w:pPr>
      <w:r>
        <w:rPr>
          <w:b/>
          <w:bCs/>
        </w:rPr>
        <w:t xml:space="preserve">Независимая гарантия </w:t>
      </w:r>
    </w:p>
    <w:p>
      <w:pPr>
        <w:pStyle w:val="ListParagraph"/>
        <w:tabs>
          <w:tab w:val="clear" w:pos="708"/>
          <w:tab w:val="left" w:pos="1134" w:leader="none"/>
        </w:tabs>
        <w:ind w:left="0" w:firstLine="709"/>
        <w:jc w:val="both"/>
        <w:rPr>
          <w:highlight w:val="white"/>
        </w:rPr>
      </w:pPr>
      <w:r>
        <w:rPr>
          <w:bCs/>
        </w:rPr>
        <w:t>6.1. Независимая гарантия, должна соответствовать следующим требованиям</w:t>
      </w:r>
      <w:r>
        <w:rPr/>
        <w:t>:</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Независимая гарантия не может быть отозвана выдавшим ее гарантом;</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бенефициар по Независимой гарантии – Заказчик, принципал – Подрядчик;</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сумма Независимой гарантии должна быть выражена в валюте расчетов по Договору;</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сумма Независимой гарантии должна составлять:</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t>не менее 100 (ста) процентов от размера уплачиваемой по Договору предварительной оплаты (аванса);</w:t>
      </w:r>
      <w:r>
        <w:rPr>
          <w:bCs/>
        </w:rPr>
        <w:t xml:space="preserve"> </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numPr>
          <w:ilvl w:val="0"/>
          <w:numId w:val="21"/>
        </w:numPr>
        <w:tabs>
          <w:tab w:val="clear" w:pos="708"/>
          <w:tab w:val="left" w:pos="1134" w:leader="none"/>
        </w:tabs>
        <w:suppressAutoHyphens w:val="true"/>
        <w:bidi w:val="0"/>
        <w:spacing w:lineRule="auto" w:line="240"/>
        <w:ind w:left="0" w:right="0" w:firstLine="680"/>
        <w:jc w:val="both"/>
        <w:rPr/>
      </w:pPr>
      <w:r>
        <w:rPr>
          <w:bCs/>
        </w:rPr>
        <w:t xml:space="preserve">срок окончания Независимой гарантии – не ранее 70 (семидесяти) календарных дней после наступления даты завершения Работ по Договору в целом / соответствующему </w:t>
      </w:r>
      <w:r>
        <w:rPr>
          <w:bCs/>
          <w:shd w:fill="FFFFFF" w:val="clear"/>
        </w:rPr>
        <w:t>Объекту;</w:t>
      </w:r>
    </w:p>
    <w:p>
      <w:pPr>
        <w:pStyle w:val="Normal"/>
        <w:widowControl w:val="false"/>
        <w:tabs>
          <w:tab w:val="clear" w:pos="708"/>
          <w:tab w:val="left" w:pos="1134" w:leader="none"/>
        </w:tabs>
        <w:suppressAutoHyphens w:val="true"/>
        <w:bidi w:val="0"/>
        <w:spacing w:lineRule="auto" w:line="240"/>
        <w:ind w:left="0" w:right="0" w:firstLine="680"/>
        <w:jc w:val="both"/>
        <w:rPr>
          <w:highlight w:val="white"/>
        </w:rPr>
      </w:pPr>
      <w:r>
        <w:rPr>
          <w:bCs/>
          <w:sz w:val="24"/>
          <w:shd w:fill="FFFFFF" w:val="clear"/>
        </w:rPr>
        <w:t>В случае увеличения Цены Договора и, как следствие,</w:t>
      </w:r>
      <w:r>
        <w:rPr>
          <w:bCs/>
          <w:sz w:val="24"/>
        </w:rPr>
        <w:t xml:space="preserve"> продления срока в</w:t>
      </w:r>
      <w:r>
        <w:rPr>
          <w:bCs/>
          <w:sz w:val="24"/>
          <w:shd w:fill="FFFFFF" w:val="clear"/>
        </w:rPr>
        <w:t>ыполнения 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Normal"/>
        <w:widowControl w:val="false"/>
        <w:spacing w:lineRule="auto" w:line="240"/>
        <w:ind w:firstLine="709"/>
        <w:rPr>
          <w:highlight w:val="white"/>
        </w:rPr>
      </w:pPr>
      <w:r>
        <w:rPr>
          <w:bCs/>
          <w:sz w:val="24"/>
          <w:szCs w:val="24"/>
          <w:shd w:fill="FFFFFF" w:val="clear"/>
        </w:rPr>
        <w:t>6.2.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pPr>
        <w:pStyle w:val="Normal"/>
        <w:widowControl w:val="false"/>
        <w:spacing w:lineRule="auto" w:line="240"/>
        <w:ind w:firstLine="709"/>
        <w:rPr>
          <w:highlight w:val="white"/>
        </w:rPr>
      </w:pPr>
      <w:r>
        <w:rPr>
          <w:bCs/>
          <w:sz w:val="24"/>
          <w:szCs w:val="24"/>
          <w:shd w:fill="FFFFFF" w:val="clear"/>
        </w:rPr>
        <w:t>6.2.1. условие о праве бенефициара предъявлять до окончания срока действия Независимой гарантии в случае неисполнения или ненадлежащего исполнения 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widowControl w:val="false"/>
        <w:spacing w:lineRule="auto" w:line="240"/>
        <w:ind w:firstLine="709"/>
        <w:rPr>
          <w:highlight w:val="white"/>
        </w:rPr>
      </w:pPr>
      <w:r>
        <w:rPr>
          <w:bCs/>
          <w:sz w:val="24"/>
          <w:szCs w:val="24"/>
          <w:shd w:fill="FFFFFF" w:val="clear"/>
        </w:rPr>
        <w:t>6.2.2. условие о праве бенефициара направлять требование об уплате денежной суммы по Независимой гарантии:</w:t>
      </w:r>
    </w:p>
    <w:p>
      <w:pPr>
        <w:pStyle w:val="Normal"/>
        <w:widowControl w:val="false"/>
        <w:spacing w:lineRule="auto" w:line="240"/>
        <w:ind w:firstLine="709"/>
        <w:rPr>
          <w:highlight w:val="none"/>
          <w:shd w:fill="auto" w:val="clear"/>
        </w:rPr>
      </w:pPr>
      <w:r>
        <w:rPr>
          <w:rFonts w:ascii="Liberation Serif" w:hAnsi="Liberation Serif"/>
          <w:bCs/>
          <w:sz w:val="24"/>
          <w:szCs w:val="24"/>
          <w:shd w:fill="auto" w:val="clear"/>
          <w:lang w:val="ru-RU"/>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Normal"/>
        <w:widowControl w:val="false"/>
        <w:spacing w:before="0" w:after="0"/>
        <w:ind w:left="0" w:right="0" w:hanging="0"/>
        <w:jc w:val="both"/>
        <w:rPr>
          <w:highlight w:val="none"/>
          <w:shd w:fill="auto" w:val="clear"/>
        </w:rPr>
      </w:pPr>
      <w:r>
        <w:rPr>
          <w:rFonts w:ascii="Liberation Serif" w:hAnsi="Liberation Serif"/>
          <w:bCs/>
          <w:sz w:val="24"/>
          <w:szCs w:val="24"/>
          <w:shd w:fill="auto" w:val="clear"/>
        </w:rPr>
        <w:t>либо</w:t>
      </w:r>
    </w:p>
    <w:p>
      <w:pPr>
        <w:pStyle w:val="Normal"/>
        <w:widowControl w:val="false"/>
        <w:spacing w:before="0" w:after="0"/>
        <w:ind w:left="0" w:right="0" w:hanging="0"/>
        <w:jc w:val="both"/>
        <w:rPr>
          <w:highlight w:val="none"/>
          <w:shd w:fill="auto" w:val="clear"/>
        </w:rPr>
      </w:pPr>
      <w:r>
        <w:rPr>
          <w:rFonts w:ascii="Liberation Serif" w:hAnsi="Liberation Serif"/>
          <w:bCs/>
          <w:sz w:val="24"/>
          <w:szCs w:val="24"/>
          <w:shd w:fill="auto" w:val="clear"/>
          <w:lang w:val="ru-RU"/>
        </w:rPr>
        <w:t>- в оригинале на бумажном носителе.</w:t>
      </w:r>
      <w:r>
        <w:rPr>
          <w:bCs/>
          <w:sz w:val="24"/>
          <w:szCs w:val="24"/>
          <w:shd w:fill="auto" w:val="clear"/>
        </w:rPr>
        <w:t>.</w:t>
      </w:r>
    </w:p>
    <w:p>
      <w:pPr>
        <w:pStyle w:val="Normal"/>
        <w:widowControl w:val="false"/>
        <w:spacing w:lineRule="auto" w:line="240"/>
        <w:ind w:firstLine="709"/>
        <w:rPr>
          <w:highlight w:val="white"/>
        </w:rPr>
      </w:pPr>
      <w:r>
        <w:rPr>
          <w:bCs/>
          <w:sz w:val="24"/>
          <w:szCs w:val="24"/>
          <w:shd w:fill="auto" w:val="clear"/>
        </w:rPr>
        <w:t>6.3. Выбор формы направления такого требования осуществляется бенефициаром</w:t>
      </w:r>
      <w:r>
        <w:rPr>
          <w:bCs/>
          <w:sz w:val="24"/>
          <w:szCs w:val="24"/>
          <w:shd w:fill="FFFFFF" w:val="clear"/>
        </w:rPr>
        <w:t xml:space="preserve"> самостоятельно.</w:t>
      </w:r>
    </w:p>
    <w:p>
      <w:pPr>
        <w:pStyle w:val="Normal"/>
        <w:widowControl w:val="false"/>
        <w:spacing w:lineRule="auto" w:line="240"/>
        <w:ind w:firstLine="709"/>
        <w:rPr>
          <w:highlight w:val="white"/>
        </w:rPr>
      </w:pPr>
      <w:r>
        <w:rPr>
          <w:bCs/>
          <w:sz w:val="24"/>
          <w:szCs w:val="24"/>
          <w:shd w:fill="FFFFFF" w:val="clear"/>
        </w:rPr>
        <w:t>6.4.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расчет суммы, включаемой в требование об уплате денежной суммы по Независимой гарантии;</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документ, содержащий указание на нарушения принципалом обязательств, предусмотренных Договором;</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Normal"/>
        <w:widowControl w:val="false"/>
        <w:spacing w:lineRule="auto" w:line="240"/>
        <w:ind w:firstLine="709"/>
        <w:rPr>
          <w:highlight w:val="white"/>
        </w:rPr>
      </w:pPr>
      <w:r>
        <w:rPr>
          <w:bCs/>
          <w:sz w:val="24"/>
          <w:szCs w:val="24"/>
          <w:shd w:fill="FFFFFF"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Normal"/>
        <w:widowControl w:val="false"/>
        <w:spacing w:lineRule="auto" w:line="240"/>
        <w:ind w:firstLine="709"/>
        <w:rPr>
          <w:highlight w:val="white"/>
        </w:rPr>
      </w:pPr>
      <w:r>
        <w:rPr>
          <w:bCs/>
          <w:sz w:val="24"/>
          <w:szCs w:val="24"/>
          <w:shd w:fill="FFFFFF" w:val="clear"/>
        </w:rPr>
        <w:t>6.5.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Normal"/>
        <w:widowControl w:val="false"/>
        <w:spacing w:lineRule="auto" w:line="240"/>
        <w:ind w:firstLine="709"/>
        <w:rPr>
          <w:highlight w:val="white"/>
        </w:rPr>
      </w:pPr>
      <w:r>
        <w:rPr>
          <w:bCs/>
          <w:sz w:val="24"/>
          <w:szCs w:val="24"/>
          <w:shd w:fill="FFFFFF" w:val="clear"/>
        </w:rPr>
        <w:t>6.6. Требование об уплате денежной суммы по Независимой гарантии может содержать указание на существо допущенных Подрядчиком нарушений, в том числе в случаях:</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отказа Подрядчика от исполнения обязательств по Договору, в том числе одностороннего отказа от Договора;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нарушения Подрядчиком сроков поставки (выполнения работ, оказания услуг), установленных Календарным графиком выполнения р</w:t>
      </w:r>
      <w:r>
        <w:rPr>
          <w:bCs/>
          <w:sz w:val="24"/>
          <w:szCs w:val="24"/>
        </w:rPr>
        <w:t>абот (Приложение к дополнительному соглашению), более чем на 60 (шестьдесят) календарных дней;</w:t>
      </w:r>
    </w:p>
    <w:p>
      <w:pPr>
        <w:pStyle w:val="Normal"/>
        <w:widowControl w:val="false"/>
        <w:spacing w:lineRule="auto" w:line="240"/>
        <w:ind w:firstLine="709"/>
        <w:rPr>
          <w:highlight w:val="white"/>
        </w:rPr>
      </w:pPr>
      <w:r>
        <w:rPr>
          <w:bCs/>
          <w:sz w:val="24"/>
          <w:szCs w:val="24"/>
        </w:rPr>
        <w:t xml:space="preserve">– </w:t>
      </w:r>
      <w:r>
        <w:rPr>
          <w:bCs/>
          <w:sz w:val="24"/>
          <w:szCs w:val="24"/>
        </w:rPr>
        <w:t>утраты Подрядчиком специальных разрешений (в том числе отзыв, прекращение (приостановление) действие допусков, разрешений) и</w:t>
      </w:r>
      <w:r>
        <w:rPr>
          <w:bCs/>
          <w:sz w:val="24"/>
          <w:szCs w:val="24"/>
          <w:shd w:fill="FFFFFF" w:val="clear"/>
        </w:rPr>
        <w:t xml:space="preserve"> / или лицензий, предоставляющих Подрядчику возможность надлежащего исполнения обязательств по Договору;</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прекращения членства Подрядчика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введения арбитражным судом процедуры несостоятельности (банкротства) в отношении Подрядчика;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Договоре, и имеющих существенное значение для его заключения и исполнения;</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признания Договора недействительным по причинам отсутствия необходимых корпоративных одобрений у Подрядчика;</w:t>
      </w:r>
    </w:p>
    <w:p>
      <w:pPr>
        <w:pStyle w:val="Normal"/>
        <w:widowControl w:val="false"/>
        <w:spacing w:lineRule="auto" w:line="240"/>
        <w:ind w:firstLine="709"/>
        <w:rPr>
          <w:highlight w:val="white"/>
        </w:rPr>
      </w:pPr>
      <w:r>
        <w:rPr>
          <w:bCs/>
          <w:sz w:val="24"/>
          <w:szCs w:val="24"/>
          <w:shd w:fill="FFFFFF" w:val="clear"/>
        </w:rPr>
        <w:t xml:space="preserve">– </w:t>
      </w:r>
      <w:r>
        <w:rPr>
          <w:bCs/>
          <w:sz w:val="24"/>
          <w:szCs w:val="24"/>
          <w:shd w:fill="FFFFFF" w:val="clear"/>
        </w:rPr>
        <w:t>непредоставления 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Подрядчика по Договору превышает срок действия Независимой гарантии либо срок исполнения обязательств продлен.</w:t>
      </w:r>
    </w:p>
    <w:p>
      <w:pPr>
        <w:pStyle w:val="Normal"/>
        <w:widowControl w:val="false"/>
        <w:spacing w:lineRule="auto" w:line="240"/>
        <w:ind w:firstLine="709"/>
        <w:rPr>
          <w:highlight w:val="white"/>
        </w:rPr>
      </w:pPr>
      <w:r>
        <w:rPr>
          <w:bCs/>
          <w:sz w:val="24"/>
          <w:szCs w:val="24"/>
          <w:shd w:fill="FFFFFF" w:val="clear"/>
        </w:rPr>
        <w:t>6.7.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Normal"/>
        <w:widowControl w:val="false"/>
        <w:spacing w:lineRule="auto" w:line="240"/>
        <w:ind w:firstLine="709"/>
        <w:rPr>
          <w:highlight w:val="white"/>
        </w:rPr>
      </w:pPr>
      <w:r>
        <w:rPr>
          <w:bCs/>
          <w:sz w:val="24"/>
          <w:szCs w:val="24"/>
          <w:shd w:fill="FFFFFF" w:val="clear"/>
        </w:rPr>
        <w:t>6.8. Текст Независимой гарантии должен содержать следующие условия:</w:t>
      </w:r>
    </w:p>
    <w:p>
      <w:pPr>
        <w:pStyle w:val="ListParagraph"/>
        <w:widowControl w:val="false"/>
        <w:tabs>
          <w:tab w:val="clear" w:pos="708"/>
          <w:tab w:val="left" w:pos="1134" w:leader="none"/>
        </w:tabs>
        <w:spacing w:lineRule="auto" w:line="240"/>
        <w:ind w:left="0" w:firstLine="709"/>
        <w:jc w:val="both"/>
        <w:rPr>
          <w:highlight w:val="white"/>
        </w:rPr>
      </w:pPr>
      <w:r>
        <w:rPr>
          <w:bCs/>
          <w:sz w:val="24"/>
          <w:szCs w:val="24"/>
          <w:shd w:fill="FFFFFF" w:val="clear"/>
        </w:rPr>
        <w:t>6.8.1. Перечень Документов к требованию.</w:t>
      </w:r>
    </w:p>
    <w:p>
      <w:pPr>
        <w:pStyle w:val="Normal"/>
        <w:widowControl w:val="false"/>
        <w:spacing w:lineRule="auto" w:line="240"/>
        <w:ind w:firstLine="709"/>
        <w:rPr>
          <w:highlight w:val="white"/>
        </w:rPr>
      </w:pPr>
      <w:r>
        <w:rPr>
          <w:bCs/>
          <w:sz w:val="24"/>
          <w:szCs w:val="24"/>
          <w:shd w:fill="FFFFFF" w:val="clear"/>
        </w:rPr>
        <w:t>6.8.2.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Normal"/>
        <w:widowControl w:val="false"/>
        <w:spacing w:lineRule="auto" w:line="240"/>
        <w:ind w:firstLine="709"/>
        <w:rPr>
          <w:highlight w:val="white"/>
        </w:rPr>
      </w:pPr>
      <w:r>
        <w:rPr>
          <w:bCs/>
          <w:sz w:val="24"/>
          <w:szCs w:val="24"/>
          <w:shd w:fill="FFFFFF" w:val="clear"/>
        </w:rPr>
        <w:t>6.8.3.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pPr>
        <w:pStyle w:val="Normal"/>
        <w:widowControl w:val="false"/>
        <w:spacing w:lineRule="auto" w:line="240"/>
        <w:ind w:firstLine="709"/>
        <w:rPr>
          <w:highlight w:val="white"/>
        </w:rPr>
      </w:pPr>
      <w:r>
        <w:rPr>
          <w:bCs/>
          <w:sz w:val="24"/>
          <w:szCs w:val="24"/>
          <w:shd w:fill="FFFFFF" w:val="clear"/>
        </w:rPr>
        <w:t>6.8.4. условие о том, что расходы, возникающие в связи с перечислением гарантом денежных средств по Независимой гарантии, несет гарант;</w:t>
      </w:r>
    </w:p>
    <w:p>
      <w:pPr>
        <w:pStyle w:val="Normal"/>
        <w:widowControl w:val="false"/>
        <w:spacing w:lineRule="auto" w:line="240"/>
        <w:ind w:firstLine="709"/>
        <w:rPr>
          <w:highlight w:val="white"/>
        </w:rPr>
      </w:pPr>
      <w:r>
        <w:rPr>
          <w:bCs/>
          <w:sz w:val="24"/>
          <w:szCs w:val="24"/>
          <w:shd w:fill="FFFFFF" w:val="clear"/>
        </w:rPr>
        <w:t>6.8.5.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Normal"/>
        <w:widowControl w:val="false"/>
        <w:spacing w:lineRule="auto" w:line="240"/>
        <w:ind w:firstLine="709"/>
        <w:rPr>
          <w:highlight w:val="white"/>
        </w:rPr>
      </w:pPr>
      <w:r>
        <w:rPr>
          <w:bCs/>
          <w:sz w:val="24"/>
          <w:szCs w:val="24"/>
          <w:shd w:fill="FFFFFF" w:val="clear"/>
        </w:rPr>
        <w:t>6.8.6. условие о рассмотрении споров, возникающих в связи с исполнением обязательств по Независимой гарантии, в Арбитражном суде Амурской области;</w:t>
      </w:r>
    </w:p>
    <w:p>
      <w:pPr>
        <w:pStyle w:val="Normal"/>
        <w:widowControl w:val="false"/>
        <w:spacing w:lineRule="auto" w:line="240"/>
        <w:ind w:firstLine="709"/>
        <w:rPr>
          <w:highlight w:val="white"/>
        </w:rPr>
      </w:pPr>
      <w:r>
        <w:rPr>
          <w:bCs/>
          <w:sz w:val="24"/>
          <w:szCs w:val="24"/>
          <w:shd w:fill="FFFFFF" w:val="clear"/>
        </w:rPr>
        <w:t>6.8.7.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Normal"/>
        <w:widowControl w:val="false"/>
        <w:spacing w:lineRule="auto" w:line="240"/>
        <w:ind w:firstLine="709"/>
        <w:rPr>
          <w:highlight w:val="white"/>
        </w:rPr>
      </w:pPr>
      <w:r>
        <w:rPr>
          <w:bCs/>
          <w:sz w:val="24"/>
          <w:szCs w:val="24"/>
          <w:shd w:fill="FFFFFF" w:val="clear"/>
        </w:rPr>
        <w:t>6.8.8.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Normal"/>
        <w:widowControl w:val="false"/>
        <w:spacing w:lineRule="auto" w:line="240"/>
        <w:ind w:firstLine="709"/>
        <w:rPr>
          <w:highlight w:val="white"/>
        </w:rPr>
      </w:pPr>
      <w:r>
        <w:rPr>
          <w:bCs/>
          <w:sz w:val="24"/>
          <w:szCs w:val="24"/>
          <w:shd w:fill="FFFFFF" w:val="clear"/>
        </w:rPr>
        <w:t>6.9. Независимая гарантия не должна содержать условия:</w:t>
      </w:r>
    </w:p>
    <w:p>
      <w:pPr>
        <w:pStyle w:val="Normal"/>
        <w:widowControl w:val="false"/>
        <w:spacing w:lineRule="auto" w:line="240"/>
        <w:ind w:firstLine="709"/>
        <w:rPr>
          <w:highlight w:val="white"/>
        </w:rPr>
      </w:pPr>
      <w:r>
        <w:rPr>
          <w:bCs/>
          <w:sz w:val="24"/>
          <w:szCs w:val="24"/>
          <w:shd w:fill="FFFFFF" w:val="clear"/>
        </w:rPr>
        <w:t>-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Normal"/>
        <w:widowControl w:val="false"/>
        <w:spacing w:lineRule="auto" w:line="240"/>
        <w:ind w:firstLine="709"/>
        <w:rPr>
          <w:highlight w:val="white"/>
        </w:rPr>
      </w:pPr>
      <w:r>
        <w:rPr>
          <w:bCs/>
          <w:sz w:val="24"/>
          <w:szCs w:val="24"/>
          <w:shd w:fill="FFFFFF" w:val="clear"/>
        </w:rPr>
        <w:t>-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Подрядчиком условий договора или о расторжении договора;</w:t>
      </w:r>
    </w:p>
    <w:p>
      <w:pPr>
        <w:pStyle w:val="Normal"/>
        <w:widowControl w:val="false"/>
        <w:spacing w:lineRule="auto" w:line="240"/>
        <w:ind w:firstLine="709"/>
        <w:rPr>
          <w:highlight w:val="white"/>
        </w:rPr>
      </w:pPr>
      <w:r>
        <w:rPr>
          <w:bCs/>
          <w:sz w:val="24"/>
          <w:szCs w:val="24"/>
          <w:shd w:fill="FFFFFF" w:val="clear"/>
        </w:rPr>
        <w:t>-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Normal"/>
        <w:widowControl w:val="false"/>
        <w:spacing w:lineRule="auto" w:line="240"/>
        <w:ind w:firstLine="709"/>
        <w:rPr>
          <w:highlight w:val="white"/>
        </w:rPr>
      </w:pPr>
      <w:r>
        <w:rPr>
          <w:bCs/>
          <w:sz w:val="24"/>
          <w:szCs w:val="24"/>
          <w:shd w:fill="FFFFFF" w:val="clear"/>
        </w:rPr>
        <w:t>-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pPr>
        <w:pStyle w:val="Normal"/>
        <w:widowControl w:val="false"/>
        <w:spacing w:lineRule="auto" w:line="240"/>
        <w:ind w:firstLine="709"/>
        <w:rPr>
          <w:highlight w:val="white"/>
        </w:rPr>
      </w:pPr>
      <w:r>
        <w:rPr>
          <w:bCs/>
          <w:sz w:val="24"/>
          <w:szCs w:val="24"/>
          <w:shd w:fill="FFFFFF" w:val="clear"/>
        </w:rPr>
        <w:t>6.10.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tabs>
          <w:tab w:val="clear" w:pos="708"/>
          <w:tab w:val="left" w:pos="1134" w:leader="none"/>
        </w:tabs>
        <w:spacing w:before="0" w:after="160"/>
        <w:ind w:left="0" w:firstLine="709"/>
        <w:contextualSpacing/>
        <w:jc w:val="both"/>
        <w:rPr>
          <w:highlight w:val="white"/>
        </w:rPr>
      </w:pPr>
      <w:r>
        <w:rPr>
          <w:bCs/>
          <w:sz w:val="24"/>
          <w:szCs w:val="24"/>
          <w:shd w:fill="FFFFFF" w:val="clear"/>
        </w:rPr>
        <w:t xml:space="preserve">6.11. </w:t>
      </w:r>
      <w:r>
        <w:rPr>
          <w:shd w:fill="FFFFFF" w:val="clear"/>
        </w:rPr>
        <w:t>Текст независимой гарантии должен содержать следующее условие:</w:t>
      </w:r>
    </w:p>
    <w:p>
      <w:pPr>
        <w:pStyle w:val="ListParagraph"/>
        <w:tabs>
          <w:tab w:val="clear" w:pos="708"/>
          <w:tab w:val="left" w:pos="1134" w:leader="none"/>
        </w:tabs>
        <w:spacing w:before="0" w:after="160"/>
        <w:ind w:left="0" w:firstLine="709"/>
        <w:contextualSpacing/>
        <w:jc w:val="both"/>
        <w:rPr>
          <w:highlight w:val="white"/>
        </w:rPr>
      </w:pPr>
      <w:r>
        <w:rPr>
          <w:shd w:fill="FFFFFF"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tabs>
          <w:tab w:val="clear" w:pos="708"/>
          <w:tab w:val="left" w:pos="1134" w:leader="none"/>
        </w:tabs>
        <w:ind w:left="0" w:firstLine="709"/>
        <w:jc w:val="both"/>
        <w:rPr>
          <w:highlight w:val="white"/>
        </w:rPr>
      </w:pPr>
      <w:r>
        <w:rPr>
          <w:bCs/>
          <w:sz w:val="24"/>
          <w:szCs w:val="24"/>
          <w:shd w:fill="FFFFFF" w:val="clear"/>
        </w:rPr>
        <w:t xml:space="preserve">6.12. </w:t>
      </w:r>
      <w:r>
        <w:rPr>
          <w:shd w:fill="FFFFFF" w:val="clear"/>
        </w:rPr>
        <w:t>Несоответствие Независимой гарантии, предоставленной Подрядчиком, вышеперечисленным требованиям, является основанием для отказа в принятии ее бенефициаром (Заказчиком).</w:t>
      </w:r>
    </w:p>
    <w:p>
      <w:pPr>
        <w:pStyle w:val="ListParagraph"/>
        <w:tabs>
          <w:tab w:val="clear" w:pos="708"/>
          <w:tab w:val="left" w:pos="1134" w:leader="none"/>
        </w:tabs>
        <w:ind w:left="0" w:firstLine="709"/>
        <w:jc w:val="both"/>
        <w:rPr>
          <w:highlight w:val="white"/>
        </w:rPr>
      </w:pPr>
      <w:r>
        <w:rPr>
          <w:bCs/>
          <w:sz w:val="24"/>
          <w:szCs w:val="24"/>
          <w:shd w:fill="FFFFFF" w:val="clear"/>
        </w:rPr>
        <w:t xml:space="preserve">6.13. </w:t>
      </w:r>
      <w:r>
        <w:rPr>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tabs>
          <w:tab w:val="clear" w:pos="708"/>
          <w:tab w:val="left" w:pos="1134" w:leader="none"/>
        </w:tabs>
        <w:ind w:left="0" w:firstLine="709"/>
        <w:jc w:val="both"/>
        <w:rPr>
          <w:highlight w:val="white"/>
        </w:rPr>
      </w:pPr>
      <w:r>
        <w:rPr>
          <w:bCs/>
          <w:shd w:fill="FFFFFF" w:val="clear"/>
        </w:rPr>
        <w:t xml:space="preserve">6.14. В случаях: </w:t>
      </w:r>
    </w:p>
    <w:p>
      <w:pPr>
        <w:pStyle w:val="ListParagraph"/>
        <w:shd w:val="clear" w:color="auto" w:fill="FFFFFF"/>
        <w:tabs>
          <w:tab w:val="clear" w:pos="708"/>
          <w:tab w:val="left" w:pos="1134" w:leader="none"/>
        </w:tabs>
        <w:ind w:left="0" w:firstLine="709"/>
        <w:jc w:val="both"/>
        <w:rPr>
          <w:highlight w:val="white"/>
        </w:rPr>
      </w:pPr>
      <w:r>
        <w:rPr>
          <w:bCs/>
          <w:shd w:fill="FFFFFF" w:val="clear"/>
        </w:rPr>
        <w:t>- 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shd w:val="clear" w:color="auto" w:fill="FFFFFF"/>
        <w:tabs>
          <w:tab w:val="clear" w:pos="708"/>
          <w:tab w:val="left" w:pos="1134" w:leader="none"/>
        </w:tabs>
        <w:ind w:left="0" w:firstLine="709"/>
        <w:jc w:val="both"/>
        <w:rPr>
          <w:highlight w:val="white"/>
        </w:rPr>
      </w:pPr>
      <w:r>
        <w:rPr>
          <w:bCs/>
          <w:shd w:fill="FFFFFF" w:val="clear"/>
        </w:rPr>
        <w:t xml:space="preserve">- 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8"/>
          <w:tab w:val="left" w:pos="1134" w:leader="none"/>
        </w:tabs>
        <w:ind w:left="0" w:firstLine="709"/>
        <w:jc w:val="both"/>
        <w:rPr>
          <w:highlight w:val="white"/>
        </w:rPr>
      </w:pPr>
      <w:r>
        <w:rPr>
          <w:bCs/>
          <w:shd w:fill="FFFFFF" w:val="clear"/>
        </w:rPr>
        <w:t>Подрядчик обязан предоставить Заказчику новую Независимую гарантию Гаранта, согласованного с Заказчик</w:t>
      </w:r>
      <w:r>
        <w:rPr>
          <w:bCs/>
        </w:rPr>
        <w:t>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widowControl w:val="false"/>
        <w:shd w:val="clear" w:color="auto" w:fill="FFFFFF"/>
        <w:tabs>
          <w:tab w:val="clear" w:pos="708"/>
          <w:tab w:val="left" w:pos="1134" w:leader="none"/>
        </w:tabs>
        <w:spacing w:lineRule="auto" w:line="240"/>
        <w:ind w:left="0" w:firstLine="709"/>
        <w:jc w:val="both"/>
        <w:rPr>
          <w:b w:val="false"/>
          <w:bCs w:val="false"/>
        </w:rPr>
      </w:pPr>
      <w:r>
        <w:rPr>
          <w:b w:val="false"/>
          <w:bCs w:val="false"/>
          <w:sz w:val="24"/>
          <w:szCs w:val="24"/>
        </w:rPr>
        <w:t>6.15. Во всех случаях, предусмотренных Договором, Подрядчик вправе представить Заказчику вместо новой Независимой гарантии</w:t>
      </w:r>
      <w:r>
        <w:rPr>
          <w:b w:val="false"/>
          <w:bCs w:val="false"/>
          <w:sz w:val="24"/>
          <w:szCs w:val="24"/>
          <w:shd w:fill="FFFFFF" w:val="clear"/>
        </w:rPr>
        <w:t xml:space="preserve">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widowControl w:val="false"/>
        <w:shd w:val="clear" w:color="auto" w:fill="FFFFFF"/>
        <w:tabs>
          <w:tab w:val="clear" w:pos="708"/>
          <w:tab w:val="left" w:pos="1134" w:leader="none"/>
        </w:tabs>
        <w:spacing w:lineRule="auto" w:line="240"/>
        <w:ind w:left="0" w:firstLine="709"/>
        <w:jc w:val="both"/>
        <w:rPr>
          <w:highlight w:val="none"/>
          <w:shd w:fill="auto" w:val="clear"/>
        </w:rPr>
      </w:pPr>
      <w:r>
        <w:rPr>
          <w:b w:val="false"/>
          <w:bCs w:val="false"/>
          <w:sz w:val="24"/>
          <w:szCs w:val="24"/>
          <w:shd w:fill="auto" w:val="clear"/>
        </w:rPr>
        <w:t xml:space="preserve">6.16. </w:t>
      </w:r>
      <w:r>
        <w:rPr>
          <w:rFonts w:eastAsia="Times New Roman" w:cs="Times New Roman" w:ascii="Liberation Serif" w:hAnsi="Liberation Serif"/>
          <w:b w:val="false"/>
          <w:bCs w:val="false"/>
          <w:color w:val="000000"/>
          <w:kern w:val="0"/>
          <w:sz w:val="24"/>
          <w:szCs w:val="24"/>
          <w:shd w:fill="auto" w:val="clear"/>
          <w:lang w:val="ru-RU" w:eastAsia="ru-RU" w:bidi="ar-SA"/>
        </w:rPr>
        <w:t>Независимая гарантия вступает в силу со дня заключения Договора, для обеспечения исполнения которого выдана Независимая гарантия.</w:t>
      </w:r>
    </w:p>
    <w:p>
      <w:pPr>
        <w:pStyle w:val="Normal"/>
        <w:shd w:val="clear" w:color="auto" w:fill="FFFFFF"/>
        <w:tabs>
          <w:tab w:val="clear" w:pos="708"/>
          <w:tab w:val="left" w:pos="1134" w:leader="none"/>
        </w:tabs>
        <w:ind w:left="709" w:hanging="0"/>
        <w:rPr>
          <w:bCs/>
        </w:rPr>
      </w:pPr>
      <w:r>
        <w:rPr>
          <w:bCs/>
        </w:rPr>
      </w:r>
    </w:p>
    <w:p>
      <w:pPr>
        <w:pStyle w:val="ListParagraph"/>
        <w:numPr>
          <w:ilvl w:val="0"/>
          <w:numId w:val="19"/>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w:t>
      </w:r>
      <w:r>
        <w:rPr>
          <w:bCs/>
          <w:shd w:fill="auto" w:val="clear"/>
        </w:rPr>
        <w:t xml:space="preserve">рассматриваться как дополнительные, если в Договором прямо не предусмотрено иное. </w:t>
      </w:r>
    </w:p>
    <w:p>
      <w:pPr>
        <w:pStyle w:val="Normal"/>
        <w:numPr>
          <w:ilvl w:val="1"/>
          <w:numId w:val="19"/>
        </w:numPr>
        <w:tabs>
          <w:tab w:val="clear" w:pos="708"/>
          <w:tab w:val="left" w:pos="1134" w:leader="none"/>
        </w:tabs>
        <w:spacing w:lineRule="auto" w:line="240"/>
        <w:ind w:left="0" w:firstLine="709"/>
        <w:rPr>
          <w:highlight w:val="none"/>
          <w:shd w:fill="auto" w:val="clear"/>
        </w:rPr>
      </w:pPr>
      <w:r>
        <w:rPr>
          <w:bCs/>
          <w:sz w:val="24"/>
          <w:szCs w:val="24"/>
          <w:shd w:fill="auto" w:val="clear"/>
        </w:rPr>
        <w:t xml:space="preserve">В случае нарушения Заказчиком сроков оплаты, установленных разделом 3 Договора, Подрядчик вправе 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ascii="Liberation Serif" w:hAnsi="Liberation Serif"/>
          <w:bCs/>
          <w:sz w:val="24"/>
          <w:szCs w:val="24"/>
          <w:shd w:fill="auto" w:val="clear"/>
        </w:rPr>
        <w:t>но не более 5 % от Цены Договора</w:t>
      </w:r>
      <w:r>
        <w:rPr>
          <w:bCs/>
          <w:sz w:val="24"/>
          <w:szCs w:val="24"/>
          <w:shd w:fill="auto" w:val="clear"/>
        </w:rPr>
        <w:t xml:space="preserve">. </w:t>
      </w:r>
    </w:p>
    <w:p>
      <w:pPr>
        <w:pStyle w:val="Normal"/>
        <w:numPr>
          <w:ilvl w:val="1"/>
          <w:numId w:val="19"/>
        </w:numPr>
        <w:tabs>
          <w:tab w:val="clear" w:pos="708"/>
          <w:tab w:val="left" w:pos="1134" w:leader="none"/>
        </w:tabs>
        <w:spacing w:lineRule="auto" w:line="240"/>
        <w:ind w:left="0" w:firstLine="709"/>
        <w:rPr>
          <w:bCs/>
          <w:sz w:val="24"/>
          <w:szCs w:val="24"/>
        </w:rPr>
      </w:pPr>
      <w:r>
        <w:rPr>
          <w:bCs/>
          <w:sz w:val="24"/>
          <w:szCs w:val="24"/>
        </w:rPr>
        <w:t xml:space="preserve">В случае </w:t>
      </w:r>
      <w:r>
        <w:rPr>
          <w:sz w:val="24"/>
          <w:szCs w:val="24"/>
        </w:rPr>
        <w:t xml:space="preserve">нарушения Подрядчиком сроков заключения (подписания) дополнительных соглашений к настоящему договору (п.1.3, 1.7, 1.8, 1.9, 2.3.1 договора), Заказчик вправе потребовать уплаты Подрядчиком неустойки в размере 0,1 </w:t>
      </w:r>
      <w:r>
        <w:rPr>
          <w:sz w:val="24"/>
        </w:rPr>
        <w:t>(ноль целых и одна десятая) процента от цены Договора за каждый день просрочки.</w:t>
      </w:r>
    </w:p>
    <w:p>
      <w:pPr>
        <w:pStyle w:val="Normal"/>
        <w:numPr>
          <w:ilvl w:val="1"/>
          <w:numId w:val="19"/>
        </w:numPr>
        <w:tabs>
          <w:tab w:val="clear" w:pos="708"/>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w:t>
      </w:r>
      <w:r>
        <w:rPr>
          <w:sz w:val="24"/>
          <w:szCs w:val="24"/>
          <w:shd w:fill="FFFFFF" w:val="clear"/>
        </w:rPr>
        <w:t>полнения Работ, установленных Календарным графиком выполнения Работ,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9"/>
        </w:numPr>
        <w:shd w:val="clear" w:color="auto" w:fill="FFFFFF"/>
        <w:tabs>
          <w:tab w:val="clear" w:pos="708"/>
          <w:tab w:val="left" w:pos="0" w:leader="none"/>
          <w:tab w:val="left" w:pos="709" w:leader="none"/>
          <w:tab w:val="left" w:pos="1276"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стоимости Этапа Работ за каждый день просрочки;</w:t>
      </w:r>
    </w:p>
    <w:p>
      <w:pPr>
        <w:pStyle w:val="ListParagraph"/>
        <w:numPr>
          <w:ilvl w:val="2"/>
          <w:numId w:val="19"/>
        </w:numPr>
        <w:shd w:val="clear" w:color="auto" w:fill="FFFFFF"/>
        <w:tabs>
          <w:tab w:val="clear" w:pos="708"/>
          <w:tab w:val="left" w:pos="0" w:leader="none"/>
          <w:tab w:val="left" w:pos="709" w:leader="none"/>
          <w:tab w:val="left" w:pos="1276"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bCs/>
          <w:shd w:fill="FFFFFF" w:val="clear"/>
        </w:rPr>
        <w:t xml:space="preserve">; </w:t>
      </w:r>
    </w:p>
    <w:p>
      <w:pPr>
        <w:pStyle w:val="ListParagraph"/>
        <w:widowControl w:val="false"/>
        <w:numPr>
          <w:ilvl w:val="2"/>
          <w:numId w:val="19"/>
        </w:numPr>
        <w:shd w:val="clear" w:color="auto" w:fill="FFFFFF"/>
        <w:tabs>
          <w:tab w:val="clear" w:pos="708"/>
          <w:tab w:val="left" w:pos="0" w:leader="none"/>
          <w:tab w:val="left" w:pos="709" w:leader="none"/>
          <w:tab w:val="left" w:pos="1276" w:leader="none"/>
          <w:tab w:val="left" w:pos="1418" w:leader="none"/>
        </w:tabs>
        <w:spacing w:lineRule="auto" w:line="247" w:before="0" w:after="5"/>
        <w:ind w:left="0" w:firstLine="709"/>
        <w:contextualSpacing/>
        <w:jc w:val="both"/>
        <w:rPr>
          <w:highlight w:val="white"/>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5 к Договору. </w:t>
      </w:r>
    </w:p>
    <w:p>
      <w:pPr>
        <w:pStyle w:val="ListParagraph"/>
        <w:numPr>
          <w:ilvl w:val="1"/>
          <w:numId w:val="19"/>
        </w:numPr>
        <w:shd w:val="clear" w:color="auto" w:fill="FFFFFF"/>
        <w:tabs>
          <w:tab w:val="clear" w:pos="708"/>
          <w:tab w:val="left" w:pos="1134" w:leader="none"/>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w:t>
      </w:r>
      <w:r>
        <w:rPr>
          <w:bCs/>
          <w:shd w:fill="auto" w:val="clear"/>
        </w:rPr>
        <w:t>вания Заказчика. В случае нарушения Подрядчиком сроков предоставления счетов-фактур, установленных пунктом 4.9 Дого</w:t>
      </w:r>
      <w:r>
        <w:rPr>
          <w:bCs/>
        </w:rPr>
        <w:t>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9"/>
        </w:numPr>
        <w:tabs>
          <w:tab w:val="clear" w:pos="708"/>
          <w:tab w:val="left" w:pos="1134" w:leader="none"/>
        </w:tabs>
        <w:ind w:left="0" w:firstLine="709"/>
        <w:jc w:val="both"/>
        <w:rPr>
          <w:bCs/>
        </w:rPr>
      </w:pPr>
      <w:r>
        <w:rPr>
          <w:bCs/>
        </w:rPr>
        <w:t xml:space="preserve">За непредоставление либо несвоевременное предоставление / переоформление Подрядчиком </w:t>
      </w:r>
      <w:r>
        <w:rPr>
          <w:bCs/>
          <w:shd w:fill="FFFFFF" w:val="clear"/>
        </w:rPr>
        <w:t>Независимых</w:t>
      </w:r>
      <w:r>
        <w:rPr>
          <w:bCs/>
        </w:rPr>
        <w:t xml:space="preserve">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p>
    <w:p>
      <w:pPr>
        <w:pStyle w:val="ListParagraph"/>
        <w:numPr>
          <w:ilvl w:val="1"/>
          <w:numId w:val="19"/>
        </w:numPr>
        <w:tabs>
          <w:tab w:val="clear" w:pos="708"/>
          <w:tab w:val="left" w:pos="1134" w:leader="none"/>
        </w:tabs>
        <w:ind w:left="0" w:firstLine="709"/>
        <w:jc w:val="both"/>
        <w:rPr>
          <w:highlight w:val="none"/>
          <w:shd w:fill="auto" w:val="clear"/>
        </w:rPr>
      </w:pPr>
      <w:r>
        <w:rPr>
          <w:bCs/>
          <w:shd w:fill="auto"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w:t>
        <w:br/>
        <w:t xml:space="preserve">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 </w:t>
      </w:r>
    </w:p>
    <w:p>
      <w:pPr>
        <w:pStyle w:val="Normal"/>
        <w:widowControl/>
        <w:numPr>
          <w:ilvl w:val="0"/>
          <w:numId w:val="0"/>
        </w:numPr>
        <w:shd w:val="clear" w:color="auto" w:fill="FFFFFF"/>
        <w:tabs>
          <w:tab w:val="clear" w:pos="708"/>
          <w:tab w:val="left" w:pos="1400" w:leader="none"/>
        </w:tabs>
        <w:suppressAutoHyphens w:val="true"/>
        <w:bidi w:val="0"/>
        <w:spacing w:lineRule="auto" w:line="240" w:before="0" w:after="0"/>
        <w:ind w:left="0" w:right="0" w:hanging="0"/>
        <w:jc w:val="both"/>
        <w:rPr>
          <w:bCs/>
          <w:sz w:val="24"/>
        </w:rPr>
      </w:pPr>
      <w:r>
        <w:rPr>
          <w:color w:val="000000"/>
          <w:sz w:val="24"/>
        </w:rPr>
        <w:t xml:space="preserve">       </w:t>
      </w:r>
      <w:r>
        <w:rPr>
          <w:color w:val="000000"/>
          <w:sz w:val="24"/>
        </w:rPr>
        <w:t>В случае, если неисполнение/ненадлежащее исполнение Подрядчиком обязательств по Договору повлекло за собой нарушение Заказчиком обязательств по передаче электроэнергии и мощности Потребителям, кроме суммы реального ущерба Подрядчик компенсирует Заказчику упущенную выгоду, возникшую из-за нарушения электроснабжения Потребителей.</w:t>
      </w:r>
    </w:p>
    <w:p>
      <w:pPr>
        <w:pStyle w:val="ListParagraph"/>
        <w:widowControl w:val="false"/>
        <w:numPr>
          <w:ilvl w:val="1"/>
          <w:numId w:val="19"/>
        </w:numPr>
        <w:shd w:val="clear" w:color="auto" w:fill="FFFFFF"/>
        <w:tabs>
          <w:tab w:val="clear" w:pos="708"/>
          <w:tab w:val="left" w:pos="1276" w:leader="none"/>
          <w:tab w:val="left" w:pos="6300" w:leader="none"/>
        </w:tabs>
        <w:ind w:left="0" w:firstLine="709"/>
        <w:jc w:val="both"/>
        <w:rPr/>
      </w:pPr>
      <w:r>
        <w:rPr/>
        <w:t>В случае если неисполнение / ненадлежащее исполнение Подрядчиком обязательств по Договору повлекло за собой нарушение Заказчиком обязательств на оптовом и / или розничных рынках электрической энергии и мощности, Подрядчик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w:t>
      </w:r>
    </w:p>
    <w:p>
      <w:pPr>
        <w:pStyle w:val="Normal"/>
        <w:numPr>
          <w:ilvl w:val="0"/>
          <w:numId w:val="0"/>
        </w:numPr>
        <w:shd w:val="clear" w:color="auto" w:fill="FFFFFF"/>
        <w:tabs>
          <w:tab w:val="clear" w:pos="708"/>
          <w:tab w:val="left" w:pos="1134" w:leader="none"/>
        </w:tabs>
        <w:spacing w:lineRule="auto" w:line="240"/>
        <w:ind w:left="0" w:hanging="0"/>
        <w:rPr>
          <w:bCs/>
          <w:sz w:val="24"/>
        </w:rPr>
      </w:pPr>
      <w:r>
        <w:rPr>
          <w:sz w:val="24"/>
        </w:rPr>
        <w:t xml:space="preserve">            </w:t>
      </w:r>
      <w:r>
        <w:rPr>
          <w:sz w:val="24"/>
        </w:rPr>
        <w:t>Предусмотренный настоящим пунктом ущерб Заказчика компенсируется Подрядчиком в полной сумме сверх неустойки</w:t>
      </w:r>
      <w:r>
        <w:rPr>
          <w:bCs/>
        </w:rPr>
        <w:t>.</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bCs/>
          <w:shd w:fill="auto" w:val="clear"/>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которых указан в дополнительных соглашениях к Договору, и Оборудования Заказчика, перечень которого указан в дополнительных соглашениях к Договору.</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нарушения Подрядчиком сроков исполнения обязательств, установленных пунктом 3.1.1 </w:t>
      </w:r>
      <w:r>
        <w:rPr>
          <w:bCs/>
          <w:shd w:fill="auto" w:val="clear"/>
        </w:rPr>
        <w:t>Регламента взаимодействия в ходе исполнения процессов управления проектом (</w:t>
      </w:r>
      <w:r>
        <w:rPr>
          <w:shd w:fill="auto" w:val="clear"/>
        </w:rPr>
        <w:t xml:space="preserve">Приложение №11 к Договору), Заказчик вправе потребовать уплаты Подрядчиком штрафной неустойки в размере </w:t>
      </w:r>
      <w:r>
        <w:rPr>
          <w:bCs/>
          <w:shd w:fill="auto" w:val="clear"/>
        </w:rPr>
        <w:t xml:space="preserve">0,02 (ноль целых и две сотых) процента от стоимости Этапа Работ / Партии Оборудования, в отношении которого (-ой) </w:t>
      </w:r>
      <w:r>
        <w:rPr>
          <w:shd w:fill="auto" w:val="clear"/>
        </w:rPr>
        <w:t xml:space="preserve">Подрядчиком </w:t>
      </w:r>
      <w:r>
        <w:rPr>
          <w:bCs/>
          <w:shd w:fill="auto" w:val="clear"/>
        </w:rPr>
        <w:t>должен быть разработан детальный календарно-сетевой график, за каждый день просрочки, но не менее 50 000 (пятидесяти тысяч) рублей.</w:t>
      </w:r>
    </w:p>
    <w:p>
      <w:pPr>
        <w:pStyle w:val="ListParagraph"/>
        <w:numPr>
          <w:ilvl w:val="0"/>
          <w:numId w:val="0"/>
        </w:numPr>
        <w:shd w:val="clear" w:color="auto" w:fill="FFFFFF"/>
        <w:tabs>
          <w:tab w:val="clear" w:pos="708"/>
          <w:tab w:val="left" w:pos="1134" w:leader="none"/>
        </w:tabs>
        <w:ind w:left="0" w:hanging="0"/>
        <w:jc w:val="both"/>
        <w:rPr>
          <w:highlight w:val="none"/>
          <w:shd w:fill="auto" w:val="clear"/>
        </w:rPr>
      </w:pPr>
      <w:r>
        <w:rPr>
          <w:shd w:fill="auto" w:val="clear"/>
        </w:rPr>
        <w:t xml:space="preserve">       </w:t>
      </w:r>
      <w:r>
        <w:rPr>
          <w:shd w:fill="auto" w:val="clear"/>
        </w:rPr>
        <w:t xml:space="preserve">В случае нарушения Подрядчиком сроков исполнения обязательств, установленных </w:t>
        <w:br/>
        <w:t xml:space="preserve">и пунктом 3.2.6 </w:t>
      </w:r>
      <w:r>
        <w:rPr>
          <w:bCs/>
          <w:shd w:fill="auto" w:val="clear"/>
        </w:rPr>
        <w:t>Регламента взаимодействия в ходе исполнения процессов управления проектом (</w:t>
      </w:r>
      <w:r>
        <w:rPr>
          <w:shd w:fill="auto" w:val="clear"/>
        </w:rPr>
        <w:t>Приложение № 11 к Договору), Заказчик вправе потребовать уплаты Подрядчиком штрафа в размере 15 000 (Пятнадцать тысяч) рублей за каждый случай нарушения.</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9"/>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9"/>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19"/>
        </w:numPr>
        <w:shd w:val="clear" w:color="auto" w:fill="FFFFFF"/>
        <w:tabs>
          <w:tab w:val="clear" w:pos="708"/>
          <w:tab w:val="left" w:pos="1134" w:leader="none"/>
        </w:tabs>
        <w:ind w:left="0" w:firstLine="709"/>
        <w:jc w:val="both"/>
        <w:rPr>
          <w:bCs/>
        </w:rPr>
      </w:pPr>
      <w:r>
        <w:rPr/>
        <w:t>В случае нарушения Подрядчиком Порядка учета, хранения и передачи материалов, демонтированных при исполнении до</w:t>
      </w:r>
      <w:r>
        <w:rPr>
          <w:shd w:fill="auto" w:val="clear"/>
        </w:rPr>
        <w:t>говора (Приложение №13 к Договору</w:t>
      </w:r>
      <w:r>
        <w:rPr/>
        <w:t xml:space="preserve">), </w:t>
      </w:r>
      <w:r>
        <w:rPr>
          <w:bCs/>
        </w:rPr>
        <w:t xml:space="preserve">Заказчик, помимо возмещения убытков, вправе требовать уплаты Подрядчиком штрафа в </w:t>
      </w:r>
      <w:r>
        <w:rPr>
          <w:bCs/>
          <w:shd w:fill="auto" w:val="clear"/>
        </w:rPr>
        <w:t>размере 50 000 (пятьдесят тысяч) руб. за каждый случ</w:t>
      </w:r>
      <w:r>
        <w:rPr>
          <w:bCs/>
        </w:rPr>
        <w:t>ай нарушения.</w:t>
      </w:r>
    </w:p>
    <w:p>
      <w:pPr>
        <w:pStyle w:val="ListParagraph"/>
        <w:numPr>
          <w:ilvl w:val="1"/>
          <w:numId w:val="19"/>
        </w:numPr>
        <w:shd w:val="clear" w:color="auto" w:fill="FFFFFF"/>
        <w:tabs>
          <w:tab w:val="clear" w:pos="708"/>
          <w:tab w:val="left" w:pos="1134" w:leader="none"/>
        </w:tabs>
        <w:ind w:left="0" w:firstLine="709"/>
        <w:jc w:val="both"/>
        <w:rPr>
          <w:bCs/>
        </w:rPr>
      </w:pPr>
      <w:r>
        <w:rPr>
          <w:rFonts w:ascii="Liberation Serif" w:hAnsi="Liberation Serif"/>
          <w:b w:val="false"/>
          <w:bCs w:val="false"/>
          <w:i w:val="false"/>
          <w:iCs w:val="false"/>
          <w:caps w:val="false"/>
          <w:smallCaps w:val="false"/>
          <w:sz w:val="24"/>
          <w:szCs w:val="24"/>
          <w:shd w:fill="auto" w:val="clear"/>
        </w:rPr>
        <w:t>В случае нарушения Подрядчиком сроков составления и предоставления на согласование Заказчику ППР, включая детализированный календарный график работ,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9"/>
        </w:numPr>
        <w:shd w:val="clear" w:color="auto" w:fill="FFFFFF"/>
        <w:tabs>
          <w:tab w:val="clear" w:pos="708"/>
          <w:tab w:val="left" w:pos="1134" w:leader="none"/>
        </w:tabs>
        <w:ind w:left="0" w:firstLine="709"/>
        <w:jc w:val="both"/>
        <w:rPr>
          <w:bCs/>
        </w:rPr>
      </w:pPr>
      <w:r>
        <w:rPr>
          <w:rFonts w:ascii="Liberation Serif" w:hAnsi="Liberation Serif"/>
          <w:b w:val="false"/>
          <w:bCs w:val="false"/>
          <w:i w:val="false"/>
          <w:iCs w:val="false"/>
          <w:caps w:val="false"/>
          <w:smallCaps w:val="false"/>
          <w:sz w:val="24"/>
          <w:szCs w:val="24"/>
          <w:shd w:fill="auto" w:val="clear"/>
        </w:rPr>
        <w:t>В случае нарушения Подрядчиком сроков направления оферты дополнительного соглашения о корректировке Календарного графика, предусмотренного п. 2.3.40 Договора, Заказчик вправе потребовать уплаты Подрядчиком неустойки в размере 0,1% (ноль целых и одна десятая) от Цены Договора за каждый день просрочки.</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нарушения Подрядчиком требований Технического задания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r>
        <w:rPr>
          <w:rFonts w:eastAsia="Times New Roman"/>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9"/>
        </w:numPr>
        <w:shd w:val="clear" w:color="auto" w:fill="FFFFFF"/>
        <w:tabs>
          <w:tab w:val="clear" w:pos="708"/>
          <w:tab w:val="left" w:pos="1134" w:leader="none"/>
        </w:tabs>
        <w:ind w:left="0" w:firstLine="709"/>
        <w:jc w:val="both"/>
        <w:rPr>
          <w:bCs/>
        </w:rPr>
      </w:pPr>
      <w:r>
        <w:rPr>
          <w:rFonts w:eastAsia="Times New Roman" w:ascii="Liberation Serif" w:hAnsi="Liberation Serif"/>
          <w:b w:val="false"/>
          <w:bCs/>
          <w:i w:val="false"/>
          <w:iCs w:val="false"/>
          <w:caps w:val="false"/>
          <w:smallCaps w:val="false"/>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0"/>
          <w:numId w:val="0"/>
        </w:numPr>
        <w:shd w:val="clear" w:color="auto" w:fill="FFFFFF"/>
        <w:tabs>
          <w:tab w:val="clear" w:pos="708"/>
          <w:tab w:val="left" w:pos="1134" w:leader="none"/>
        </w:tabs>
        <w:ind w:left="0" w:hanging="0"/>
        <w:jc w:val="both"/>
        <w:rPr>
          <w:bCs/>
        </w:rPr>
      </w:pPr>
      <w:r>
        <w:rPr>
          <w:bCs/>
        </w:rPr>
      </w:r>
    </w:p>
    <w:p>
      <w:pPr>
        <w:pStyle w:val="ListParagraph"/>
        <w:numPr>
          <w:ilvl w:val="0"/>
          <w:numId w:val="19"/>
        </w:numPr>
        <w:shd w:val="clear" w:color="auto" w:fill="FFFFFF"/>
        <w:tabs>
          <w:tab w:val="clear" w:pos="708"/>
          <w:tab w:val="left" w:pos="284" w:leader="none"/>
        </w:tabs>
        <w:ind w:left="0" w:hanging="0"/>
        <w:jc w:val="center"/>
        <w:rPr>
          <w:b/>
          <w:bCs/>
        </w:rPr>
      </w:pPr>
      <w:r>
        <w:rPr>
          <w:b/>
          <w:bCs/>
        </w:rPr>
        <w:t>Гарантии качества Результата Работ</w:t>
      </w:r>
    </w:p>
    <w:p>
      <w:pPr>
        <w:pStyle w:val="Normal"/>
        <w:numPr>
          <w:ilvl w:val="1"/>
          <w:numId w:val="19"/>
        </w:numPr>
        <w:tabs>
          <w:tab w:val="clear" w:pos="708"/>
          <w:tab w:val="left" w:pos="1134" w:leader="none"/>
        </w:tabs>
        <w:spacing w:lineRule="auto" w:line="240"/>
        <w:ind w:left="0" w:firstLine="709"/>
        <w:rPr>
          <w:bCs/>
          <w:sz w:val="24"/>
          <w:szCs w:val="24"/>
        </w:rPr>
      </w:pPr>
      <w:bookmarkStart w:id="21" w:name="_Ref361337777"/>
      <w:r>
        <w:rPr>
          <w:sz w:val="24"/>
          <w:szCs w:val="24"/>
        </w:rPr>
        <w:t>Гарантийный</w:t>
      </w:r>
      <w:r>
        <w:rPr>
          <w:bCs/>
          <w:sz w:val="24"/>
          <w:szCs w:val="24"/>
        </w:rPr>
        <w:t xml:space="preserve"> срок по Договору составляет </w:t>
      </w:r>
      <w:r>
        <w:rPr>
          <w:b/>
          <w:bCs/>
          <w:sz w:val="24"/>
          <w:szCs w:val="24"/>
        </w:rPr>
        <w:t>6</w:t>
      </w:r>
      <w:r>
        <w:rPr>
          <w:b/>
          <w:bCs/>
          <w:sz w:val="24"/>
          <w:szCs w:val="24"/>
          <w:shd w:fill="auto" w:val="clear"/>
        </w:rPr>
        <w:t>0 (шестьдесят) месяцев</w:t>
      </w:r>
      <w:r>
        <w:rPr>
          <w:bCs/>
          <w:sz w:val="24"/>
          <w:szCs w:val="24"/>
          <w:shd w:fill="auto" w:val="clear"/>
        </w:rPr>
        <w:br/>
        <w:t>и начинает течь с даты подписания Сторонами А</w:t>
      </w:r>
      <w:r>
        <w:rPr>
          <w:sz w:val="24"/>
          <w:szCs w:val="24"/>
          <w:shd w:fill="auto" w:val="clear"/>
        </w:rPr>
        <w:t>кта КС-11</w:t>
      </w:r>
      <w:r>
        <w:rPr>
          <w:bCs/>
          <w:sz w:val="24"/>
          <w:szCs w:val="24"/>
          <w:shd w:fill="auto" w:val="clear"/>
        </w:rPr>
        <w:t xml:space="preserve"> </w:t>
      </w:r>
      <w:bookmarkEnd w:id="21"/>
      <w:r>
        <w:rPr>
          <w:bCs/>
          <w:sz w:val="24"/>
          <w:szCs w:val="24"/>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9"/>
        </w:numPr>
        <w:shd w:val="clear" w:color="auto" w:fill="FFFFFF"/>
        <w:tabs>
          <w:tab w:val="clear" w:pos="708"/>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w:t>
        <w:br/>
        <w:t>для прекращения гарантийных обязательств по выполненным Подрядчиком Работам.</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Оборудования. </w:t>
      </w:r>
    </w:p>
    <w:p>
      <w:pPr>
        <w:pStyle w:val="ListParagraph"/>
        <w:numPr>
          <w:ilvl w:val="1"/>
          <w:numId w:val="19"/>
        </w:numPr>
        <w:shd w:val="clear" w:color="auto" w:fill="FFFFFF"/>
        <w:tabs>
          <w:tab w:val="clear" w:pos="708"/>
          <w:tab w:val="left" w:pos="1134" w:leader="none"/>
        </w:tabs>
        <w:ind w:left="0" w:firstLine="709"/>
        <w:jc w:val="both"/>
        <w:rPr>
          <w:bCs/>
        </w:rPr>
      </w:pPr>
      <w:bookmarkStart w:id="22"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2"/>
      <w:r>
        <w:rPr>
          <w:bCs/>
        </w:rPr>
        <w:t xml:space="preserve"> </w:t>
      </w:r>
    </w:p>
    <w:p>
      <w:pPr>
        <w:pStyle w:val="ListParagraph"/>
        <w:numPr>
          <w:ilvl w:val="1"/>
          <w:numId w:val="19"/>
        </w:numPr>
        <w:shd w:val="clear" w:color="auto" w:fill="FFFFFF"/>
        <w:tabs>
          <w:tab w:val="clear" w:pos="708"/>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3" w:name="OLE_LINK6"/>
      <w:bookmarkStart w:id="24" w:name="OLE_LINK5"/>
      <w:r>
        <w:rPr>
          <w:bCs/>
        </w:rPr>
        <w:t>Акте о недостатках, составленном в порядке, установленном пунктом 8.5 Договора</w:t>
      </w:r>
      <w:bookmarkEnd w:id="23"/>
      <w:bookmarkEnd w:id="24"/>
      <w:r>
        <w:rPr>
          <w:bCs/>
        </w:rPr>
        <w:t>.</w:t>
      </w:r>
      <w:r>
        <w:rPr/>
        <w:t xml:space="preserve">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8"/>
          <w:tab w:val="left" w:pos="1134" w:leader="none"/>
        </w:tabs>
        <w:ind w:left="0" w:firstLine="709"/>
        <w:jc w:val="both"/>
        <w:rPr>
          <w:bCs/>
        </w:rPr>
      </w:pPr>
      <w:r>
        <w:rPr>
          <w:bCs/>
        </w:rPr>
        <w:t>Гарантийный срок на Результат Работ увеличивается на тот период времени,</w:t>
        <w:br/>
        <w:t>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19"/>
        </w:numPr>
        <w:shd w:val="clear" w:color="auto" w:fill="FFFFFF"/>
        <w:tabs>
          <w:tab w:val="clear" w:pos="708"/>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Исключительные права и патенты</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вправе использовать при выполнении Работ результаты интеллектуальной деятельности, принадлежащие третьим лицам, только если он получил</w:t>
        <w:br/>
        <w:t xml:space="preserve">на это соответствующие разрешения (лицензии) этих лиц. </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19"/>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9"/>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9"/>
        </w:numPr>
        <w:shd w:val="clear" w:color="auto" w:fill="FFFFFF"/>
        <w:tabs>
          <w:tab w:val="clear" w:pos="708"/>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9"/>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19"/>
        </w:numPr>
        <w:shd w:val="clear" w:color="auto" w:fill="FFFFFF"/>
        <w:tabs>
          <w:tab w:val="clear" w:pos="708"/>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3"/>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9"/>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9"/>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9"/>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9"/>
        </w:numPr>
        <w:shd w:val="clear" w:color="auto" w:fill="FFFFFF"/>
        <w:tabs>
          <w:tab w:val="clear" w:pos="708"/>
          <w:tab w:val="left" w:pos="1134" w:leader="none"/>
        </w:tabs>
        <w:ind w:left="0" w:firstLine="709"/>
        <w:jc w:val="both"/>
        <w:rPr>
          <w:bCs/>
        </w:rPr>
      </w:pPr>
      <w:bookmarkStart w:id="25"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5"/>
      <w:r>
        <w:rPr>
          <w:bCs/>
        </w:rPr>
        <w:t xml:space="preserve"> </w:t>
      </w:r>
    </w:p>
    <w:p>
      <w:pPr>
        <w:pStyle w:val="ListParagraph"/>
        <w:numPr>
          <w:ilvl w:val="2"/>
          <w:numId w:val="19"/>
        </w:numPr>
        <w:shd w:val="clear" w:color="auto" w:fill="FFFFFF"/>
        <w:tabs>
          <w:tab w:val="clear" w:pos="708"/>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w:t>
        <w:br/>
        <w:t>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19"/>
        </w:numPr>
        <w:shd w:val="clear" w:color="auto" w:fill="FFFFFF"/>
        <w:tabs>
          <w:tab w:val="clear" w:pos="708"/>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9"/>
        </w:numPr>
        <w:shd w:val="clear" w:color="auto" w:fill="FFFFFF"/>
        <w:tabs>
          <w:tab w:val="clear" w:pos="708"/>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9"/>
        </w:numPr>
        <w:shd w:val="clear" w:color="auto" w:fill="FFFFFF"/>
        <w:tabs>
          <w:tab w:val="clear" w:pos="708"/>
          <w:tab w:val="left" w:pos="1701" w:leader="none"/>
        </w:tabs>
        <w:ind w:left="0" w:firstLine="709"/>
        <w:jc w:val="both"/>
        <w:rPr>
          <w:bCs/>
        </w:rPr>
      </w:pPr>
      <w:bookmarkStart w:id="26" w:name="_Ref361337832"/>
      <w:bookmarkEnd w:id="26"/>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9"/>
        </w:numPr>
        <w:shd w:val="clear" w:color="auto" w:fill="FFFFFF"/>
        <w:tabs>
          <w:tab w:val="clear" w:pos="708"/>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9"/>
        </w:numPr>
        <w:shd w:val="clear" w:color="auto" w:fill="FFFFFF"/>
        <w:tabs>
          <w:tab w:val="clear" w:pos="708"/>
          <w:tab w:val="left" w:pos="1134" w:leader="none"/>
        </w:tabs>
        <w:ind w:left="0" w:firstLine="709"/>
        <w:jc w:val="both"/>
        <w:rPr>
          <w:bCs/>
        </w:rPr>
      </w:pPr>
      <w:bookmarkStart w:id="27" w:name="_Ref361337863"/>
      <w:bookmarkEnd w:id="27"/>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9"/>
        </w:numPr>
        <w:shd w:val="clear" w:color="auto" w:fill="FFFFFF"/>
        <w:tabs>
          <w:tab w:val="clear" w:pos="708"/>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color w:val="000000"/>
          <w:szCs w:val="28"/>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Cs w:val="28"/>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При исполнении своих обязательств по Договору, Стороны, их аффилированные лица, работники</w:t>
      </w:r>
      <w:r>
        <w:rPr>
          <w:bCs/>
          <w:color w:val="000000"/>
          <w:szCs w:val="28"/>
          <w:shd w:fill="FFFFFF" w:val="clear"/>
        </w:rPr>
        <w:t xml:space="preserve">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w:t>
      </w:r>
      <w:r>
        <w:rPr>
          <w:bCs/>
          <w:color w:val="000000"/>
          <w:szCs w:val="28"/>
        </w:rPr>
        <w:t xml:space="preserve"> (отмыванию) доходов, полученных преступным путем.</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0"/>
          <w:numId w:val="18"/>
        </w:numPr>
        <w:shd w:val="clear" w:color="auto" w:fill="FFFFFF"/>
        <w:tabs>
          <w:tab w:val="clear" w:pos="708"/>
          <w:tab w:val="left" w:pos="1134" w:leader="none"/>
        </w:tabs>
        <w:ind w:left="0" w:firstLine="709"/>
        <w:jc w:val="both"/>
        <w:rPr>
          <w:bCs/>
          <w:color w:val="000000"/>
          <w:szCs w:val="28"/>
        </w:rPr>
      </w:pPr>
      <w:r>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0"/>
          <w:numId w:val="18"/>
        </w:numPr>
        <w:shd w:val="clear" w:color="auto" w:fill="FFFFFF"/>
        <w:tabs>
          <w:tab w:val="clear" w:pos="708"/>
          <w:tab w:val="left" w:pos="567" w:leader="none"/>
          <w:tab w:val="left" w:pos="1134" w:leader="none"/>
        </w:tabs>
        <w:ind w:left="0" w:firstLine="709"/>
        <w:jc w:val="both"/>
        <w:rPr>
          <w:color w:val="000000"/>
          <w:szCs w:val="28"/>
        </w:rPr>
      </w:pPr>
      <w:r>
        <w:rPr>
          <w:color w:val="000000"/>
          <w:szCs w:val="28"/>
        </w:rPr>
        <w:t xml:space="preserve">Каналы связи Линия доверия Группы РусГидро: </w:t>
      </w:r>
    </w:p>
    <w:p>
      <w:pPr>
        <w:pStyle w:val="ListParagraph"/>
        <w:widowControl w:val="false"/>
        <w:numPr>
          <w:ilvl w:val="1"/>
          <w:numId w:val="18"/>
        </w:numPr>
        <w:shd w:val="clear" w:color="auto" w:fill="FFFFFF"/>
        <w:tabs>
          <w:tab w:val="clear" w:pos="708"/>
          <w:tab w:val="left" w:pos="567" w:leader="none"/>
          <w:tab w:val="left" w:pos="1134" w:leader="none"/>
        </w:tabs>
        <w:ind w:left="0" w:firstLine="709"/>
        <w:jc w:val="both"/>
        <w:rPr>
          <w:szCs w:val="28"/>
        </w:rPr>
      </w:pPr>
      <w:r>
        <w:rPr>
          <w:szCs w:val="28"/>
        </w:rPr>
        <w:t>Электронная почта: ld@rushydro.ru.</w:t>
      </w:r>
    </w:p>
    <w:p>
      <w:pPr>
        <w:pStyle w:val="ListParagraph"/>
        <w:widowControl w:val="false"/>
        <w:numPr>
          <w:ilvl w:val="1"/>
          <w:numId w:val="18"/>
        </w:numPr>
        <w:shd w:val="clear" w:color="auto" w:fill="FFFFFF"/>
        <w:tabs>
          <w:tab w:val="clear" w:pos="708"/>
          <w:tab w:val="left" w:pos="567" w:leader="none"/>
          <w:tab w:val="left" w:pos="1134"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1"/>
          <w:numId w:val="18"/>
        </w:numPr>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9"/>
        </w:numPr>
        <w:shd w:val="clear" w:color="auto" w:fill="FFFFFF"/>
        <w:tabs>
          <w:tab w:val="clear" w:pos="708"/>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9"/>
        </w:numPr>
        <w:shd w:val="clear" w:color="auto" w:fill="FFFFFF"/>
        <w:tabs>
          <w:tab w:val="clear" w:pos="708"/>
          <w:tab w:val="left" w:pos="1134" w:leader="none"/>
        </w:tabs>
        <w:ind w:left="0" w:firstLine="709"/>
        <w:jc w:val="both"/>
        <w:rPr>
          <w:bCs/>
          <w:sz w:val="28"/>
        </w:rPr>
      </w:pPr>
      <w:r>
        <w:rPr>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9"/>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9"/>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19"/>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19"/>
        </w:numPr>
        <w:shd w:val="clear" w:color="auto" w:fill="FFFFFF"/>
        <w:tabs>
          <w:tab w:val="clear" w:pos="708"/>
          <w:tab w:val="left" w:pos="1134" w:leader="none"/>
        </w:tabs>
        <w:ind w:left="0" w:firstLine="709"/>
        <w:jc w:val="both"/>
        <w:rPr>
          <w:bCs/>
        </w:rPr>
      </w:pPr>
      <w:bookmarkStart w:id="28"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bookmarkEnd w:id="28"/>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9"/>
        </w:numPr>
        <w:shd w:val="clear" w:color="auto" w:fill="FFFFFF"/>
        <w:tabs>
          <w:tab w:val="clear" w:pos="708"/>
          <w:tab w:val="left" w:pos="1134" w:leader="none"/>
        </w:tabs>
        <w:ind w:left="0" w:firstLine="709"/>
        <w:jc w:val="both"/>
        <w:rPr>
          <w:bCs/>
        </w:rPr>
      </w:pPr>
      <w:bookmarkStart w:id="29" w:name="_Ref361337921"/>
      <w:bookmarkEnd w:id="29"/>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numPr>
          <w:ilvl w:val="1"/>
          <w:numId w:val="19"/>
        </w:numPr>
        <w:shd w:val="clear" w:color="auto" w:fill="FFFFFF"/>
        <w:tabs>
          <w:tab w:val="clear" w:pos="708"/>
          <w:tab w:val="left" w:pos="1134" w:leader="none"/>
        </w:tabs>
        <w:ind w:left="0" w:firstLine="709"/>
        <w:jc w:val="both"/>
        <w:rPr>
          <w:bCs/>
        </w:rPr>
      </w:pPr>
      <w:bookmarkStart w:id="30" w:name="_Ref361337948"/>
      <w:bookmarkEnd w:id="30"/>
      <w:r>
        <w:rPr>
          <w:bCs/>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9"/>
        </w:numPr>
        <w:shd w:val="clear" w:color="auto" w:fill="FFFFFF"/>
        <w:tabs>
          <w:tab w:val="clear" w:pos="708"/>
          <w:tab w:val="left" w:pos="1134" w:leader="none"/>
        </w:tabs>
        <w:ind w:left="0" w:firstLine="709"/>
        <w:jc w:val="both"/>
        <w:rPr>
          <w:bCs/>
        </w:rPr>
      </w:pPr>
      <w:bookmarkStart w:id="31" w:name="_Ref361337980"/>
      <w:bookmarkEnd w:id="31"/>
      <w:r>
        <w:rPr>
          <w:bCs/>
        </w:rPr>
        <w:t xml:space="preserve">Подрядчик обязан уплатить Заказчику штраф в размере суммы денежных средств, перечисленных организации, </w:t>
      </w:r>
      <w:r>
        <w:rPr>
          <w:bCs/>
          <w:shd w:fill="auto" w:val="clear"/>
        </w:rPr>
        <w:t>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p>
    <w:p>
      <w:pPr>
        <w:pStyle w:val="ListParagraph"/>
        <w:numPr>
          <w:ilvl w:val="1"/>
          <w:numId w:val="19"/>
        </w:numPr>
        <w:shd w:val="clear" w:color="auto" w:fill="FFFFFF"/>
        <w:tabs>
          <w:tab w:val="clear" w:pos="708"/>
          <w:tab w:val="left" w:pos="1134" w:leader="none"/>
        </w:tabs>
        <w:ind w:left="0" w:firstLine="709"/>
        <w:jc w:val="both"/>
        <w:rPr>
          <w:highlight w:val="none"/>
          <w:shd w:fill="auto" w:val="clear"/>
        </w:rPr>
      </w:pPr>
      <w:bookmarkStart w:id="32" w:name="_Ref373243071"/>
      <w:r>
        <w:rPr>
          <w:bCs/>
          <w:shd w:fill="auto" w:val="clear"/>
        </w:rPr>
        <w:t xml:space="preserve">Штраф, предусмотренный пунктом  </w:t>
      </w:r>
      <w:r>
        <w:rPr>
          <w:shd w:fill="auto" w:val="clear"/>
        </w:rPr>
        <w:fldChar w:fldCharType="begin"/>
      </w:r>
      <w:r>
        <w:rPr>
          <w:shd w:fill="auto" w:val="clear"/>
        </w:rPr>
        <w:instrText xml:space="preserve"> REF _Ref361337980 \r \h </w:instrText>
      </w:r>
      <w:r>
        <w:rPr>
          <w:shd w:fill="auto" w:val="clear"/>
        </w:rPr>
        <w:fldChar w:fldCharType="separate"/>
      </w:r>
      <w:r>
        <w:rPr>
          <w:shd w:fill="auto" w:val="clear"/>
        </w:rPr>
        <w:t>13.4</w:t>
      </w:r>
      <w:r>
        <w:rPr>
          <w:shd w:fill="auto" w:val="clear"/>
        </w:rPr>
        <w:fldChar w:fldCharType="end"/>
      </w:r>
      <w:bookmarkEnd w:id="32"/>
      <w:r>
        <w:rPr>
          <w:bCs/>
          <w:shd w:fill="auto" w:val="clear"/>
        </w:rPr>
        <w:t>.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p>
    <w:p>
      <w:pPr>
        <w:pStyle w:val="ListParagraph"/>
        <w:numPr>
          <w:ilvl w:val="1"/>
          <w:numId w:val="19"/>
        </w:numPr>
        <w:shd w:val="clear" w:color="auto" w:fill="FFFFFF"/>
        <w:tabs>
          <w:tab w:val="clear" w:pos="708"/>
          <w:tab w:val="left" w:pos="1134" w:leader="none"/>
        </w:tabs>
        <w:ind w:left="0" w:firstLine="709"/>
        <w:jc w:val="both"/>
        <w:rPr>
          <w:bCs/>
        </w:rPr>
      </w:pPr>
      <w:bookmarkStart w:id="33" w:name="_Ref361337992"/>
      <w:bookmarkEnd w:id="33"/>
      <w:r>
        <w:rPr>
          <w:bCs/>
          <w:shd w:fill="auto" w:val="clear"/>
        </w:rPr>
        <w:t>Заказчик вправе приостановить осуществление любых пл</w:t>
      </w:r>
      <w:r>
        <w:rPr>
          <w:bCs/>
        </w:rPr>
        <w:t>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p>
    <w:p>
      <w:pPr>
        <w:pStyle w:val="ListParagraph"/>
        <w:numPr>
          <w:ilvl w:val="1"/>
          <w:numId w:val="19"/>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19"/>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состоит в СРО, основанной на членстве лиц, выполняющих инженерные изыскания / подготовку проектной документации или / осуществляющих строительство</w:t>
      </w:r>
      <w:r>
        <w:rPr>
          <w:rStyle w:val="FootnoteReference"/>
          <w:shd w:fill="auto" w:val="clear"/>
        </w:rPr>
        <w:footnoteReference w:id="3"/>
      </w:r>
      <w:r>
        <w:rPr>
          <w:shd w:fill="auto" w:val="clear"/>
        </w:rPr>
        <w:t>;</w:t>
      </w:r>
    </w:p>
    <w:p>
      <w:pPr>
        <w:pStyle w:val="ListParagraph"/>
        <w:numPr>
          <w:ilvl w:val="0"/>
          <w:numId w:val="8"/>
        </w:numPr>
        <w:shd w:val="clear" w:color="auto" w:fill="FFFFFF"/>
        <w:tabs>
          <w:tab w:val="clear" w:pos="708"/>
          <w:tab w:val="left" w:pos="567" w:leader="none"/>
          <w:tab w:val="left" w:pos="1418" w:leader="none"/>
        </w:tabs>
        <w:ind w:left="0" w:firstLine="709"/>
        <w:jc w:val="both"/>
        <w:rPr>
          <w:highlight w:val="none"/>
          <w:shd w:fill="auto" w:val="clear"/>
        </w:rPr>
      </w:pPr>
      <w:r>
        <w:rPr>
          <w:shd w:fill="auto" w:val="clear"/>
        </w:rPr>
        <w:t>Подрядчик 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FootnoteReference"/>
          <w:shd w:fill="auto" w:val="clear"/>
        </w:rPr>
        <w:footnoteReference w:id="4"/>
      </w:r>
      <w:r>
        <w:rPr>
          <w:shd w:fill="auto" w:val="clear"/>
        </w:rPr>
        <w:t>;</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shd w:fill="auto" w:val="clear"/>
        </w:rPr>
        <w:t>не отозвана (прекращена, приостановлена, признана недейс</w:t>
      </w:r>
      <w:r>
        <w:rPr/>
        <w:t>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w:t>
        <w:br/>
        <w:t>бы негативно повлиять на решение Заказчика заключить Договор на указанных в нем условиях.</w:t>
      </w:r>
    </w:p>
    <w:p>
      <w:pPr>
        <w:pStyle w:val="Normal"/>
        <w:numPr>
          <w:ilvl w:val="1"/>
          <w:numId w:val="19"/>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ind w:left="709" w:hanging="0"/>
        <w:rPr/>
      </w:pPr>
      <w:r>
        <w:rPr/>
      </w:r>
    </w:p>
    <w:p>
      <w:pPr>
        <w:pStyle w:val="ListParagraph"/>
        <w:numPr>
          <w:ilvl w:val="0"/>
          <w:numId w:val="19"/>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19"/>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9"/>
        </w:numPr>
        <w:shd w:val="clear" w:color="auto" w:fill="FFFFFF"/>
        <w:tabs>
          <w:tab w:val="clear" w:pos="708"/>
          <w:tab w:val="left" w:pos="1134" w:leader="none"/>
        </w:tabs>
        <w:ind w:left="0" w:firstLine="709"/>
        <w:jc w:val="both"/>
        <w:rPr/>
      </w:pPr>
      <w:r>
        <w:rPr/>
        <w:t>Заказчик вправе в любое время до сдачи ему Результатов Работ</w:t>
        <w:br/>
        <w:t xml:space="preserve">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9"/>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9"/>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 xml:space="preserve">нарушение Подрядчиком начального и конечного сроков выполнения Работ по </w:t>
      </w:r>
      <w:r>
        <w:rPr>
          <w:shd w:fill="auto" w:val="clear"/>
        </w:rPr>
        <w:t>Договору, а также промежуточных сроков выполнения Работ и поставки Оборудования, установленных Договором и Календарным графиком выполнения Работ, являющимся приложением к дополнительному соглашению, более чем на 30 (тридцать) календарных дней / 60 (шестьдесят) календарных дней</w:t>
      </w:r>
      <w:bookmarkStart w:id="34" w:name="_GoBack"/>
      <w:bookmarkEnd w:id="34"/>
      <w:r>
        <w:rPr>
          <w:shd w:fill="auto" w:val="clear"/>
        </w:rPr>
        <w:t xml:space="preserve">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shd w:fill="auto" w:val="clea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w:t>
      </w:r>
      <w:r>
        <w:rPr/>
        <w:t>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w:t>
      </w:r>
      <w:r>
        <w:rPr>
          <w:shd w:fill="auto" w:val="clear"/>
        </w:rPr>
        <w:t>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прекращение членства в СРО, основанной на членстве лиц, осуществляющих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p>
    <w:p>
      <w:pPr>
        <w:pStyle w:val="ListParagraph"/>
        <w:numPr>
          <w:ilvl w:val="0"/>
          <w:numId w:val="6"/>
        </w:numPr>
        <w:tabs>
          <w:tab w:val="clear" w:pos="708"/>
          <w:tab w:val="left" w:pos="1134" w:leader="none"/>
        </w:tabs>
        <w:ind w:left="0" w:right="23" w:firstLine="709"/>
        <w:jc w:val="both"/>
        <w:rPr>
          <w:highlight w:val="none"/>
          <w:shd w:fill="auto" w:val="clear"/>
        </w:rPr>
      </w:pPr>
      <w:r>
        <w:rPr>
          <w:shd w:fill="auto"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 xml:space="preserve">привлечение к выполнению Работ по Договору третьих лиц (Субподрядчиков) </w:t>
        <w:br/>
        <w:t>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w:t>
      </w:r>
      <w:r>
        <w:rPr>
          <w:shd w:fill="FFFFFF" w:val="clear"/>
        </w:rPr>
        <w:t>беспечение обязательств по Договору</w:t>
      </w:r>
      <w:r>
        <w:rPr/>
        <w:t>,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1"/>
          <w:numId w:val="19"/>
        </w:numPr>
        <w:shd w:val="clear" w:color="auto" w:fill="FFFFFF"/>
        <w:tabs>
          <w:tab w:val="clear" w:pos="708"/>
          <w:tab w:val="left" w:pos="1134" w:leader="none"/>
        </w:tabs>
        <w:ind w:left="0" w:firstLine="709"/>
        <w:jc w:val="both"/>
        <w:rPr/>
      </w:pPr>
      <w: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9"/>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17"/>
        </w:numPr>
        <w:shd w:val="clear" w:color="auto" w:fill="FFFFFF"/>
        <w:tabs>
          <w:tab w:val="clear" w:pos="708"/>
          <w:tab w:val="left" w:pos="1418" w:leader="none"/>
        </w:tabs>
        <w:ind w:left="0" w:firstLine="709"/>
        <w:jc w:val="both"/>
        <w:rPr/>
      </w:pPr>
      <w:r>
        <w:rPr/>
        <w:t>передать Заказчику Результат Работ, техническую и иную полученную документацию, закупленные Оборудование и Материально-технические ресурсы;</w:t>
      </w:r>
    </w:p>
    <w:p>
      <w:pPr>
        <w:pStyle w:val="ListParagraph"/>
        <w:numPr>
          <w:ilvl w:val="0"/>
          <w:numId w:val="17"/>
        </w:numPr>
        <w:shd w:val="clear" w:color="auto" w:fill="FFFFFF"/>
        <w:tabs>
          <w:tab w:val="clear" w:pos="708"/>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7"/>
        </w:numPr>
        <w:shd w:val="clear" w:color="auto" w:fill="FFFFFF"/>
        <w:tabs>
          <w:tab w:val="clear" w:pos="708"/>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19"/>
        </w:numPr>
        <w:shd w:val="clear" w:color="auto" w:fill="FFFFFF"/>
        <w:tabs>
          <w:tab w:val="clear" w:pos="708"/>
          <w:tab w:val="left" w:pos="1134" w:leader="none"/>
        </w:tabs>
        <w:ind w:left="0" w:firstLine="709"/>
        <w:jc w:val="both"/>
        <w:rPr/>
      </w:pPr>
      <w:r>
        <w:rPr/>
        <w:t xml:space="preserve">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w:t>
      </w:r>
      <w:r>
        <w:rPr>
          <w:shd w:fill="FFFFFF" w:val="clear"/>
        </w:rPr>
        <w:t xml:space="preserve">3.7.4 </w:t>
      </w:r>
      <w:r>
        <w:rPr/>
        <w:t>Договора.</w:t>
      </w:r>
    </w:p>
    <w:p>
      <w:pPr>
        <w:pStyle w:val="ListParagraph"/>
        <w:numPr>
          <w:ilvl w:val="1"/>
          <w:numId w:val="19"/>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0" w:firstLine="709"/>
        <w:jc w:val="both"/>
        <w:rPr/>
      </w:pPr>
      <w:r>
        <w:rPr/>
      </w:r>
    </w:p>
    <w:p>
      <w:pPr>
        <w:pStyle w:val="ListParagraph"/>
        <w:numPr>
          <w:ilvl w:val="0"/>
          <w:numId w:val="19"/>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Споры, указанные в пункте 16.1 Договора, которые не были урегулированы Сторонами путем переговоров, подлежат разрешению в Арбитражном</w:t>
      </w:r>
      <w:r>
        <w:rPr>
          <w:bCs/>
          <w:shd w:fill="auto" w:val="clear"/>
        </w:rPr>
        <w:t xml:space="preserve"> суде Хабаровского края</w:t>
      </w:r>
      <w:r>
        <w:rPr>
          <w:bCs/>
        </w:rPr>
        <w:t xml:space="preserve"> в соответствии с законодательством Российской Федерации, за исключением споров из </w:t>
      </w:r>
      <w:r>
        <w:rPr>
          <w:bCs/>
          <w:shd w:fill="FFFFFF" w:val="clear"/>
        </w:rPr>
        <w:t>Независимой</w:t>
      </w:r>
      <w:r>
        <w:rPr>
          <w:bCs/>
        </w:rPr>
        <w:t xml:space="preserve"> гарантии, подсудность которых предусмотрена пунктом </w:t>
      </w:r>
      <w:r>
        <w:rPr>
          <w:bCs/>
          <w:shd w:fill="FFFFFF" w:val="clear"/>
        </w:rPr>
        <w:t>6.8.6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17.7 Договора.</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9"/>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1134" w:leader="none"/>
          <w:tab w:val="left" w:pos="1418" w:leader="none"/>
        </w:tabs>
        <w:ind w:left="709" w:hanging="0"/>
        <w:rPr>
          <w:bCs/>
        </w:rPr>
      </w:pPr>
      <w:r>
        <w:rPr>
          <w:bCs/>
        </w:rPr>
      </w:r>
    </w:p>
    <w:p>
      <w:pPr>
        <w:pStyle w:val="ListParagraph"/>
        <w:numPr>
          <w:ilvl w:val="0"/>
          <w:numId w:val="19"/>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19"/>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до </w:t>
      </w:r>
      <w:r>
        <w:rPr>
          <w:shd w:fill="auto" w:val="clear"/>
        </w:rPr>
        <w:t>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w:t>
        <w:br/>
        <w:t>с момента заключения договора.</w:t>
      </w:r>
    </w:p>
    <w:p>
      <w:pPr>
        <w:pStyle w:val="Normal"/>
        <w:shd w:val="clear" w:color="auto" w:fill="FFFFFF"/>
        <w:tabs>
          <w:tab w:val="clear" w:pos="708"/>
          <w:tab w:val="left" w:pos="1134" w:leader="none"/>
        </w:tabs>
        <w:spacing w:lineRule="auto" w:line="240"/>
        <w:ind w:firstLine="709"/>
        <w:rPr>
          <w:highlight w:val="none"/>
          <w:shd w:fill="auto" w:val="clear"/>
        </w:rPr>
      </w:pPr>
      <w:r>
        <w:rPr>
          <w:sz w:val="24"/>
          <w:shd w:fill="auto" w:val="clear"/>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1134" w:leader="none"/>
        </w:tabs>
        <w:spacing w:lineRule="auto" w:line="240"/>
        <w:ind w:firstLine="709"/>
        <w:rPr>
          <w:highlight w:val="none"/>
          <w:shd w:fill="auto" w:val="clear"/>
        </w:rPr>
      </w:pPr>
      <w:r>
        <w:rPr>
          <w:sz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sz w:val="24"/>
          <w:szCs w:val="24"/>
          <w:shd w:fill="auto" w:val="clear"/>
        </w:rPr>
        <w:t xml:space="preserve"> </w:t>
      </w:r>
      <w:r>
        <w:rPr>
          <w:rStyle w:val="FootnoteReference"/>
          <w:sz w:val="24"/>
          <w:szCs w:val="24"/>
          <w:shd w:fill="auto" w:val="clear"/>
        </w:rPr>
        <w:footnoteReference w:id="5"/>
      </w:r>
    </w:p>
    <w:p>
      <w:pPr>
        <w:pStyle w:val="ListParagraph"/>
        <w:numPr>
          <w:ilvl w:val="1"/>
          <w:numId w:val="19"/>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17.6 Договора. </w:t>
      </w:r>
    </w:p>
    <w:p>
      <w:pPr>
        <w:pStyle w:val="ListParagraph"/>
        <w:numPr>
          <w:ilvl w:val="1"/>
          <w:numId w:val="19"/>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9"/>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9"/>
        </w:numPr>
        <w:shd w:val="clear" w:color="auto" w:fill="FFFFFF"/>
        <w:tabs>
          <w:tab w:val="clear" w:pos="708"/>
          <w:tab w:val="left" w:pos="1134" w:leader="none"/>
        </w:tabs>
        <w:ind w:left="0" w:firstLine="709"/>
        <w:jc w:val="both"/>
        <w:rPr/>
      </w:pPr>
      <w:r>
        <w:rPr/>
        <w:t xml:space="preserve">Обмен </w:t>
      </w:r>
      <w:r>
        <w:rPr>
          <w:shd w:fill="FFFFFF" w:val="clear"/>
        </w:rPr>
        <w:t>информацией между Сторонами по любым вопросам, связанным</w:t>
        <w:br/>
        <w:t>с исполнением Договора, включая уведомления и иные сообщения, осуществляется только в письменной форме в порядке, предусмотренном пунктом 17.7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9"/>
        </w:numPr>
        <w:shd w:val="clear" w:color="auto" w:fill="FFFFFF"/>
        <w:tabs>
          <w:tab w:val="clear" w:pos="708"/>
          <w:tab w:val="left" w:pos="1134" w:leader="none"/>
        </w:tabs>
        <w:ind w:left="0" w:firstLine="709"/>
        <w:jc w:val="both"/>
        <w:rPr/>
      </w:pPr>
      <w:bookmarkStart w:id="35"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17.7 Договора.</w:t>
      </w:r>
      <w:bookmarkEnd w:id="35"/>
      <w:r>
        <w:rPr/>
        <w:t xml:space="preserve"> </w:t>
      </w:r>
    </w:p>
    <w:p>
      <w:pPr>
        <w:pStyle w:val="ListParagraph"/>
        <w:numPr>
          <w:ilvl w:val="1"/>
          <w:numId w:val="19"/>
        </w:numPr>
        <w:shd w:val="clear" w:color="auto" w:fill="FFFFFF"/>
        <w:tabs>
          <w:tab w:val="clear" w:pos="708"/>
          <w:tab w:val="left" w:pos="1134" w:leader="none"/>
        </w:tabs>
        <w:ind w:left="0" w:firstLine="709"/>
        <w:jc w:val="both"/>
        <w:rPr>
          <w:bCs/>
        </w:rPr>
      </w:pPr>
      <w:bookmarkStart w:id="36" w:name="_Ref361338019"/>
      <w:r>
        <w:rPr/>
        <w:t>Письма, уведомления и / или сообщения направляются Стороне-получателю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bookmarkEnd w:id="36"/>
      <w:r>
        <w:rPr>
          <w:bCs/>
        </w:rPr>
        <w:t xml:space="preserve"> будет считаться полученным:</w:t>
      </w:r>
    </w:p>
    <w:p>
      <w:pPr>
        <w:pStyle w:val="ListParagraph"/>
        <w:numPr>
          <w:ilvl w:val="2"/>
          <w:numId w:val="19"/>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19"/>
        </w:numPr>
        <w:shd w:val="clear" w:color="auto" w:fill="FFFFFF"/>
        <w:tabs>
          <w:tab w:val="clear" w:pos="708"/>
          <w:tab w:val="left" w:pos="1701" w:leader="none"/>
        </w:tabs>
        <w:ind w:left="0" w:firstLine="709"/>
        <w:jc w:val="both"/>
        <w:rPr>
          <w:bCs/>
        </w:rPr>
      </w:pPr>
      <w:bookmarkStart w:id="37" w:name="_Ref361338032"/>
      <w:bookmarkEnd w:id="37"/>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9"/>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Оригиналы документов,</w:t>
      </w:r>
      <w:r>
        <w:rPr>
          <w:bCs/>
          <w:shd w:fill="FFFFFF" w:val="clear"/>
        </w:rPr>
        <w:t xml:space="preserve"> направленные посредством электронной почты, дол</w:t>
      </w:r>
      <w:r>
        <w:rPr>
          <w:bCs/>
        </w:rPr>
        <w:t xml:space="preserve">жны не позднее следующего рабочего дня быть направлены Стороной-отправителем способами, указанными в пунктах 17.7.1 – 17.7.2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9"/>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9"/>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19"/>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9"/>
        </w:numPr>
        <w:shd w:val="clear" w:color="auto" w:fill="FFFFFF"/>
        <w:tabs>
          <w:tab w:val="clear" w:pos="708"/>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19"/>
        </w:numPr>
        <w:shd w:val="clear" w:color="auto" w:fill="FFFFFF"/>
        <w:tabs>
          <w:tab w:val="clear" w:pos="708"/>
          <w:tab w:val="left" w:pos="0" w:leader="none"/>
          <w:tab w:val="left" w:pos="709" w:leader="none"/>
          <w:tab w:val="left" w:pos="851" w:leader="none"/>
          <w:tab w:val="left" w:pos="993" w:leader="none"/>
          <w:tab w:val="left" w:pos="1134" w:leader="none"/>
          <w:tab w:val="left" w:pos="1701" w:leader="none"/>
          <w:tab w:val="left" w:pos="2130" w:leader="none"/>
        </w:tabs>
        <w:spacing w:before="0" w:after="0"/>
        <w:ind w:left="0" w:firstLine="709"/>
        <w:contextualSpacing/>
        <w:jc w:val="both"/>
        <w:rPr/>
      </w:pPr>
      <w: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(индекс, город, обл., улица номер дома.) 680009, Россия, Хабаровский край, г. Хабаровск, ул. Промышленная, д. 13 ИНН 2801108200, КПП 272402001,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widowControl w:val="false"/>
        <w:tabs>
          <w:tab w:val="clear" w:pos="708"/>
          <w:tab w:val="left" w:pos="993" w:leader="none"/>
        </w:tabs>
        <w:spacing w:lineRule="auto" w:line="240"/>
        <w:ind w:right="-2" w:firstLine="709"/>
        <w:rPr>
          <w:bCs/>
          <w:iCs/>
          <w:sz w:val="24"/>
        </w:rPr>
      </w:pPr>
      <w:r>
        <w:rPr>
          <w:bCs/>
          <w:iCs/>
          <w:sz w:val="24"/>
        </w:rPr>
        <w:t>Заказчик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shd w:val="clear" w:color="auto" w:fill="FFFFFF"/>
        <w:tabs>
          <w:tab w:val="clear" w:pos="708"/>
          <w:tab w:val="left" w:pos="1134" w:leader="none"/>
        </w:tabs>
        <w:ind w:left="709" w:hanging="0"/>
        <w:rPr/>
      </w:pPr>
      <w:r>
        <w:rPr/>
      </w:r>
    </w:p>
    <w:p>
      <w:pPr>
        <w:pStyle w:val="ListParagraph"/>
        <w:numPr>
          <w:ilvl w:val="0"/>
          <w:numId w:val="19"/>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pPr>
      <w:r>
        <w:rPr/>
      </w:r>
    </w:p>
    <w:p>
      <w:pPr>
        <w:pStyle w:val="ListParagraph"/>
        <w:shd w:val="clear" w:color="auto" w:fill="FFFFFF"/>
        <w:ind w:left="0" w:hanging="0"/>
        <w:jc w:val="both"/>
        <w:rPr>
          <w:bCs/>
        </w:rPr>
      </w:pPr>
      <w:r>
        <w:rPr/>
        <w:t xml:space="preserve">Приложение № </w:t>
      </w:r>
      <w:r>
        <w:rPr>
          <w:bCs/>
        </w:rPr>
        <w:t>1 – Технические требования.</w:t>
      </w:r>
    </w:p>
    <w:p>
      <w:pPr>
        <w:pStyle w:val="Normal"/>
        <w:widowControl w:val="false"/>
        <w:shd w:val="clear" w:color="auto" w:fill="FFFFFF"/>
        <w:tabs>
          <w:tab w:val="clear" w:pos="708"/>
          <w:tab w:val="left" w:pos="709" w:leader="none"/>
          <w:tab w:val="left" w:pos="1418" w:leader="none"/>
        </w:tabs>
        <w:spacing w:lineRule="auto" w:line="240"/>
        <w:ind w:hanging="0"/>
        <w:rPr>
          <w:highlight w:val="none"/>
          <w:shd w:fill="FFFF00" w:val="clear"/>
        </w:rPr>
      </w:pPr>
      <w:r>
        <w:rPr>
          <w:sz w:val="24"/>
          <w:szCs w:val="24"/>
          <w:shd w:fill="auto" w:val="clear"/>
        </w:rPr>
        <w:t xml:space="preserve">Приложение №2 - </w:t>
      </w:r>
      <w:r>
        <w:rPr>
          <w:b w:val="false"/>
          <w:bCs w:val="false"/>
          <w:i w:val="false"/>
          <w:iCs w:val="false"/>
          <w:sz w:val="24"/>
          <w:szCs w:val="24"/>
          <w:shd w:fill="auto" w:val="clear"/>
        </w:rPr>
        <w:t>Расчет стоимости строительства ВЛ/КЛ, ГНБ, ТП, РП.</w:t>
      </w:r>
    </w:p>
    <w:p>
      <w:pPr>
        <w:pStyle w:val="ListParagraph"/>
        <w:shd w:val="clear" w:color="auto" w:fill="FFFFFF"/>
        <w:ind w:left="0" w:hanging="0"/>
        <w:jc w:val="both"/>
        <w:rPr>
          <w:highlight w:val="none"/>
          <w:shd w:fill="auto" w:val="clear"/>
        </w:rPr>
      </w:pPr>
      <w:r>
        <w:rPr>
          <w:bCs/>
          <w:shd w:fill="auto" w:val="clear"/>
        </w:rPr>
        <w:t>Приложение № 3.1 – Форма Акта сдачи-приемки места производства работ, места (помещения) для складирования оборудования и материалов.</w:t>
      </w:r>
    </w:p>
    <w:p>
      <w:pPr>
        <w:pStyle w:val="ListParagraph"/>
        <w:shd w:val="clear" w:color="auto" w:fill="FFFFFF"/>
        <w:ind w:left="0" w:hanging="0"/>
        <w:jc w:val="both"/>
        <w:rPr>
          <w:highlight w:val="none"/>
          <w:shd w:fill="auto" w:val="clear"/>
        </w:rPr>
      </w:pPr>
      <w:r>
        <w:rPr>
          <w:bCs/>
          <w:shd w:fill="auto" w:val="clear"/>
        </w:rPr>
        <w:t>Приложение № 3.2 – Форма Акта сдачи-приемки технической и иной документации.</w:t>
      </w:r>
    </w:p>
    <w:p>
      <w:pPr>
        <w:pStyle w:val="ListParagraph"/>
        <w:shd w:val="clear" w:color="auto" w:fill="FFFFFF"/>
        <w:ind w:left="0" w:hanging="0"/>
        <w:jc w:val="both"/>
        <w:rPr>
          <w:highlight w:val="none"/>
          <w:shd w:fill="auto" w:val="clear"/>
        </w:rPr>
      </w:pPr>
      <w:r>
        <w:rPr>
          <w:bCs/>
          <w:shd w:fill="auto" w:val="clear"/>
        </w:rPr>
        <w:t>Приложение № 3.3 – Форма Акта сдачи-приемки оборудования и инструментов.</w:t>
      </w:r>
    </w:p>
    <w:p>
      <w:pPr>
        <w:pStyle w:val="ListParagraph"/>
        <w:shd w:val="clear" w:color="auto" w:fill="FFFFFF"/>
        <w:ind w:left="0" w:hanging="0"/>
        <w:jc w:val="both"/>
        <w:rPr>
          <w:highlight w:val="none"/>
          <w:shd w:fill="auto" w:val="clear"/>
        </w:rPr>
      </w:pPr>
      <w:r>
        <w:rPr>
          <w:bCs/>
          <w:shd w:fill="auto" w:val="clear"/>
        </w:rPr>
        <w:t xml:space="preserve">Приложение № 4 – Перечень допусков, разрешений и лицензий Подрядчика. </w:t>
      </w:r>
    </w:p>
    <w:p>
      <w:pPr>
        <w:pStyle w:val="ListParagraph"/>
        <w:shd w:val="clear" w:color="auto" w:fill="FFFFFF"/>
        <w:ind w:left="0" w:hanging="0"/>
        <w:jc w:val="both"/>
        <w:rPr>
          <w:bCs/>
        </w:rPr>
      </w:pPr>
      <w:r>
        <w:rPr>
          <w:bCs/>
        </w:rPr>
        <w:t xml:space="preserve">Приложение № 5 – Размер ответственности Подрядчика за нарушения пропускного </w:t>
        <w:br/>
        <w:t xml:space="preserve">и внутриобъектового режима, требований охраны труда, пожарной и промышленной </w:t>
      </w:r>
      <w:r>
        <w:rPr>
          <w:bCs/>
          <w:shd w:fill="auto" w:val="clear"/>
        </w:rPr>
        <w:t>безопасности.</w:t>
      </w:r>
    </w:p>
    <w:p>
      <w:pPr>
        <w:pStyle w:val="ListParagraph"/>
        <w:shd w:val="clear" w:color="auto" w:fill="FFFFFF"/>
        <w:ind w:left="0" w:hanging="0"/>
        <w:jc w:val="both"/>
        <w:rPr>
          <w:highlight w:val="none"/>
          <w:shd w:fill="auto" w:val="clear"/>
        </w:rPr>
      </w:pPr>
      <w:r>
        <w:rPr>
          <w:bCs/>
          <w:shd w:fill="auto" w:val="clear"/>
        </w:rPr>
        <w:t>Приложение № 6 – Форма Акта сдачи-приемки Проектных работ.</w:t>
      </w:r>
    </w:p>
    <w:p>
      <w:pPr>
        <w:pStyle w:val="ListParagraph"/>
        <w:shd w:val="clear" w:color="auto" w:fill="FFFFFF"/>
        <w:ind w:left="0" w:hanging="0"/>
        <w:jc w:val="both"/>
        <w:rPr>
          <w:highlight w:val="none"/>
          <w:shd w:fill="auto" w:val="clear"/>
        </w:rPr>
      </w:pPr>
      <w:r>
        <w:rPr>
          <w:bCs/>
          <w:shd w:fill="auto" w:val="clear"/>
        </w:rPr>
        <w:t>Приложение № 7 – Форма Акта освидетельствования выполненных работ.</w:t>
      </w:r>
    </w:p>
    <w:p>
      <w:pPr>
        <w:pStyle w:val="ListParagraph"/>
        <w:shd w:val="clear" w:color="auto" w:fill="FFFFFF"/>
        <w:ind w:left="0" w:hanging="0"/>
        <w:jc w:val="both"/>
        <w:rPr>
          <w:highlight w:val="none"/>
          <w:shd w:fill="auto" w:val="clear"/>
        </w:rPr>
      </w:pPr>
      <w:r>
        <w:rPr>
          <w:bCs/>
          <w:shd w:fill="auto" w:val="clear"/>
        </w:rPr>
        <w:t>Приложение № 8 – Порядок передачи и учета Давальческих материалов и запасных частей.</w:t>
      </w:r>
    </w:p>
    <w:p>
      <w:pPr>
        <w:pStyle w:val="ListParagraph"/>
        <w:shd w:val="clear" w:color="auto" w:fill="FFFFFF"/>
        <w:ind w:left="0" w:hanging="0"/>
        <w:jc w:val="both"/>
        <w:rPr>
          <w:highlight w:val="none"/>
          <w:shd w:fill="auto" w:val="clear"/>
        </w:rPr>
      </w:pPr>
      <w:r>
        <w:rPr>
          <w:bCs/>
          <w:shd w:fill="auto" w:val="clear"/>
        </w:rPr>
        <w:t>Приложение № 9 – Порядок передачи и учета Оборудования Заказчика.</w:t>
      </w:r>
    </w:p>
    <w:p>
      <w:pPr>
        <w:pStyle w:val="ListParagraph"/>
        <w:shd w:val="clear" w:color="auto" w:fill="FFFFFF"/>
        <w:ind w:left="0" w:hanging="0"/>
        <w:jc w:val="both"/>
        <w:rPr/>
      </w:pPr>
      <w:r>
        <w:rPr>
          <w:bCs/>
          <w:shd w:fill="auto" w:val="clear"/>
        </w:rPr>
        <w:t xml:space="preserve">Приложение №10 - </w:t>
      </w:r>
      <w:r>
        <w:rPr>
          <w:shd w:fill="auto" w:val="clear"/>
        </w:rPr>
        <w:t>Порядок предоставления ресурсов и оказания Заказчиком ус</w:t>
      </w:r>
      <w:r>
        <w:rPr/>
        <w:t>луг, необходимых для исполнения Подрядчиком обязательств по Договору</w:t>
      </w:r>
    </w:p>
    <w:p>
      <w:pPr>
        <w:pStyle w:val="ListParagraph"/>
        <w:shd w:val="clear" w:color="auto" w:fill="FFFFFF"/>
        <w:ind w:left="0" w:hanging="0"/>
        <w:jc w:val="both"/>
        <w:rPr>
          <w:bCs/>
        </w:rPr>
      </w:pPr>
      <w:r>
        <w:rPr/>
        <w:t>Приложение №11 – «Порядок учета и хранения материалов, демонтированных при исполнении подрядчиком работ по договору</w:t>
      </w:r>
    </w:p>
    <w:p>
      <w:pPr>
        <w:pStyle w:val="ListParagraph"/>
        <w:shd w:val="clear" w:color="auto" w:fill="FFFFFF"/>
        <w:ind w:left="0" w:hanging="0"/>
        <w:jc w:val="both"/>
        <w:rPr>
          <w:rFonts w:ascii="Times New Roman" w:hAnsi="Times New Roman"/>
          <w:sz w:val="24"/>
          <w:szCs w:val="24"/>
        </w:rPr>
      </w:pPr>
      <w:r>
        <w:rPr>
          <w:bCs/>
          <w:sz w:val="24"/>
          <w:szCs w:val="24"/>
          <w:lang w:val="ru-RU" w:bidi="ar-SA"/>
        </w:rPr>
        <w:t xml:space="preserve">Приложение №12 – </w:t>
      </w:r>
      <w:r>
        <w:rPr>
          <w:b w:val="false"/>
          <w:bCs w:val="false"/>
          <w:sz w:val="24"/>
          <w:szCs w:val="24"/>
          <w:lang w:val="ru-RU" w:bidi="ar-SA"/>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ListParagraph"/>
        <w:shd w:val="clear" w:color="auto" w:fill="FFFFFF"/>
        <w:ind w:left="0" w:hanging="0"/>
        <w:jc w:val="both"/>
        <w:rPr>
          <w:highlight w:val="none"/>
          <w:shd w:fill="auto" w:val="clear"/>
        </w:rPr>
      </w:pPr>
      <w:r>
        <w:rPr>
          <w:b w:val="false"/>
          <w:bCs w:val="false"/>
          <w:sz w:val="24"/>
          <w:szCs w:val="24"/>
          <w:shd w:fill="auto" w:val="clear"/>
          <w:lang w:val="ru-RU" w:bidi="ar-SA"/>
        </w:rPr>
        <w:t>Приложение № 13 - АКТ демонтажа;</w:t>
      </w:r>
    </w:p>
    <w:p>
      <w:pPr>
        <w:pStyle w:val="ListParagraph"/>
        <w:shd w:val="clear" w:color="auto" w:fill="FFFFFF"/>
        <w:ind w:left="0" w:hanging="0"/>
        <w:jc w:val="both"/>
        <w:rPr>
          <w:highlight w:val="none"/>
          <w:shd w:fill="auto" w:val="clear"/>
        </w:rPr>
      </w:pPr>
      <w:r>
        <w:rPr>
          <w:b w:val="false"/>
          <w:bCs w:val="false"/>
          <w:sz w:val="24"/>
          <w:szCs w:val="24"/>
          <w:shd w:fill="auto" w:val="clear"/>
          <w:lang w:val="ru-RU" w:bidi="ar-SA"/>
        </w:rPr>
        <w:t xml:space="preserve">Приложение № 14 - </w:t>
      </w:r>
      <w:r>
        <w:rPr>
          <w:b w:val="false"/>
          <w:bCs/>
          <w:sz w:val="24"/>
          <w:szCs w:val="24"/>
          <w:shd w:fill="auto" w:val="clear"/>
          <w:lang w:val="ru-RU" w:bidi="ar-SA"/>
        </w:rPr>
        <w:t>Регламент взаимодействия в ходе исполнения процессов управления проектом.</w:t>
      </w:r>
    </w:p>
    <w:p>
      <w:pPr>
        <w:pStyle w:val="Normal"/>
        <w:spacing w:lineRule="auto" w:line="240"/>
        <w:ind w:hanging="0"/>
        <w:rPr>
          <w:sz w:val="24"/>
          <w:szCs w:val="24"/>
        </w:rPr>
      </w:pPr>
      <w:r>
        <w:rPr>
          <w:sz w:val="24"/>
          <w:szCs w:val="24"/>
        </w:rPr>
      </w:r>
    </w:p>
    <w:p>
      <w:pPr>
        <w:pStyle w:val="ListParagraph"/>
        <w:numPr>
          <w:ilvl w:val="0"/>
          <w:numId w:val="19"/>
        </w:numPr>
        <w:shd w:val="clear" w:color="auto" w:fill="FFFFFF"/>
        <w:tabs>
          <w:tab w:val="clear" w:pos="708"/>
          <w:tab w:val="left" w:pos="426" w:leader="none"/>
        </w:tabs>
        <w:ind w:left="0" w:hanging="0"/>
        <w:jc w:val="center"/>
        <w:rPr>
          <w:highlight w:val="none"/>
          <w:shd w:fill="auto" w:val="clear"/>
        </w:rPr>
      </w:pPr>
      <w:r>
        <w:rPr>
          <w:b/>
          <w:bCs/>
          <w:shd w:fill="auto" w:val="clear"/>
        </w:rPr>
        <w:t>Адреса и платежные реквизиты Сторон</w:t>
      </w:r>
    </w:p>
    <w:tbl>
      <w:tblPr>
        <w:tblW w:w="989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65"/>
        <w:gridCol w:w="163"/>
        <w:gridCol w:w="4606"/>
        <w:gridCol w:w="356"/>
      </w:tblGrid>
      <w:tr>
        <w:trPr/>
        <w:tc>
          <w:tcPr>
            <w:tcW w:w="4928"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ЗАКАЗЧИК:</w:t>
            </w:r>
          </w:p>
        </w:tc>
        <w:tc>
          <w:tcPr>
            <w:tcW w:w="4962" w:type="dxa"/>
            <w:gridSpan w:val="2"/>
            <w:tcBorders/>
            <w:shd w:fill="auto" w:val="clear"/>
          </w:tcPr>
          <w:p>
            <w:pPr>
              <w:pStyle w:val="Normal"/>
              <w:widowControl w:val="false"/>
              <w:spacing w:lineRule="auto" w:line="240"/>
              <w:ind w:hanging="0"/>
              <w:rPr>
                <w:highlight w:val="none"/>
                <w:shd w:fill="auto" w:val="clear"/>
              </w:rPr>
            </w:pPr>
            <w:r>
              <w:rPr>
                <w:sz w:val="24"/>
                <w:szCs w:val="24"/>
                <w:shd w:fill="auto" w:val="clear"/>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b/>
                <w:sz w:val="24"/>
                <w:szCs w:val="24"/>
                <w:shd w:fill="auto" w:val="clear"/>
              </w:rPr>
              <w:t>Акционерное общество</w:t>
            </w:r>
          </w:p>
          <w:p>
            <w:pPr>
              <w:pStyle w:val="Normal"/>
              <w:widowControl w:val="false"/>
              <w:spacing w:lineRule="auto" w:line="240"/>
              <w:ind w:hanging="0"/>
              <w:jc w:val="left"/>
              <w:rPr>
                <w:highlight w:val="none"/>
                <w:shd w:fill="auto" w:val="clear"/>
              </w:rPr>
            </w:pPr>
            <w:r>
              <w:rPr>
                <w:b/>
                <w:sz w:val="24"/>
                <w:szCs w:val="24"/>
                <w:shd w:fill="auto" w:val="clear"/>
              </w:rPr>
              <w:t>«Дальневосточная распределительная сетевая компания» (АО «ДРСК»)</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Место нахождения:</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Почтовый адрес:</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ОГРН ___________________________</w:t>
            </w:r>
          </w:p>
          <w:p>
            <w:pPr>
              <w:pStyle w:val="Normal"/>
              <w:widowControl w:val="false"/>
              <w:spacing w:lineRule="auto" w:line="240"/>
              <w:ind w:hanging="0"/>
              <w:jc w:val="left"/>
              <w:rPr>
                <w:highlight w:val="none"/>
                <w:shd w:fill="auto" w:val="clear"/>
              </w:rPr>
            </w:pPr>
            <w:r>
              <w:rPr>
                <w:sz w:val="24"/>
                <w:szCs w:val="24"/>
                <w:shd w:fill="auto" w:val="clear"/>
              </w:rPr>
              <w:t>ИНН ____________ / КПП___________</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 xml:space="preserve"> </w:t>
            </w:r>
            <w:r>
              <w:rPr>
                <w:sz w:val="24"/>
                <w:szCs w:val="24"/>
                <w:shd w:fill="auto" w:val="clear"/>
              </w:rPr>
              <w:t>(номер расчетного счета)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jc w:val="left"/>
              <w:rPr>
                <w:highlight w:val="none"/>
                <w:shd w:fill="auto" w:val="clear"/>
              </w:rPr>
            </w:pPr>
            <w:r>
              <w:rPr>
                <w:sz w:val="24"/>
                <w:szCs w:val="24"/>
                <w:shd w:fill="auto" w:val="clear"/>
              </w:rPr>
              <w:t>открыт расчетный счет)</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(БИК банка)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телефона)</w:t>
            </w:r>
          </w:p>
          <w:p>
            <w:pPr>
              <w:pStyle w:val="Normal"/>
              <w:widowControl w:val="false"/>
              <w:spacing w:lineRule="auto" w:line="240"/>
              <w:ind w:hanging="0"/>
              <w:jc w:val="left"/>
              <w:rPr>
                <w:highlight w:val="none"/>
                <w:shd w:fill="auto" w:val="clear"/>
              </w:rPr>
            </w:pPr>
            <w:r>
              <w:rPr>
                <w:sz w:val="24"/>
                <w:szCs w:val="24"/>
                <w:shd w:fill="auto" w:val="clear"/>
              </w:rPr>
              <w:t>_________________________________</w:t>
            </w:r>
          </w:p>
          <w:p>
            <w:pPr>
              <w:pStyle w:val="Normal"/>
              <w:widowControl w:val="false"/>
              <w:spacing w:lineRule="auto" w:line="240"/>
              <w:ind w:hanging="0"/>
              <w:jc w:val="left"/>
              <w:rPr>
                <w:highlight w:val="none"/>
                <w:shd w:fill="auto" w:val="clear"/>
              </w:rPr>
            </w:pPr>
            <w:r>
              <w:rPr>
                <w:sz w:val="24"/>
                <w:szCs w:val="24"/>
                <w:shd w:fill="auto" w:val="clear"/>
              </w:rPr>
              <w:t>(номер факса)</w:t>
            </w:r>
          </w:p>
          <w:p>
            <w:pPr>
              <w:pStyle w:val="Normal"/>
              <w:widowControl w:val="false"/>
              <w:shd w:val="clear" w:color="auto" w:fill="BFBFBF" w:themeFill="background1" w:themeFillShade="bf"/>
              <w:spacing w:lineRule="auto" w:line="240"/>
              <w:ind w:hanging="0"/>
              <w:jc w:val="left"/>
              <w:rPr>
                <w:highlight w:val="none"/>
                <w:shd w:fill="auto" w:val="clear"/>
              </w:rPr>
            </w:pPr>
            <w:r>
              <w:rPr>
                <w:color w:val="0000FF"/>
                <w:sz w:val="24"/>
                <w:szCs w:val="24"/>
                <w:shd w:fill="auto" w:val="clear"/>
              </w:rPr>
              <w:t>Почтовый адрес: АДРЕС ФАО</w:t>
            </w:r>
          </w:p>
          <w:p>
            <w:pPr>
              <w:pStyle w:val="Normal"/>
              <w:widowControl w:val="false"/>
              <w:spacing w:lineRule="auto" w:line="240"/>
              <w:ind w:hanging="0"/>
              <w:jc w:val="left"/>
              <w:rPr>
                <w:sz w:val="24"/>
                <w:szCs w:val="24"/>
                <w:highlight w:val="none"/>
                <w:shd w:fill="auto" w:val="clear"/>
              </w:rPr>
            </w:pPr>
            <w:r>
              <w:rPr>
                <w:sz w:val="24"/>
                <w:szCs w:val="24"/>
                <w:shd w:fill="auto" w:val="clear"/>
              </w:rPr>
            </w:r>
          </w:p>
        </w:tc>
        <w:tc>
          <w:tcPr>
            <w:tcW w:w="4962" w:type="dxa"/>
            <w:gridSpan w:val="2"/>
            <w:tcBorders/>
            <w:shd w:color="auto" w:fill="BFBFBF" w:themeFill="background1" w:themeFillShade="bf" w:val="clear"/>
          </w:tcPr>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юридического лица)</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Место нахождения:</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sz w:val="24"/>
                <w:szCs w:val="24"/>
                <w:highlight w:val="none"/>
                <w:shd w:fill="auto" w:val="clear"/>
              </w:rPr>
            </w:pPr>
            <w:r>
              <w:rPr>
                <w:sz w:val="24"/>
                <w:szCs w:val="24"/>
                <w:shd w:fill="auto" w:val="clear"/>
              </w:rPr>
            </w:r>
          </w:p>
          <w:p>
            <w:pPr>
              <w:pStyle w:val="Normal"/>
              <w:widowControl w:val="false"/>
              <w:spacing w:lineRule="auto" w:line="240"/>
              <w:ind w:hanging="0"/>
              <w:rPr>
                <w:highlight w:val="none"/>
                <w:shd w:fill="auto" w:val="clear"/>
              </w:rPr>
            </w:pPr>
            <w:r>
              <w:rPr>
                <w:sz w:val="24"/>
                <w:szCs w:val="24"/>
                <w:shd w:fill="auto" w:val="clear"/>
              </w:rPr>
              <w:t>Почтовый адрес:</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ОГРН ___________________________</w:t>
            </w:r>
          </w:p>
          <w:p>
            <w:pPr>
              <w:pStyle w:val="Normal"/>
              <w:widowControl w:val="false"/>
              <w:spacing w:lineRule="auto" w:line="240"/>
              <w:ind w:hanging="0"/>
              <w:rPr>
                <w:highlight w:val="none"/>
                <w:shd w:fill="auto" w:val="clear"/>
              </w:rPr>
            </w:pPr>
            <w:r>
              <w:rPr>
                <w:sz w:val="24"/>
                <w:szCs w:val="24"/>
                <w:shd w:fill="auto" w:val="clear"/>
              </w:rPr>
              <w:t>ИНН ____________ / КПП___________</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расчетного счета)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(наименование банка, в котором</w:t>
            </w:r>
          </w:p>
          <w:p>
            <w:pPr>
              <w:pStyle w:val="Normal"/>
              <w:widowControl w:val="false"/>
              <w:spacing w:lineRule="auto" w:line="240"/>
              <w:ind w:hanging="0"/>
              <w:rPr>
                <w:highlight w:val="none"/>
                <w:shd w:fill="auto" w:val="clear"/>
              </w:rPr>
            </w:pPr>
            <w:r>
              <w:rPr>
                <w:sz w:val="24"/>
                <w:szCs w:val="24"/>
                <w:shd w:fill="auto" w:val="clear"/>
              </w:rPr>
              <w:t>открыт расчетный счет)</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корреспондентского счета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(БИК банка)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телефона)</w:t>
            </w:r>
          </w:p>
          <w:p>
            <w:pPr>
              <w:pStyle w:val="Normal"/>
              <w:widowControl w:val="false"/>
              <w:spacing w:lineRule="auto" w:line="240"/>
              <w:ind w:hanging="0"/>
              <w:rPr>
                <w:highlight w:val="none"/>
                <w:shd w:fill="auto" w:val="clear"/>
              </w:rPr>
            </w:pPr>
            <w:r>
              <w:rPr>
                <w:sz w:val="24"/>
                <w:szCs w:val="24"/>
                <w:shd w:fill="auto" w:val="clear"/>
              </w:rPr>
              <w:t>_________________________________</w:t>
            </w:r>
          </w:p>
          <w:p>
            <w:pPr>
              <w:pStyle w:val="Normal"/>
              <w:widowControl w:val="false"/>
              <w:spacing w:lineRule="auto" w:line="240"/>
              <w:ind w:hanging="0"/>
              <w:rPr>
                <w:highlight w:val="none"/>
                <w:shd w:fill="auto" w:val="clear"/>
              </w:rPr>
            </w:pPr>
            <w:r>
              <w:rPr>
                <w:sz w:val="24"/>
                <w:szCs w:val="24"/>
                <w:shd w:fill="auto" w:val="clear"/>
              </w:rPr>
              <w:t>(номер факса)</w:t>
            </w:r>
          </w:p>
          <w:p>
            <w:pPr>
              <w:pStyle w:val="Normal"/>
              <w:widowControl w:val="false"/>
              <w:spacing w:lineRule="auto" w:line="240"/>
              <w:ind w:hanging="0"/>
              <w:rPr>
                <w:sz w:val="24"/>
                <w:szCs w:val="24"/>
                <w:highlight w:val="none"/>
                <w:shd w:fill="auto" w:val="clear"/>
              </w:rPr>
            </w:pPr>
            <w:r>
              <w:rPr>
                <w:sz w:val="24"/>
                <w:szCs w:val="24"/>
                <w:shd w:fill="auto" w:val="clear"/>
              </w:rPr>
            </w:r>
          </w:p>
        </w:tc>
      </w:tr>
      <w:tr>
        <w:trPr/>
        <w:tc>
          <w:tcPr>
            <w:tcW w:w="4765" w:type="dxa"/>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tc>
        <w:tc>
          <w:tcPr>
            <w:tcW w:w="4769" w:type="dxa"/>
            <w:gridSpan w:val="2"/>
            <w:tcBorders/>
            <w:shd w:fill="auto" w:val="clear"/>
          </w:tcPr>
          <w:p>
            <w:pPr>
              <w:pStyle w:val="Normal"/>
              <w:widowControl w:val="false"/>
              <w:spacing w:lineRule="auto" w:line="240"/>
              <w:ind w:hanging="0"/>
              <w:jc w:val="left"/>
              <w:rPr>
                <w:sz w:val="24"/>
                <w:szCs w:val="24"/>
                <w:highlight w:val="none"/>
                <w:shd w:fill="auto" w:val="clear"/>
              </w:rPr>
            </w:pPr>
            <w:r>
              <w:rPr>
                <w:sz w:val="24"/>
                <w:szCs w:val="24"/>
                <w:shd w:fill="auto" w:val="clear"/>
              </w:rPr>
            </w:r>
          </w:p>
          <w:p>
            <w:pPr>
              <w:pStyle w:val="Normal"/>
              <w:widowControl w:val="false"/>
              <w:spacing w:lineRule="auto" w:line="240"/>
              <w:ind w:hanging="0"/>
              <w:jc w:val="left"/>
              <w:rPr>
                <w:highlight w:val="none"/>
                <w:shd w:fill="auto" w:val="clear"/>
              </w:rPr>
            </w:pPr>
            <w:r>
              <w:rPr>
                <w:sz w:val="24"/>
                <w:szCs w:val="24"/>
                <w:shd w:fill="auto" w:val="clear"/>
              </w:rPr>
              <w:t>_______________ / _______________</w:t>
            </w:r>
          </w:p>
        </w:tc>
        <w:tc>
          <w:tcPr>
            <w:tcW w:w="356" w:type="dxa"/>
            <w:tcBorders/>
            <w:shd w:fill="auto" w:val="clear"/>
          </w:tcPr>
          <w:p>
            <w:pPr>
              <w:pStyle w:val="Normal"/>
              <w:widowControl w:val="false"/>
              <w:rPr>
                <w:highlight w:val="none"/>
                <w:shd w:fill="auto" w:val="clear"/>
              </w:rPr>
            </w:pPr>
            <w:r>
              <w:rPr>
                <w:shd w:fill="auto" w:val="clear"/>
              </w:rPr>
            </w:r>
          </w:p>
        </w:tc>
      </w:tr>
    </w:tbl>
    <w:p>
      <w:pPr>
        <w:pStyle w:val="Normal"/>
        <w:spacing w:lineRule="auto" w:line="240"/>
        <w:ind w:hanging="0"/>
        <w:rPr>
          <w:sz w:val="24"/>
          <w:szCs w:val="24"/>
          <w:highlight w:val="none"/>
          <w:shd w:fill="auto" w:val="clear"/>
        </w:rPr>
      </w:pPr>
      <w:r>
        <w:rPr>
          <w:sz w:val="24"/>
          <w:szCs w:val="24"/>
          <w:shd w:fill="auto" w:val="clear"/>
        </w:rPr>
      </w:r>
      <w:r>
        <w:br w:type="page"/>
      </w: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ТЕХНИЧЕСКИЕ ТРЕБОВАНИЯ</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jc w:val="left"/>
        <w:rPr>
          <w:sz w:val="22"/>
          <w:szCs w:val="22"/>
        </w:rPr>
      </w:pPr>
      <w:r>
        <w:rPr>
          <w:sz w:val="22"/>
          <w:szCs w:val="22"/>
        </w:rPr>
      </w:r>
      <w:r>
        <w:br w:type="page"/>
      </w:r>
    </w:p>
    <w:p>
      <w:pPr>
        <w:pStyle w:val="Normal"/>
        <w:spacing w:lineRule="auto" w:line="240"/>
        <w:ind w:left="5103" w:hanging="0"/>
        <w:jc w:val="left"/>
        <w:rPr>
          <w:sz w:val="22"/>
          <w:szCs w:val="22"/>
        </w:rPr>
      </w:pPr>
      <w:r>
        <w:rPr>
          <w:sz w:val="22"/>
          <w:szCs w:val="22"/>
        </w:rPr>
        <w:t>Приложение № 2</w:t>
      </w:r>
    </w:p>
    <w:p>
      <w:pPr>
        <w:pStyle w:val="Normal"/>
        <w:spacing w:lineRule="auto" w:line="240"/>
        <w:ind w:firstLine="5103"/>
        <w:jc w:val="left"/>
        <w:rPr>
          <w:rFonts w:eastAsia="Calibri"/>
          <w:sz w:val="22"/>
          <w:szCs w:val="22"/>
          <w:lang w:eastAsia="en-US"/>
        </w:rPr>
      </w:pPr>
      <w:r>
        <w:rPr>
          <w:rFonts w:eastAsia="Calibri"/>
          <w:sz w:val="22"/>
          <w:szCs w:val="22"/>
          <w:lang w:eastAsia="en-US"/>
        </w:rPr>
        <w:t xml:space="preserve">к Договору подряда </w:t>
      </w:r>
    </w:p>
    <w:p>
      <w:pPr>
        <w:pStyle w:val="Normal"/>
        <w:spacing w:lineRule="auto" w:line="240"/>
        <w:ind w:firstLine="5103"/>
        <w:jc w:val="left"/>
        <w:rPr>
          <w:sz w:val="24"/>
          <w:szCs w:val="24"/>
        </w:rPr>
      </w:pPr>
      <w:r>
        <w:rPr>
          <w:rFonts w:eastAsia="Calibri"/>
          <w:sz w:val="22"/>
          <w:szCs w:val="22"/>
          <w:lang w:eastAsia="en-US"/>
        </w:rPr>
        <w:t>от «____» __________ 20 _ г. № ____</w:t>
      </w:r>
    </w:p>
    <w:p>
      <w:pPr>
        <w:pStyle w:val="Normal"/>
        <w:spacing w:lineRule="auto" w:line="240"/>
        <w:ind w:firstLine="5103"/>
        <w:jc w:val="left"/>
        <w:rPr>
          <w:sz w:val="24"/>
          <w:szCs w:val="24"/>
        </w:rPr>
      </w:pPr>
      <w:r>
        <w:rPr>
          <w:sz w:val="24"/>
          <w:szCs w:val="24"/>
        </w:rPr>
      </w:r>
    </w:p>
    <w:p>
      <w:pPr>
        <w:pStyle w:val="Normal"/>
        <w:spacing w:lineRule="auto" w:line="240"/>
        <w:ind w:firstLine="5103"/>
        <w:jc w:val="left"/>
        <w:rPr>
          <w:sz w:val="24"/>
          <w:szCs w:val="24"/>
        </w:rPr>
      </w:pPr>
      <w:r>
        <w:rPr>
          <w:sz w:val="24"/>
          <w:szCs w:val="24"/>
        </w:rPr>
      </w:r>
    </w:p>
    <w:p>
      <w:pPr>
        <w:pStyle w:val="Normal"/>
        <w:widowControl w:val="false"/>
        <w:tabs>
          <w:tab w:val="clear" w:pos="708"/>
          <w:tab w:val="left" w:pos="709" w:leader="none"/>
          <w:tab w:val="left" w:pos="1418" w:leader="none"/>
        </w:tabs>
        <w:spacing w:lineRule="auto" w:line="240"/>
        <w:ind w:hanging="0"/>
        <w:jc w:val="center"/>
        <w:rPr>
          <w:b/>
          <w:bCs/>
          <w:sz w:val="26"/>
          <w:szCs w:val="26"/>
        </w:rPr>
      </w:pPr>
      <w:r>
        <w:rPr>
          <w:b/>
          <w:bCs/>
          <w:i w:val="false"/>
          <w:iCs w:val="false"/>
          <w:sz w:val="24"/>
          <w:szCs w:val="24"/>
          <w:shd w:fill="auto" w:val="clear"/>
        </w:rPr>
        <w:t>Расчет стоимости строительства ВЛ/КЛ, ГНБ, ТП, РП</w:t>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br w:type="page"/>
      </w:r>
      <w:r>
        <w:rPr>
          <w:sz w:val="22"/>
          <w:szCs w:val="22"/>
        </w:rPr>
        <w:t>Приложение № 3.1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Title"/>
        <w:shd w:val="clear" w:color="auto" w:fill="auto"/>
        <w:ind w:hanging="0"/>
        <w:jc w:val="left"/>
        <w:rPr>
          <w:i/>
          <w:i/>
        </w:rPr>
      </w:pPr>
      <w:r>
        <w:rPr>
          <w:i/>
        </w:rPr>
      </w:r>
    </w:p>
    <w:p>
      <w:pPr>
        <w:pStyle w:val="Title"/>
        <w:shd w:val="clear" w:color="auto" w:fill="auto"/>
        <w:ind w:hanging="0"/>
        <w:rPr>
          <w:bCs/>
          <w:sz w:val="24"/>
          <w:szCs w:val="24"/>
        </w:rPr>
      </w:pPr>
      <w:r>
        <w:rPr>
          <w:iCs/>
          <w:sz w:val="24"/>
          <w:szCs w:val="24"/>
        </w:rPr>
        <w:t>ФОРМА</w:t>
      </w:r>
    </w:p>
    <w:p>
      <w:pPr>
        <w:pStyle w:val="Title"/>
        <w:shd w:val="clear" w:color="auto" w:fill="auto"/>
        <w:ind w:hanging="0"/>
        <w:rPr>
          <w:i/>
          <w:i/>
          <w:iCs/>
          <w:sz w:val="24"/>
          <w:szCs w:val="24"/>
          <w:lang w:val="ru-RU"/>
        </w:rPr>
      </w:pPr>
      <w:r>
        <w:rPr>
          <w:bCs/>
          <w:sz w:val="24"/>
          <w:szCs w:val="24"/>
        </w:rPr>
        <w:t xml:space="preserve">Акта сдачи-приемки места производства </w:t>
      </w:r>
      <w:r>
        <w:rPr>
          <w:bCs/>
          <w:sz w:val="24"/>
          <w:szCs w:val="24"/>
          <w:lang w:val="ru-RU"/>
        </w:rPr>
        <w:t>Р</w:t>
      </w:r>
      <w:r>
        <w:rPr>
          <w:bCs/>
          <w:sz w:val="24"/>
          <w:szCs w:val="24"/>
        </w:rPr>
        <w:t xml:space="preserve">абот </w:t>
      </w:r>
      <w:r>
        <w:rPr>
          <w:bCs/>
          <w:sz w:val="24"/>
          <w:szCs w:val="24"/>
          <w:highlight w:val="lightGray"/>
        </w:rPr>
        <w:t>и</w:t>
      </w:r>
      <w:r>
        <w:rPr>
          <w:bCs/>
          <w:sz w:val="24"/>
          <w:szCs w:val="24"/>
          <w:highlight w:val="lightGray"/>
          <w:lang w:val="ru-RU"/>
        </w:rPr>
        <w:t xml:space="preserve"> </w:t>
      </w:r>
      <w:r>
        <w:rPr>
          <w:bCs/>
          <w:sz w:val="24"/>
          <w:szCs w:val="24"/>
          <w:highlight w:val="lightGray"/>
        </w:rPr>
        <w:t>/</w:t>
      </w:r>
      <w:r>
        <w:rPr>
          <w:bCs/>
          <w:sz w:val="24"/>
          <w:szCs w:val="24"/>
          <w:highlight w:val="lightGray"/>
          <w:lang w:val="ru-RU"/>
        </w:rPr>
        <w:t xml:space="preserve"> </w:t>
      </w:r>
      <w:r>
        <w:rPr>
          <w:bCs/>
          <w:sz w:val="24"/>
          <w:szCs w:val="24"/>
          <w:highlight w:val="lightGray"/>
        </w:rPr>
        <w:t>или</w:t>
      </w:r>
      <w:r>
        <w:rPr>
          <w:sz w:val="24"/>
          <w:highlight w:val="lightGray"/>
        </w:rPr>
        <w:t xml:space="preserve"> места (помещения) для складирования материалов</w:t>
      </w:r>
      <w:r>
        <w:rPr>
          <w:sz w:val="24"/>
          <w:highlight w:val="lightGray"/>
          <w:lang w:val="ru-RU"/>
        </w:rPr>
        <w:t xml:space="preserve"> и Оборудования</w:t>
      </w:r>
    </w:p>
    <w:p>
      <w:pPr>
        <w:pStyle w:val="Normal"/>
        <w:spacing w:lineRule="auto" w:line="240"/>
        <w:ind w:hanging="0"/>
        <w:rPr>
          <w:sz w:val="24"/>
          <w:szCs w:val="24"/>
        </w:rPr>
      </w:pPr>
      <w:r>
        <w:rPr>
          <w:sz w:val="24"/>
          <w:szCs w:val="24"/>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Акт</w:t>
            </w:r>
          </w:p>
          <w:p>
            <w:pPr>
              <w:pStyle w:val="Title"/>
              <w:widowControl w:val="false"/>
              <w:shd w:val="clear" w:color="auto" w:fill="auto"/>
              <w:ind w:hanging="0"/>
              <w:rPr>
                <w:b w:val="false"/>
                <w:i/>
                <w:i/>
                <w:iCs/>
                <w:lang w:val="ru-RU"/>
              </w:rPr>
            </w:pPr>
            <w:r>
              <w:rPr>
                <w:b w:val="false"/>
                <w:bCs/>
              </w:rPr>
              <w:t xml:space="preserve">сдачи-приемки места производства </w:t>
            </w:r>
            <w:r>
              <w:rPr>
                <w:b w:val="false"/>
                <w:bCs/>
                <w:lang w:val="ru-RU"/>
              </w:rPr>
              <w:t>Р</w:t>
            </w:r>
            <w:r>
              <w:rPr>
                <w:b w:val="false"/>
                <w:bCs/>
              </w:rPr>
              <w:t>абот</w:t>
            </w:r>
            <w:r>
              <w:rPr/>
              <w:t xml:space="preserve"> </w:t>
            </w:r>
            <w:r>
              <w:rPr>
                <w:b w:val="false"/>
                <w:highlight w:val="lightGray"/>
              </w:rPr>
              <w:t>и</w:t>
            </w:r>
            <w:r>
              <w:rPr>
                <w:b w:val="false"/>
                <w:highlight w:val="lightGray"/>
                <w:lang w:val="ru-RU"/>
              </w:rPr>
              <w:t xml:space="preserve"> </w:t>
            </w:r>
            <w:r>
              <w:rPr>
                <w:b w:val="false"/>
                <w:highlight w:val="lightGray"/>
              </w:rPr>
              <w:t>/</w:t>
            </w:r>
            <w:r>
              <w:rPr>
                <w:b w:val="false"/>
                <w:highlight w:val="lightGray"/>
                <w:lang w:val="ru-RU"/>
              </w:rPr>
              <w:t xml:space="preserve"> </w:t>
            </w:r>
            <w:r>
              <w:rPr>
                <w:b w:val="false"/>
                <w:highlight w:val="lightGray"/>
              </w:rPr>
              <w:t>или</w:t>
            </w:r>
            <w:r>
              <w:rPr>
                <w:b w:val="false"/>
                <w:bCs/>
                <w:highlight w:val="lightGray"/>
              </w:rPr>
              <w:t xml:space="preserve"> места (помещения) для складирования материалов</w:t>
            </w:r>
            <w:r>
              <w:rPr>
                <w:b w:val="false"/>
                <w:bCs/>
                <w:highlight w:val="lightGray"/>
                <w:lang w:val="ru-RU"/>
              </w:rPr>
              <w:t xml:space="preserve"> и Оборудования</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материалов и Оборудования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материалов </w:t>
              <w:br/>
              <w:t>и Оборудования</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rPr>
            </w:pPr>
            <w:r>
              <w:rPr>
                <w:i/>
                <w:sz w:val="22"/>
              </w:rPr>
              <w:t>(указать конкретные претензии или указать «не имеются»)</w:t>
            </w:r>
            <w:r>
              <w:rPr>
                <w:sz w:val="22"/>
              </w:rPr>
              <w:t>.</w:t>
            </w:r>
          </w:p>
          <w:p>
            <w:pPr>
              <w:pStyle w:val="Normal"/>
              <w:widowControl w:val="false"/>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материалов и Оборудования</w:t>
            </w:r>
            <w:r>
              <w:rPr>
                <w:bCs/>
                <w:sz w:val="22"/>
                <w:szCs w:val="22"/>
                <w:highlight w:val="lightGray"/>
              </w:rPr>
              <w:t xml:space="preserve">: </w:t>
              <w:br/>
              <w:t>____________________________________________________________________________</w:t>
            </w:r>
          </w:p>
          <w:p>
            <w:pPr>
              <w:pStyle w:val="Normal"/>
              <w:widowControl w:val="false"/>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sz w:val="22"/>
                    </w:rPr>
                  </w:pPr>
                  <w:r>
                    <w:rPr>
                      <w:sz w:val="22"/>
                    </w:rPr>
                    <w:t>Заказчик:</w:t>
                  </w:r>
                </w:p>
              </w:tc>
              <w:tc>
                <w:tcPr>
                  <w:tcW w:w="4520" w:type="dxa"/>
                  <w:tcBorders/>
                  <w:shd w:fill="auto" w:val="clear"/>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3.2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Title"/>
        <w:shd w:val="clear" w:color="auto" w:fill="auto"/>
        <w:ind w:hanging="0"/>
        <w:rPr>
          <w:b w:val="false"/>
          <w:sz w:val="24"/>
        </w:rPr>
      </w:pPr>
      <w:r>
        <w:rPr>
          <w:sz w:val="24"/>
        </w:rPr>
        <w:t>ФОРМА</w:t>
      </w:r>
    </w:p>
    <w:p>
      <w:pPr>
        <w:pStyle w:val="Title"/>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Акт</w:t>
            </w:r>
          </w:p>
          <w:p>
            <w:pPr>
              <w:pStyle w:val="Title"/>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у в установленный Договором срок.</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520"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ind w:hanging="0"/>
              <w:jc w:val="left"/>
              <w:rPr>
                <w:i/>
                <w:i/>
                <w:iCs/>
              </w:rPr>
            </w:pPr>
            <w:r>
              <w:rPr>
                <w:i/>
                <w:iCs/>
              </w:rPr>
            </w:r>
          </w:p>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p>
      <w:pPr>
        <w:pStyle w:val="Title"/>
        <w:ind w:hanging="0"/>
        <w:jc w:val="left"/>
        <w:rPr>
          <w:i/>
          <w:i/>
          <w:iCs/>
        </w:rPr>
      </w:pPr>
      <w:r>
        <w:rPr>
          <w:i/>
          <w:iCs/>
        </w:rPr>
      </w:r>
    </w:p>
    <w:p>
      <w:pPr>
        <w:pStyle w:val="Normal"/>
        <w:spacing w:lineRule="auto" w:line="240"/>
        <w:ind w:left="5103" w:hanging="0"/>
        <w:rPr>
          <w:sz w:val="22"/>
          <w:szCs w:val="22"/>
          <w:highlight w:val="yellow"/>
        </w:rPr>
      </w:pPr>
      <w:r>
        <w:rPr>
          <w:sz w:val="22"/>
          <w:szCs w:val="22"/>
          <w:highlight w:val="yellow"/>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r>
        <w:br w:type="page"/>
      </w:r>
    </w:p>
    <w:p>
      <w:pPr>
        <w:pStyle w:val="Normal"/>
        <w:spacing w:lineRule="auto" w:line="240"/>
        <w:ind w:left="5103" w:hanging="0"/>
        <w:rPr>
          <w:sz w:val="22"/>
          <w:szCs w:val="22"/>
          <w:highlight w:val="lightGray"/>
        </w:rPr>
      </w:pPr>
      <w:r>
        <w:rPr>
          <w:sz w:val="22"/>
          <w:szCs w:val="22"/>
          <w:highlight w:val="lightGray"/>
        </w:rPr>
        <w:t>Приложение № 3.3</w:t>
      </w:r>
    </w:p>
    <w:p>
      <w:pPr>
        <w:pStyle w:val="Normal"/>
        <w:spacing w:lineRule="auto" w:line="240"/>
        <w:ind w:left="5103" w:hanging="0"/>
        <w:rPr>
          <w:sz w:val="22"/>
          <w:szCs w:val="22"/>
          <w:highlight w:val="lightGray"/>
        </w:rPr>
      </w:pPr>
      <w:r>
        <w:rPr>
          <w:sz w:val="22"/>
          <w:szCs w:val="22"/>
          <w:highlight w:val="lightGray"/>
        </w:rPr>
        <w:t>к Договору подряда</w:t>
      </w:r>
    </w:p>
    <w:p>
      <w:pPr>
        <w:pStyle w:val="Normal"/>
        <w:spacing w:lineRule="auto" w:line="240"/>
        <w:ind w:left="5103" w:hanging="0"/>
        <w:rPr>
          <w:sz w:val="22"/>
          <w:szCs w:val="22"/>
          <w:highlight w:val="lightGray"/>
        </w:rPr>
      </w:pPr>
      <w:r>
        <w:rPr>
          <w:sz w:val="22"/>
          <w:szCs w:val="22"/>
          <w:highlight w:val="lightGray"/>
        </w:rPr>
        <w:t xml:space="preserve">от «____» __________ 20 _ г. № ____ </w:t>
      </w:r>
    </w:p>
    <w:p>
      <w:pPr>
        <w:pStyle w:val="Normal"/>
        <w:spacing w:lineRule="auto" w:line="240"/>
        <w:rPr>
          <w:sz w:val="22"/>
          <w:szCs w:val="22"/>
          <w:highlight w:val="lightGray"/>
        </w:rPr>
      </w:pPr>
      <w:r>
        <w:rPr>
          <w:sz w:val="22"/>
          <w:szCs w:val="22"/>
          <w:highlight w:val="lightGray"/>
        </w:rPr>
      </w:r>
    </w:p>
    <w:p>
      <w:pPr>
        <w:pStyle w:val="Normal"/>
        <w:spacing w:lineRule="auto" w:line="240"/>
        <w:ind w:hanging="0"/>
        <w:rPr>
          <w:b/>
          <w:bCs/>
          <w:sz w:val="24"/>
          <w:szCs w:val="24"/>
          <w:highlight w:val="lightGray"/>
        </w:rPr>
      </w:pPr>
      <w:r>
        <w:rPr>
          <w:b/>
          <w:bCs/>
          <w:sz w:val="24"/>
          <w:szCs w:val="24"/>
          <w:highlight w:val="lightGray"/>
        </w:rPr>
      </w:r>
    </w:p>
    <w:p>
      <w:pPr>
        <w:pStyle w:val="Title"/>
        <w:shd w:val="clear" w:color="auto" w:fill="auto"/>
        <w:ind w:hanging="0"/>
        <w:rPr>
          <w:b w:val="false"/>
          <w:sz w:val="24"/>
          <w:highlight w:val="lightGray"/>
        </w:rPr>
      </w:pPr>
      <w:r>
        <w:rPr>
          <w:sz w:val="24"/>
          <w:highlight w:val="lightGray"/>
        </w:rPr>
        <w:t>ФОРМА</w:t>
      </w:r>
    </w:p>
    <w:p>
      <w:pPr>
        <w:pStyle w:val="Title"/>
        <w:shd w:val="clear" w:color="auto" w:fill="auto"/>
        <w:ind w:hanging="0"/>
        <w:rPr>
          <w:bCs/>
          <w:sz w:val="24"/>
          <w:szCs w:val="24"/>
          <w:highlight w:val="lightGray"/>
        </w:rPr>
      </w:pPr>
      <w:r>
        <w:rPr>
          <w:bCs/>
          <w:sz w:val="24"/>
          <w:szCs w:val="24"/>
          <w:highlight w:val="lightGray"/>
        </w:rPr>
        <w:t xml:space="preserve">Акта сдачи-приемки оборудования и инструментов </w:t>
      </w:r>
    </w:p>
    <w:p>
      <w:pPr>
        <w:pStyle w:val="Normal"/>
        <w:spacing w:lineRule="auto" w:line="240"/>
        <w:ind w:hanging="0"/>
        <w:rPr>
          <w:sz w:val="24"/>
          <w:szCs w:val="24"/>
          <w:highlight w:val="lightGray"/>
        </w:rPr>
      </w:pPr>
      <w:r>
        <w:rPr>
          <w:sz w:val="24"/>
          <w:szCs w:val="24"/>
          <w:highlight w:val="lightGray"/>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524"/>
      </w:tblGrid>
      <w:tr>
        <w:trPr/>
        <w:tc>
          <w:tcPr>
            <w:tcW w:w="9524"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highlight w:val="lightGray"/>
              </w:rPr>
            </w:pPr>
            <w:r>
              <w:rPr>
                <w:b w:val="false"/>
                <w:bCs/>
                <w:highlight w:val="lightGray"/>
              </w:rPr>
              <w:t>Акт</w:t>
            </w:r>
          </w:p>
          <w:p>
            <w:pPr>
              <w:pStyle w:val="Title"/>
              <w:widowControl w:val="false"/>
              <w:shd w:val="clear" w:color="auto" w:fill="auto"/>
              <w:ind w:hanging="0"/>
              <w:rPr>
                <w:i/>
                <w:i/>
                <w:iCs/>
                <w:highlight w:val="lightGray"/>
              </w:rPr>
            </w:pPr>
            <w:r>
              <w:rPr>
                <w:b w:val="false"/>
                <w:bCs/>
                <w:highlight w:val="lightGray"/>
              </w:rPr>
              <w:t xml:space="preserve">сдачи-приемки </w:t>
            </w:r>
            <w:r>
              <w:rPr>
                <w:b w:val="false"/>
                <w:sz w:val="24"/>
                <w:highlight w:val="lightGray"/>
              </w:rPr>
              <w:t>оборудования и инструментов</w:t>
            </w:r>
          </w:p>
          <w:p>
            <w:pPr>
              <w:pStyle w:val="Normal"/>
              <w:widowControl w:val="false"/>
              <w:rPr>
                <w:highlight w:val="lightGray"/>
              </w:rPr>
            </w:pPr>
            <w:r>
              <w:rPr>
                <w:highlight w:val="lightGray"/>
              </w:rPr>
            </w:r>
          </w:p>
          <w:p>
            <w:pPr>
              <w:pStyle w:val="Normal"/>
              <w:widowControl w:val="false"/>
              <w:ind w:hanging="0"/>
              <w:rPr>
                <w:sz w:val="22"/>
                <w:szCs w:val="22"/>
                <w:highlight w:val="lightGray"/>
              </w:rPr>
            </w:pPr>
            <w:r>
              <w:rPr>
                <w:sz w:val="22"/>
                <w:szCs w:val="22"/>
                <w:highlight w:val="lightGray"/>
              </w:rPr>
              <w:t>г.___________                                                                                               «_____» _________201_г.</w:t>
            </w:r>
          </w:p>
          <w:p>
            <w:pPr>
              <w:pStyle w:val="Normal"/>
              <w:widowControl w:val="false"/>
              <w:rPr>
                <w:sz w:val="22"/>
                <w:szCs w:val="22"/>
                <w:highlight w:val="lightGray"/>
              </w:rPr>
            </w:pPr>
            <w:r>
              <w:rPr>
                <w:sz w:val="22"/>
                <w:szCs w:val="22"/>
                <w:highlight w:val="lightGray"/>
              </w:rPr>
            </w:r>
          </w:p>
          <w:p>
            <w:pPr>
              <w:pStyle w:val="Normal"/>
              <w:widowControl w:val="false"/>
              <w:ind w:hanging="0"/>
              <w:rPr>
                <w:sz w:val="22"/>
                <w:szCs w:val="22"/>
                <w:highlight w:val="lightGray"/>
              </w:rPr>
            </w:pPr>
            <w:r>
              <w:rPr>
                <w:sz w:val="22"/>
                <w:szCs w:val="22"/>
                <w:highlight w:val="lightGray"/>
              </w:rPr>
              <w:t>____________________, именуемое далее «Подрядчик», в лице ________________, действующего на основании ______________,</w:t>
            </w:r>
          </w:p>
          <w:p>
            <w:pPr>
              <w:pStyle w:val="Normal"/>
              <w:widowControl w:val="false"/>
              <w:ind w:hanging="0"/>
              <w:rPr>
                <w:sz w:val="22"/>
                <w:szCs w:val="22"/>
                <w:highlight w:val="lightGray"/>
              </w:rPr>
            </w:pPr>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sz w:val="22"/>
                <w:szCs w:val="22"/>
                <w:highlight w:val="lightGray"/>
              </w:rPr>
            </w:pPr>
            <w:r>
              <w:rPr>
                <w:sz w:val="22"/>
                <w:szCs w:val="22"/>
                <w:highlight w:val="lightGray"/>
              </w:rPr>
              <w:t xml:space="preserve">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w:t>
              <w:br/>
              <w:t>по Договору подряда №______ от _____________:</w:t>
            </w:r>
          </w:p>
          <w:tbl>
            <w:tblPr>
              <w:tblW w:w="4950" w:type="pct"/>
              <w:jc w:val="left"/>
              <w:tblInd w:w="0" w:type="dxa"/>
              <w:tblLayout w:type="fixed"/>
              <w:tblCellMar>
                <w:top w:w="0" w:type="dxa"/>
                <w:left w:w="98" w:type="dxa"/>
                <w:bottom w:w="0" w:type="dxa"/>
                <w:right w:w="108" w:type="dxa"/>
              </w:tblCellMar>
              <w:tblLook w:val="04a0" w:noHBand="0" w:noVBand="1" w:firstColumn="1" w:lastRow="0" w:lastColumn="0" w:firstRow="1"/>
            </w:tblPr>
            <w:tblGrid>
              <w:gridCol w:w="914"/>
              <w:gridCol w:w="3126"/>
              <w:gridCol w:w="5184"/>
            </w:tblGrid>
            <w:tr>
              <w:trPr/>
              <w:tc>
                <w:tcPr>
                  <w:tcW w:w="91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w:t>
                  </w:r>
                  <w:r>
                    <w:rPr>
                      <w:bCs/>
                      <w:sz w:val="22"/>
                      <w:szCs w:val="22"/>
                      <w:highlight w:val="lightGray"/>
                    </w:rPr>
                    <w:t>п/п</w:t>
                  </w:r>
                </w:p>
              </w:tc>
              <w:tc>
                <w:tcPr>
                  <w:tcW w:w="312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Оборудование/инструмент</w:t>
                  </w:r>
                </w:p>
              </w:tc>
              <w:tc>
                <w:tcPr>
                  <w:tcW w:w="518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ind w:hanging="0"/>
                    <w:rPr>
                      <w:bCs/>
                      <w:sz w:val="22"/>
                      <w:szCs w:val="22"/>
                      <w:highlight w:val="lightGray"/>
                    </w:rPr>
                  </w:pPr>
                  <w:r>
                    <w:rPr>
                      <w:bCs/>
                      <w:sz w:val="22"/>
                      <w:szCs w:val="22"/>
                      <w:highlight w:val="lightGray"/>
                    </w:rPr>
                    <w:t>Характеристика (идентификационные признаки)</w:t>
                  </w:r>
                </w:p>
              </w:tc>
            </w:tr>
            <w:tr>
              <w:trPr/>
              <w:tc>
                <w:tcPr>
                  <w:tcW w:w="9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312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5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r>
            <w:tr>
              <w:trPr/>
              <w:tc>
                <w:tcPr>
                  <w:tcW w:w="91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312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c>
                <w:tcPr>
                  <w:tcW w:w="5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ind w:hanging="0"/>
                    <w:rPr>
                      <w:bCs/>
                      <w:sz w:val="22"/>
                      <w:szCs w:val="22"/>
                      <w:highlight w:val="lightGray"/>
                    </w:rPr>
                  </w:pPr>
                  <w:r>
                    <w:rPr>
                      <w:bCs/>
                      <w:sz w:val="22"/>
                      <w:szCs w:val="22"/>
                      <w:highlight w:val="lightGray"/>
                    </w:rPr>
                  </w:r>
                </w:p>
              </w:tc>
            </w:tr>
          </w:tbl>
          <w:p>
            <w:pPr>
              <w:pStyle w:val="Normal"/>
              <w:widowControl w:val="false"/>
              <w:ind w:hanging="0"/>
              <w:rPr>
                <w:bCs/>
                <w:sz w:val="22"/>
                <w:szCs w:val="22"/>
                <w:highlight w:val="lightGray"/>
              </w:rPr>
            </w:pPr>
            <w:r>
              <w:rPr>
                <w:bCs/>
                <w:sz w:val="22"/>
                <w:szCs w:val="22"/>
                <w:highlight w:val="lightGray"/>
              </w:rPr>
            </w:r>
          </w:p>
          <w:p>
            <w:pPr>
              <w:pStyle w:val="Normal"/>
              <w:widowControl w:val="false"/>
              <w:ind w:hanging="0"/>
              <w:rPr>
                <w:bCs/>
                <w:sz w:val="22"/>
                <w:szCs w:val="22"/>
                <w:highlight w:val="lightGray"/>
              </w:rPr>
            </w:pPr>
            <w:r>
              <w:rPr>
                <w:bCs/>
                <w:sz w:val="22"/>
                <w:szCs w:val="22"/>
                <w:highlight w:val="lightGray"/>
              </w:rPr>
              <w:t xml:space="preserve">Оборудование и инструменты переданы </w:t>
            </w:r>
            <w:r>
              <w:rPr>
                <w:sz w:val="22"/>
                <w:szCs w:val="22"/>
                <w:highlight w:val="lightGray"/>
              </w:rPr>
              <w:t>Подрядчик</w:t>
            </w:r>
            <w:r>
              <w:rPr>
                <w:bCs/>
                <w:sz w:val="22"/>
                <w:szCs w:val="22"/>
                <w:highlight w:val="lightGray"/>
              </w:rPr>
              <w:t>у в установленный Договором срок.</w:t>
            </w:r>
          </w:p>
          <w:p>
            <w:pPr>
              <w:pStyle w:val="Normal"/>
              <w:widowControl w:val="false"/>
              <w:spacing w:lineRule="auto" w:line="240"/>
              <w:ind w:hanging="0"/>
              <w:rPr>
                <w:sz w:val="22"/>
                <w:highlight w:val="lightGray"/>
              </w:rPr>
            </w:pPr>
            <w:r>
              <w:rPr>
                <w:sz w:val="22"/>
                <w:highlight w:val="lightGray"/>
              </w:rPr>
            </w:r>
          </w:p>
          <w:p>
            <w:pPr>
              <w:pStyle w:val="Normal"/>
              <w:widowControl w:val="false"/>
              <w:rPr>
                <w:sz w:val="22"/>
                <w:szCs w:val="22"/>
                <w:highlight w:val="lightGray"/>
              </w:rPr>
            </w:pPr>
            <w:r>
              <w:rPr>
                <w:sz w:val="22"/>
                <w:szCs w:val="22"/>
                <w:highlight w:val="lightGray"/>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shd w:fill="auto" w:val="clear"/>
                </w:tcPr>
                <w:p>
                  <w:pPr>
                    <w:pStyle w:val="Normal"/>
                    <w:widowControl w:val="false"/>
                    <w:spacing w:lineRule="auto" w:line="240"/>
                    <w:ind w:hanging="0"/>
                    <w:rPr>
                      <w:bCs/>
                      <w:sz w:val="24"/>
                      <w:szCs w:val="24"/>
                      <w:highlight w:val="lightGray"/>
                    </w:rPr>
                  </w:pPr>
                  <w:r>
                    <w:rPr>
                      <w:bCs/>
                      <w:sz w:val="24"/>
                      <w:szCs w:val="24"/>
                      <w:highlight w:val="lightGray"/>
                    </w:rPr>
                    <w:t>Заказчик:</w:t>
                  </w:r>
                </w:p>
              </w:tc>
              <w:tc>
                <w:tcPr>
                  <w:tcW w:w="4520" w:type="dxa"/>
                  <w:tcBorders/>
                  <w:shd w:fill="auto" w:val="clear"/>
                </w:tcPr>
                <w:p>
                  <w:pPr>
                    <w:pStyle w:val="Normal"/>
                    <w:widowControl w:val="false"/>
                    <w:spacing w:lineRule="auto" w:line="240"/>
                    <w:ind w:hanging="0"/>
                    <w:rPr>
                      <w:bCs/>
                      <w:sz w:val="24"/>
                      <w:szCs w:val="24"/>
                      <w:highlight w:val="lightGray"/>
                    </w:rPr>
                  </w:pPr>
                  <w:r>
                    <w:rPr>
                      <w:bCs/>
                      <w:sz w:val="24"/>
                      <w:szCs w:val="24"/>
                      <w:highlight w:val="lightGray"/>
                    </w:rPr>
                    <w:t>Подрядчик:</w:t>
                  </w:r>
                </w:p>
              </w:tc>
            </w:tr>
            <w:tr>
              <w:trPr/>
              <w:tc>
                <w:tcPr>
                  <w:tcW w:w="4520"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_______________ / _______________ /</w:t>
                  </w:r>
                </w:p>
                <w:p>
                  <w:pPr>
                    <w:pStyle w:val="Normal"/>
                    <w:widowControl w:val="false"/>
                    <w:spacing w:lineRule="auto" w:line="240"/>
                    <w:ind w:hanging="0"/>
                    <w:rPr>
                      <w:sz w:val="22"/>
                      <w:szCs w:val="22"/>
                      <w:highlight w:val="lightGray"/>
                    </w:rPr>
                  </w:pPr>
                  <w:r>
                    <w:rPr>
                      <w:sz w:val="22"/>
                      <w:szCs w:val="22"/>
                      <w:highlight w:val="lightGray"/>
                    </w:rPr>
                    <w:t>м.п.</w:t>
                  </w:r>
                </w:p>
              </w:tc>
              <w:tc>
                <w:tcPr>
                  <w:tcW w:w="4520"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_______________ / _______________ /</w:t>
                  </w:r>
                </w:p>
                <w:p>
                  <w:pPr>
                    <w:pStyle w:val="Normal"/>
                    <w:widowControl w:val="false"/>
                    <w:spacing w:lineRule="auto" w:line="240"/>
                    <w:ind w:hanging="0"/>
                    <w:rPr>
                      <w:sz w:val="22"/>
                      <w:szCs w:val="22"/>
                      <w:highlight w:val="lightGray"/>
                    </w:rPr>
                  </w:pPr>
                  <w:r>
                    <w:rPr>
                      <w:sz w:val="22"/>
                      <w:szCs w:val="22"/>
                      <w:highlight w:val="lightGray"/>
                    </w:rPr>
                    <w:t>м.п.</w:t>
                  </w:r>
                </w:p>
              </w:tc>
            </w:tr>
          </w:tbl>
          <w:p>
            <w:pPr>
              <w:pStyle w:val="Title"/>
              <w:widowControl w:val="false"/>
              <w:shd w:val="clear" w:color="auto" w:fill="auto"/>
              <w:ind w:hanging="0"/>
              <w:jc w:val="left"/>
              <w:rPr>
                <w:i/>
                <w:i/>
                <w:iCs/>
                <w:highlight w:val="lightGray"/>
              </w:rPr>
            </w:pPr>
            <w:r>
              <w:rPr>
                <w:i/>
                <w:iCs/>
                <w:highlight w:val="lightGray"/>
              </w:rPr>
            </w:r>
          </w:p>
          <w:p>
            <w:pPr>
              <w:pStyle w:val="Title"/>
              <w:widowControl w:val="false"/>
              <w:shd w:val="clear" w:color="auto" w:fill="auto"/>
              <w:spacing w:before="0" w:after="120"/>
              <w:ind w:hanging="0"/>
              <w:jc w:val="left"/>
              <w:rPr>
                <w:i/>
                <w:i/>
                <w:iCs/>
                <w:highlight w:val="lightGray"/>
              </w:rPr>
            </w:pPr>
            <w:r>
              <w:rPr>
                <w:i/>
                <w:iCs/>
                <w:highlight w:val="lightGray"/>
              </w:rPr>
            </w:r>
          </w:p>
        </w:tc>
      </w:tr>
    </w:tbl>
    <w:p>
      <w:pPr>
        <w:pStyle w:val="Normal"/>
        <w:spacing w:lineRule="auto" w:line="240"/>
        <w:rPr>
          <w:sz w:val="24"/>
          <w:szCs w:val="24"/>
          <w:highlight w:val="yellow"/>
        </w:rPr>
      </w:pPr>
      <w:r>
        <w:rPr>
          <w:sz w:val="24"/>
          <w:szCs w:val="24"/>
          <w:highlight w:val="yellow"/>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jc w:val="left"/>
        <w:rPr>
          <w:sz w:val="22"/>
          <w:szCs w:val="22"/>
        </w:rPr>
      </w:pPr>
      <w:r>
        <w:rPr>
          <w:sz w:val="22"/>
          <w:szCs w:val="22"/>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7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717"/>
        <w:gridCol w:w="1504"/>
        <w:gridCol w:w="1352"/>
        <w:gridCol w:w="1351"/>
        <w:gridCol w:w="1352"/>
        <w:gridCol w:w="1355"/>
        <w:gridCol w:w="1693"/>
      </w:tblGrid>
      <w:tr>
        <w:trPr>
          <w:trHeight w:val="2142"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Номер, дата выдачи,</w:t>
            </w:r>
          </w:p>
          <w:p>
            <w:pPr>
              <w:pStyle w:val="Normal"/>
              <w:widowControl w:val="false"/>
              <w:spacing w:lineRule="auto" w:line="240"/>
              <w:ind w:hanging="0"/>
              <w:jc w:val="center"/>
              <w:rPr>
                <w:bCs/>
                <w:sz w:val="22"/>
                <w:szCs w:val="22"/>
              </w:rPr>
            </w:pPr>
            <w:r>
              <w:rPr>
                <w:bCs/>
                <w:sz w:val="22"/>
                <w:szCs w:val="22"/>
              </w:rPr>
              <w:t>кем выдан</w:t>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Окончание действия разрешительного документа</w:t>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1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50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35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6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Normal"/>
        <w:spacing w:lineRule="auto" w:line="240"/>
        <w:ind w:firstLine="5103"/>
        <w:jc w:val="left"/>
        <w:rPr>
          <w:sz w:val="24"/>
          <w:szCs w:val="24"/>
        </w:rPr>
      </w:pPr>
      <w:r>
        <w:rPr>
          <w:sz w:val="24"/>
          <w:szCs w:val="24"/>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5</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700" w:type="pct"/>
        <w:jc w:val="left"/>
        <w:tblInd w:w="98" w:type="dxa"/>
        <w:tblLayout w:type="fixed"/>
        <w:tblCellMar>
          <w:top w:w="0" w:type="dxa"/>
          <w:left w:w="98" w:type="dxa"/>
          <w:bottom w:w="0" w:type="dxa"/>
          <w:right w:w="108" w:type="dxa"/>
        </w:tblCellMar>
        <w:tblLook w:val="01e0" w:noHBand="0" w:noVBand="0" w:firstColumn="1" w:lastRow="1" w:lastColumn="1" w:firstRow="1"/>
      </w:tblPr>
      <w:tblGrid>
        <w:gridCol w:w="3750"/>
        <w:gridCol w:w="5574"/>
      </w:tblGrid>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Виды нарушений</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Штрафные санкции</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rFonts w:ascii="Times New Roman" w:hAnsi="Times New Roman"/>
                <w:sz w:val="22"/>
                <w:szCs w:val="22"/>
              </w:rPr>
            </w:pPr>
            <w:r>
              <w:rPr>
                <w:sz w:val="22"/>
                <w:szCs w:val="22"/>
              </w:rPr>
              <w:t>100 000 (сто тысяч) рублей за каждый случай нарушения.</w:t>
            </w:r>
          </w:p>
          <w:p>
            <w:pPr>
              <w:pStyle w:val="Normal"/>
              <w:widowControl w:val="false"/>
              <w:spacing w:lineRule="auto" w:line="240"/>
              <w:ind w:left="0" w:right="0" w:hanging="0"/>
              <w:jc w:val="both"/>
              <w:rPr>
                <w:rFonts w:ascii="Times New Roman" w:hAnsi="Times New Roman"/>
                <w:sz w:val="22"/>
                <w:szCs w:val="22"/>
              </w:rPr>
            </w:pPr>
            <w:r>
              <w:rPr>
                <w:sz w:val="22"/>
                <w:szCs w:val="22"/>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rFonts w:ascii="Times New Roman" w:hAnsi="Times New Roman"/>
                <w:sz w:val="22"/>
                <w:szCs w:val="22"/>
              </w:rPr>
            </w:pPr>
            <w:r>
              <w:rPr>
                <w:sz w:val="22"/>
                <w:szCs w:val="22"/>
              </w:rPr>
              <w:t>200 000 (двести тысяч) рублей за каждый случай нарушения.</w:t>
            </w:r>
          </w:p>
          <w:p>
            <w:pPr>
              <w:pStyle w:val="Normal"/>
              <w:widowControl w:val="false"/>
              <w:spacing w:lineRule="auto" w:line="240"/>
              <w:ind w:left="0" w:right="0" w:hanging="0"/>
              <w:jc w:val="both"/>
              <w:rPr>
                <w:rFonts w:ascii="Times New Roman" w:hAnsi="Times New Roman"/>
                <w:sz w:val="22"/>
                <w:szCs w:val="22"/>
              </w:rPr>
            </w:pPr>
            <w:r>
              <w:rPr>
                <w:sz w:val="22"/>
                <w:szCs w:val="22"/>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rPr>
            </w:pPr>
            <w:r>
              <w:rPr>
                <w:sz w:val="22"/>
                <w:szCs w:val="22"/>
              </w:rPr>
              <w:t xml:space="preserve"> </w:t>
            </w:r>
            <w:r>
              <w:rPr>
                <w:sz w:val="22"/>
                <w:szCs w:val="22"/>
              </w:rPr>
              <w:t>500 000 (пятьсот тысяч) рублей за каждый случай нарушения.</w:t>
            </w:r>
          </w:p>
        </w:tc>
      </w:tr>
      <w:tr>
        <w:trPr/>
        <w:tc>
          <w:tcPr>
            <w:tcW w:w="375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5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rPr>
            </w:pPr>
            <w:r>
              <w:rPr>
                <w:sz w:val="22"/>
                <w:szCs w:val="22"/>
              </w:rPr>
              <w:t>- 50 000 (пятьдесят тысяч) рублей за каждый случай нарушения;</w:t>
            </w:r>
          </w:p>
          <w:p>
            <w:pPr>
              <w:pStyle w:val="Normal"/>
              <w:widowControl w:val="false"/>
              <w:spacing w:lineRule="auto" w:line="240"/>
              <w:ind w:left="0" w:right="0" w:hanging="0"/>
              <w:rPr>
                <w:rFonts w:ascii="Times New Roman" w:hAnsi="Times New Roman"/>
                <w:sz w:val="22"/>
                <w:szCs w:val="22"/>
              </w:rPr>
            </w:pPr>
            <w:r>
              <w:rPr>
                <w:sz w:val="22"/>
                <w:szCs w:val="22"/>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left="0" w:right="0" w:hanging="0"/>
              <w:rPr>
                <w:rFonts w:ascii="Times New Roman" w:hAnsi="Times New Roman"/>
                <w:sz w:val="22"/>
                <w:szCs w:val="22"/>
              </w:rPr>
            </w:pPr>
            <w:r>
              <w:rPr>
                <w:sz w:val="22"/>
                <w:szCs w:val="22"/>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750"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b w:val="false"/>
                <w:bCs w:val="false"/>
                <w:sz w:val="22"/>
                <w:szCs w:val="22"/>
                <w:shd w:fill="auto" w:val="clear"/>
              </w:rPr>
            </w:pPr>
            <w:r>
              <w:rPr>
                <w:b w:val="false"/>
                <w:bCs w:val="false"/>
                <w:sz w:val="22"/>
                <w:szCs w:val="22"/>
                <w:shd w:fill="auto" w:val="clear"/>
              </w:rPr>
              <w:t xml:space="preserve">3. Нарушение </w:t>
            </w:r>
            <w:r>
              <w:rPr>
                <w:b w:val="false"/>
                <w:bCs w:val="false"/>
                <w:color w:val="000000"/>
                <w:sz w:val="22"/>
                <w:szCs w:val="22"/>
                <w:shd w:fill="auto" w:val="clear"/>
              </w:rPr>
              <w:t>требований охраны труда</w:t>
            </w:r>
          </w:p>
        </w:tc>
        <w:tc>
          <w:tcPr>
            <w:tcW w:w="5574"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rFonts w:ascii="Times New Roman" w:hAnsi="Times New Roman"/>
                <w:sz w:val="22"/>
                <w:szCs w:val="22"/>
                <w:shd w:fill="auto" w:val="clear"/>
              </w:rPr>
            </w:pPr>
            <w:r>
              <w:rPr>
                <w:sz w:val="22"/>
                <w:szCs w:val="22"/>
                <w:shd w:fill="auto" w:val="clear"/>
              </w:rPr>
              <w:t>100 000 (сто тысяч) рублей за каждый случай нарушения.</w:t>
            </w:r>
          </w:p>
          <w:p>
            <w:pPr>
              <w:pStyle w:val="Normal"/>
              <w:widowControl w:val="false"/>
              <w:spacing w:lineRule="auto" w:line="240"/>
              <w:ind w:left="0" w:right="0" w:hanging="0"/>
              <w:rPr>
                <w:rFonts w:ascii="Times New Roman" w:hAnsi="Times New Roman"/>
                <w:sz w:val="22"/>
                <w:szCs w:val="22"/>
                <w:shd w:fill="auto" w:val="clear"/>
              </w:rPr>
            </w:pPr>
            <w:r>
              <w:rPr>
                <w:sz w:val="22"/>
                <w:szCs w:val="22"/>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pStyle w:val="Normal"/>
        <w:spacing w:lineRule="auto" w:line="240"/>
        <w:ind w:left="5103" w:hanging="0"/>
        <w:jc w:val="left"/>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r>
        <w:br w:type="page"/>
      </w:r>
    </w:p>
    <w:p>
      <w:pPr>
        <w:pStyle w:val="Normal"/>
        <w:widowControl w:val="false"/>
        <w:shd w:val="clear" w:color="auto" w:fill="FFFFFF"/>
        <w:spacing w:lineRule="auto" w:line="240"/>
        <w:jc w:val="right"/>
        <w:rPr>
          <w:bCs/>
          <w:sz w:val="22"/>
          <w:szCs w:val="22"/>
        </w:rPr>
      </w:pPr>
      <w:r>
        <w:rPr>
          <w:bCs/>
          <w:sz w:val="22"/>
          <w:szCs w:val="22"/>
        </w:rPr>
        <w:t>Приложение № 6</w:t>
      </w:r>
    </w:p>
    <w:p>
      <w:pPr>
        <w:pStyle w:val="Normal"/>
        <w:widowControl w:val="false"/>
        <w:shd w:val="clear" w:color="auto" w:fill="FFFFFF"/>
        <w:spacing w:lineRule="auto" w:line="240"/>
        <w:jc w:val="right"/>
        <w:rPr/>
      </w:pPr>
      <w:r>
        <w:rPr>
          <w:bCs/>
          <w:sz w:val="22"/>
          <w:szCs w:val="22"/>
        </w:rPr>
        <w:t xml:space="preserve">к Договору подряда </w:t>
      </w:r>
    </w:p>
    <w:p>
      <w:pPr>
        <w:pStyle w:val="Normal"/>
        <w:widowControl w:val="false"/>
        <w:shd w:val="clear" w:color="auto" w:fill="FFFFFF"/>
        <w:spacing w:lineRule="auto" w:line="240"/>
        <w:jc w:val="right"/>
        <w:rPr>
          <w:bCs/>
          <w:sz w:val="22"/>
          <w:szCs w:val="22"/>
        </w:rPr>
      </w:pPr>
      <w:r>
        <w:rPr>
          <w:bCs/>
          <w:sz w:val="22"/>
          <w:szCs w:val="22"/>
        </w:rPr>
        <w:t>от «___» ________20__ г. № ___</w:t>
      </w:r>
    </w:p>
    <w:p>
      <w:pPr>
        <w:pStyle w:val="Normal"/>
        <w:widowControl w:val="false"/>
        <w:shd w:val="clear" w:color="auto" w:fill="FFFFFF"/>
        <w:spacing w:lineRule="auto" w:line="240"/>
        <w:jc w:val="right"/>
        <w:rPr>
          <w:bCs/>
          <w:sz w:val="22"/>
          <w:szCs w:val="22"/>
        </w:rPr>
      </w:pPr>
      <w:r>
        <w:rPr>
          <w:bCs/>
          <w:sz w:val="22"/>
          <w:szCs w:val="22"/>
        </w:rPr>
      </w:r>
    </w:p>
    <w:p>
      <w:pPr>
        <w:pStyle w:val="Normal"/>
        <w:shd w:val="clear" w:color="auto" w:fill="FFFFFF"/>
        <w:spacing w:lineRule="auto" w:line="240"/>
        <w:jc w:val="center"/>
        <w:rPr>
          <w:b/>
          <w:bCs/>
          <w:szCs w:val="24"/>
        </w:rPr>
      </w:pPr>
      <w:r>
        <w:rPr>
          <w:b/>
          <w:bCs/>
          <w:szCs w:val="24"/>
        </w:rPr>
        <w:t>Акт сдачи-приемки проектных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89" w:type="dxa"/>
        <w:tblLayout w:type="fixed"/>
        <w:tblCellMar>
          <w:top w:w="0" w:type="dxa"/>
          <w:left w:w="10" w:type="dxa"/>
          <w:bottom w:w="0" w:type="dxa"/>
          <w:right w:w="10" w:type="dxa"/>
        </w:tblCellMar>
        <w:tblLook w:val="04a0" w:noHBand="0" w:noVBand="1" w:firstColumn="1" w:lastRow="0" w:lastColumn="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b/>
                <w:bCs/>
                <w:szCs w:val="24"/>
              </w:rPr>
            </w:pPr>
            <w:r>
              <w:rPr>
                <w:b/>
                <w:bCs/>
                <w:szCs w:val="24"/>
              </w:rPr>
            </w:r>
          </w:p>
        </w:tc>
        <w:tc>
          <w:tcPr>
            <w:tcW w:w="10043" w:type="dxa"/>
            <w:tcBorders>
              <w:top w:val="single" w:sz="8" w:space="0" w:color="000001"/>
              <w:left w:val="single" w:sz="8" w:space="0" w:color="000001"/>
              <w:bottom w:val="single" w:sz="8" w:space="0" w:color="000001"/>
              <w:right w:val="single" w:sz="8" w:space="0" w:color="000001"/>
            </w:tcBorders>
            <w:shd w:fill="auto" w:val="clear"/>
            <w:tcMar>
              <w:left w:w="8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ПРОЕКТНЫХ РАБОТ №  _________</w:t>
            </w:r>
          </w:p>
          <w:tbl>
            <w:tblPr>
              <w:tblW w:w="9735"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216"/>
              <w:gridCol w:w="1"/>
              <w:gridCol w:w="2590"/>
              <w:gridCol w:w="1262"/>
              <w:gridCol w:w="220"/>
              <w:gridCol w:w="588"/>
              <w:gridCol w:w="1409"/>
              <w:gridCol w:w="13"/>
              <w:gridCol w:w="1335"/>
              <w:gridCol w:w="6"/>
              <w:gridCol w:w="1093"/>
            </w:tblGrid>
            <w:tr>
              <w:trPr>
                <w:trHeight w:val="255" w:hRule="atLeast"/>
              </w:trPr>
              <w:tc>
                <w:tcPr>
                  <w:tcW w:w="9733" w:type="dxa"/>
                  <w:gridSpan w:val="11"/>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_________201_г.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Заказчик:</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71" w:type="dxa"/>
                        <w:tcBorders/>
                        <w:shd w:fill="auto" w:val="clear"/>
                        <w:tcMar>
                          <w:top w:w="0" w:type="dxa"/>
                          <w:left w:w="0" w:type="dxa"/>
                          <w:right w:w="0" w:type="dxa"/>
                        </w:tcMar>
                      </w:tcPr>
                      <w:p>
                        <w:pPr>
                          <w:pStyle w:val="Normal"/>
                          <w:widowControl w:val="false"/>
                          <w:rPr/>
                        </w:pPr>
                        <w: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t>Подрядчик:</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11"/>
                  <w:tcBorders/>
                  <w:shd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r>
                </w:p>
              </w:tc>
            </w:tr>
            <w:tr>
              <w:trPr>
                <w:trHeight w:val="255" w:hRule="atLeast"/>
              </w:trPr>
              <w:tc>
                <w:tcPr>
                  <w:tcW w:w="5289" w:type="dxa"/>
                  <w:gridSpan w:val="5"/>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4"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Этап № ______</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590" w:type="dxa"/>
                  <w:vMerge w:val="restart"/>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26" w:type="dxa"/>
                  <w:gridSpan w:val="8"/>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1"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590"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ед.</w:t>
                  </w:r>
                </w:p>
                <w:p>
                  <w:pPr>
                    <w:pStyle w:val="Normal"/>
                    <w:widowControl w:val="false"/>
                    <w:snapToGrid w:val="false"/>
                    <w:spacing w:lineRule="auto" w:line="240"/>
                    <w:ind w:hanging="0"/>
                    <w:jc w:val="center"/>
                    <w:rPr>
                      <w:b/>
                      <w:bCs/>
                      <w:sz w:val="20"/>
                      <w:szCs w:val="20"/>
                    </w:rPr>
                  </w:pPr>
                  <w:r>
                    <w:rPr>
                      <w:b/>
                      <w:bCs/>
                      <w:sz w:val="20"/>
                      <w:szCs w:val="20"/>
                    </w:rPr>
                    <w:t>изм.</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цена за</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pacing w:lineRule="auto" w:line="240"/>
                    <w:ind w:hanging="0"/>
                    <w:jc w:val="center"/>
                    <w:rPr>
                      <w:b/>
                      <w:bCs/>
                      <w:sz w:val="20"/>
                      <w:szCs w:val="20"/>
                    </w:rPr>
                  </w:pPr>
                  <w:r>
                    <w:rPr>
                      <w:b/>
                      <w:bCs/>
                      <w:sz w:val="20"/>
                      <w:szCs w:val="20"/>
                    </w:rPr>
                    <w:t>стоимость,</w:t>
                  </w:r>
                </w:p>
                <w:p>
                  <w:pPr>
                    <w:pStyle w:val="Normal"/>
                    <w:widowControl w:val="false"/>
                    <w:snapToGrid w:val="false"/>
                    <w:spacing w:lineRule="auto" w:line="240"/>
                    <w:ind w:hanging="0"/>
                    <w:jc w:val="center"/>
                    <w:rPr>
                      <w:b/>
                      <w:bCs/>
                      <w:sz w:val="20"/>
                      <w:szCs w:val="20"/>
                    </w:rPr>
                  </w:pPr>
                  <w:r>
                    <w:rPr>
                      <w:b/>
                      <w:bCs/>
                      <w:sz w:val="20"/>
                      <w:szCs w:val="20"/>
                    </w:rPr>
                    <w:t>руб.</w:t>
                  </w:r>
                </w:p>
              </w:tc>
              <w:tc>
                <w:tcPr>
                  <w:tcW w:w="1099"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099"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9"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9"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jc w:val="center"/>
                    <w:rPr>
                      <w:sz w:val="20"/>
                      <w:szCs w:val="20"/>
                    </w:rPr>
                  </w:pPr>
                  <w:r>
                    <w:rPr>
                      <w:sz w:val="20"/>
                      <w:szCs w:val="20"/>
                    </w:rPr>
                  </w:r>
                </w:p>
              </w:tc>
              <w:tc>
                <w:tcPr>
                  <w:tcW w:w="2590"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262"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80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409"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348"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9"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259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92" w:type="dxa"/>
                  <w:gridSpan w:val="5"/>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4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c>
                <w:tcPr>
                  <w:tcW w:w="1093" w:type="dxa"/>
                  <w:tcBorders>
                    <w:top w:val="single" w:sz="8" w:space="0" w:color="000001"/>
                    <w:left w:val="single" w:sz="8" w:space="0" w:color="000001"/>
                    <w:bottom w:val="single" w:sz="8" w:space="0" w:color="000001"/>
                    <w:right w:val="single" w:sz="8" w:space="0" w:color="000001"/>
                  </w:tcBorders>
                  <w:shd w:fill="auto" w:val="clear"/>
                  <w:tcMar>
                    <w:top w:w="0" w:type="dxa"/>
                    <w:left w:w="9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sz w:val="20"/>
                      <w:szCs w:val="20"/>
                    </w:rPr>
                  </w:pPr>
                  <w:r>
                    <w:rPr>
                      <w:b/>
                      <w:bCs/>
                      <w:sz w:val="20"/>
                      <w:szCs w:val="20"/>
                    </w:rPr>
                    <w:t>От Заказчика:</w:t>
                  </w:r>
                </w:p>
              </w:tc>
              <w:tc>
                <w:tcPr>
                  <w:tcW w:w="70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513" w:type="dxa"/>
                  <w:gridSpan w:val="2"/>
                  <w:tcBorders/>
                  <w:shd w:fill="auto" w:val="clear"/>
                </w:tcPr>
                <w:p>
                  <w:pPr>
                    <w:pStyle w:val="Normal"/>
                    <w:widowControl w:val="false"/>
                    <w:spacing w:lineRule="auto" w:line="240"/>
                    <w:rPr>
                      <w:sz w:val="20"/>
                      <w:szCs w:val="20"/>
                    </w:rPr>
                  </w:pPr>
                  <w:r>
                    <w:rPr>
                      <w:b/>
                      <w:bCs/>
                      <w:sz w:val="20"/>
                      <w:szCs w:val="20"/>
                    </w:rPr>
                    <w:t>От Подрядчика:</w:t>
                  </w:r>
                </w:p>
              </w:tc>
            </w:tr>
            <w:tr>
              <w:trPr>
                <w:cantSplit w:val="true"/>
              </w:trPr>
              <w:tc>
                <w:tcPr>
                  <w:tcW w:w="4500" w:type="dxa"/>
                  <w:gridSpan w:val="2"/>
                  <w:tcBorders/>
                  <w:shd w:fill="auto" w:val="clear"/>
                </w:tcPr>
                <w:p>
                  <w:pPr>
                    <w:pStyle w:val="Normal"/>
                    <w:widowControl w:val="false"/>
                    <w:snapToGrid w:val="false"/>
                    <w:spacing w:lineRule="auto" w:line="240"/>
                    <w:rPr>
                      <w:b/>
                      <w:bCs/>
                      <w:sz w:val="20"/>
                      <w:szCs w:val="20"/>
                    </w:rPr>
                  </w:pPr>
                  <w:r>
                    <w:rPr>
                      <w:b/>
                      <w:bCs/>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shd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widowControl w:val="false"/>
        <w:shd w:val="clear" w:color="auto" w:fill="FFFFFF"/>
        <w:spacing w:lineRule="auto" w:line="240"/>
        <w:ind w:left="5103" w:firstLine="567"/>
        <w:jc w:val="right"/>
        <w:rPr>
          <w:highlight w:val="yellow"/>
        </w:rPr>
      </w:pPr>
      <w:r>
        <w:rPr>
          <w:highlight w:val="yellow"/>
        </w:rPr>
      </w:r>
    </w:p>
    <w:p>
      <w:pPr>
        <w:pStyle w:val="Normal"/>
        <w:widowControl w:val="false"/>
        <w:shd w:val="clear" w:color="auto" w:fill="FFFFFF"/>
        <w:spacing w:lineRule="auto" w:line="240"/>
        <w:jc w:val="right"/>
        <w:rPr>
          <w:bCs/>
          <w:sz w:val="22"/>
          <w:szCs w:val="22"/>
        </w:rPr>
      </w:pPr>
      <w:r>
        <w:rPr>
          <w:bCs/>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rHeight w:val="1543" w:hRule="atLeast"/>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pStyle w:val="Normal"/>
        <w:spacing w:lineRule="auto" w:line="240"/>
        <w:ind w:left="5103" w:hanging="0"/>
        <w:jc w:val="left"/>
        <w:rPr>
          <w:sz w:val="22"/>
          <w:szCs w:val="22"/>
        </w:rPr>
      </w:pPr>
      <w:r>
        <w:rPr>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widowControl w:val="false"/>
        <w:shd w:val="clear" w:color="auto" w:fill="FFFFFF"/>
        <w:spacing w:lineRule="auto" w:line="240"/>
        <w:jc w:val="right"/>
        <w:rPr>
          <w:bCs/>
          <w:sz w:val="22"/>
          <w:szCs w:val="22"/>
        </w:rPr>
      </w:pPr>
      <w:r>
        <w:rPr>
          <w:bCs/>
          <w:sz w:val="22"/>
          <w:szCs w:val="22"/>
        </w:rPr>
      </w:r>
    </w:p>
    <w:p>
      <w:pPr>
        <w:pStyle w:val="Normal"/>
        <w:spacing w:lineRule="auto" w:line="240"/>
        <w:ind w:firstLine="5103"/>
        <w:jc w:val="left"/>
        <w:rPr>
          <w:sz w:val="22"/>
          <w:szCs w:val="22"/>
        </w:rPr>
      </w:pPr>
      <w:r>
        <w:rPr>
          <w:sz w:val="22"/>
          <w:szCs w:val="22"/>
        </w:rPr>
        <w:t xml:space="preserve">Приложение № 7 </w:t>
      </w:r>
    </w:p>
    <w:p>
      <w:pPr>
        <w:pStyle w:val="Normal"/>
        <w:spacing w:lineRule="auto" w:line="240"/>
        <w:ind w:firstLine="5103"/>
        <w:jc w:val="left"/>
        <w:rPr>
          <w:rFonts w:eastAsia="Calibri"/>
          <w:sz w:val="22"/>
          <w:szCs w:val="22"/>
          <w:lang w:eastAsia="en-US"/>
        </w:rPr>
      </w:pPr>
      <w:r>
        <w:rPr>
          <w:rFonts w:eastAsia="Calibri"/>
          <w:sz w:val="22"/>
          <w:szCs w:val="22"/>
          <w:lang w:eastAsia="en-US"/>
        </w:rPr>
        <w:t xml:space="preserve">к Договору подряда </w:t>
      </w:r>
    </w:p>
    <w:p>
      <w:pPr>
        <w:pStyle w:val="Normal"/>
        <w:spacing w:lineRule="auto" w:line="240"/>
        <w:ind w:firstLine="5103"/>
        <w:jc w:val="left"/>
        <w:rPr>
          <w:sz w:val="22"/>
          <w:szCs w:val="22"/>
        </w:rPr>
      </w:pPr>
      <w:r>
        <w:rPr>
          <w:rFonts w:eastAsia="Calibri"/>
          <w:sz w:val="22"/>
          <w:szCs w:val="22"/>
          <w:lang w:eastAsia="en-US"/>
        </w:rPr>
        <w:t>от «____» __________ 20 _ г. № ____</w:t>
      </w:r>
    </w:p>
    <w:p>
      <w:pPr>
        <w:pStyle w:val="Normal"/>
        <w:spacing w:lineRule="auto" w:line="240"/>
        <w:ind w:firstLine="5103"/>
        <w:jc w:val="left"/>
        <w:rPr>
          <w:sz w:val="22"/>
          <w:szCs w:val="22"/>
        </w:rPr>
      </w:pPr>
      <w:r>
        <w:rPr>
          <w:sz w:val="22"/>
          <w:szCs w:val="22"/>
        </w:rPr>
      </w:r>
    </w:p>
    <w:p>
      <w:pPr>
        <w:pStyle w:val="Normal"/>
        <w:shd w:val="clear" w:color="auto" w:fill="FFFFFF"/>
        <w:spacing w:lineRule="auto" w:line="240"/>
        <w:jc w:val="center"/>
        <w:rPr>
          <w:b/>
          <w:bCs/>
          <w:szCs w:val="24"/>
        </w:rPr>
      </w:pPr>
      <w:r>
        <w:rPr>
          <w:b/>
          <w:bCs/>
          <w:szCs w:val="24"/>
        </w:rPr>
        <w:t xml:space="preserve">Акт </w:t>
      </w:r>
    </w:p>
    <w:p>
      <w:pPr>
        <w:pStyle w:val="Normal"/>
        <w:shd w:val="clear" w:color="auto" w:fill="FFFFFF"/>
        <w:spacing w:lineRule="auto" w:line="240"/>
        <w:jc w:val="center"/>
        <w:rPr>
          <w:b/>
          <w:bCs/>
          <w:szCs w:val="24"/>
        </w:rPr>
      </w:pPr>
      <w:r>
        <w:rPr>
          <w:rFonts w:eastAsia="Calibri"/>
          <w:b/>
          <w:bCs/>
          <w:sz w:val="24"/>
          <w:szCs w:val="24"/>
          <w:lang w:eastAsia="en-US"/>
        </w:rPr>
        <w:t>освидетельствования выполненных работ (форма)</w:t>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firstLine="5103"/>
        <w:jc w:val="left"/>
        <w:rPr>
          <w:sz w:val="22"/>
          <w:szCs w:val="22"/>
        </w:rPr>
      </w:pPr>
      <w:r>
        <w:rPr>
          <w:sz w:val="22"/>
          <w:szCs w:val="22"/>
        </w:rPr>
      </w:r>
    </w:p>
    <w:p>
      <w:pPr>
        <w:pStyle w:val="Normal"/>
        <w:spacing w:lineRule="auto" w:line="240"/>
        <w:ind w:hanging="0"/>
        <w:rPr>
          <w:sz w:val="24"/>
        </w:rPr>
      </w:pPr>
      <w:r>
        <w:rPr>
          <w:sz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rHeight w:val="1543" w:hRule="atLeast"/>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hd w:val="clear" w:color="auto" w:fill="FFFFFF"/>
              <w:spacing w:lineRule="auto" w:line="240"/>
              <w:rPr>
                <w:bCs/>
                <w:sz w:val="22"/>
                <w:szCs w:val="22"/>
              </w:rPr>
            </w:pPr>
            <w:r>
              <w:rPr>
                <w:bCs/>
                <w:sz w:val="22"/>
                <w:szCs w:val="22"/>
              </w:rPr>
            </w:r>
          </w:p>
        </w:tc>
      </w:tr>
    </w:tbl>
    <w:p>
      <w:pPr>
        <w:sectPr>
          <w:headerReference w:type="default" r:id="rId5"/>
          <w:footnotePr>
            <w:numFmt w:val="decimal"/>
          </w:footnotePr>
          <w:type w:val="nextPage"/>
          <w:pgSz w:w="11906" w:h="16838"/>
          <w:pgMar w:left="1418" w:right="567" w:gutter="0" w:header="567" w:top="624" w:footer="0" w:bottom="567"/>
          <w:pgNumType w:fmt="decimal"/>
          <w:formProt w:val="false"/>
          <w:textDirection w:val="lrTb"/>
          <w:docGrid w:type="default" w:linePitch="360" w:charSpace="0"/>
        </w:sectPr>
      </w:pPr>
    </w:p>
    <w:p>
      <w:pPr>
        <w:pStyle w:val="Normal"/>
        <w:spacing w:lineRule="auto" w:line="240"/>
        <w:ind w:left="5103" w:hanging="0"/>
        <w:rPr>
          <w:highlight w:val="none"/>
          <w:shd w:fill="auto" w:val="clear"/>
        </w:rPr>
      </w:pPr>
      <w:r>
        <w:rPr>
          <w:sz w:val="22"/>
          <w:szCs w:val="22"/>
          <w:shd w:fill="auto" w:val="clear"/>
        </w:rPr>
        <w:t>Приложение № 8</w:t>
      </w:r>
    </w:p>
    <w:p>
      <w:pPr>
        <w:pStyle w:val="Normal"/>
        <w:spacing w:lineRule="auto" w:line="240"/>
        <w:ind w:left="5103" w:hanging="0"/>
        <w:rPr>
          <w:highlight w:val="none"/>
          <w:shd w:fill="auto" w:val="clear"/>
        </w:rPr>
      </w:pPr>
      <w:r>
        <w:rPr>
          <w:sz w:val="22"/>
          <w:szCs w:val="22"/>
          <w:shd w:fill="auto" w:val="clear"/>
        </w:rPr>
        <w:t xml:space="preserve">к Договору подряда </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88"/>
        <w:rPr>
          <w:b/>
          <w:sz w:val="24"/>
          <w:szCs w:val="24"/>
        </w:rPr>
      </w:pPr>
      <w:r>
        <w:rPr>
          <w:b/>
          <w:sz w:val="24"/>
          <w:szCs w:val="24"/>
        </w:rPr>
      </w:r>
    </w:p>
    <w:p>
      <w:pPr>
        <w:pStyle w:val="Normal"/>
        <w:spacing w:lineRule="auto" w:line="240"/>
        <w:ind w:hanging="0"/>
        <w:jc w:val="center"/>
        <w:rPr>
          <w:b/>
          <w:sz w:val="22"/>
          <w:szCs w:val="22"/>
        </w:rPr>
      </w:pPr>
      <w:r>
        <w:rPr>
          <w:b/>
          <w:sz w:val="22"/>
          <w:szCs w:val="22"/>
        </w:rPr>
        <w:t>Порядок передачи и учета Давальческих материалов и запасных частей</w:t>
      </w:r>
    </w:p>
    <w:p>
      <w:pPr>
        <w:pStyle w:val="Normal"/>
        <w:spacing w:lineRule="auto" w:line="240"/>
        <w:ind w:firstLine="709"/>
        <w:jc w:val="center"/>
        <w:rPr>
          <w:b/>
          <w:sz w:val="22"/>
          <w:szCs w:val="22"/>
        </w:rPr>
      </w:pPr>
      <w:r>
        <w:rPr>
          <w:b/>
          <w:sz w:val="22"/>
          <w:szCs w:val="22"/>
        </w:rPr>
      </w:r>
    </w:p>
    <w:p>
      <w:pPr>
        <w:pStyle w:val="ListParagraph"/>
        <w:numPr>
          <w:ilvl w:val="0"/>
          <w:numId w:val="22"/>
        </w:numPr>
        <w:tabs>
          <w:tab w:val="clear" w:pos="708"/>
          <w:tab w:val="left" w:pos="1134" w:leader="none"/>
        </w:tabs>
        <w:jc w:val="both"/>
        <w:rPr>
          <w:sz w:val="22"/>
          <w:szCs w:val="22"/>
        </w:rPr>
      </w:pPr>
      <w:r>
        <w:rPr>
          <w:sz w:val="22"/>
          <w:szCs w:val="22"/>
        </w:rPr>
        <w:t>Давальческие материалы и запасные части передаются Заказчиком Подрядчику для выполнения работ по договору в следующем порядке:</w:t>
      </w:r>
    </w:p>
    <w:p>
      <w:pPr>
        <w:pStyle w:val="ListParagraph"/>
        <w:tabs>
          <w:tab w:val="clear" w:pos="708"/>
          <w:tab w:val="left" w:pos="1134" w:leader="none"/>
        </w:tabs>
        <w:ind w:left="0" w:firstLine="709"/>
        <w:jc w:val="both"/>
        <w:rPr/>
      </w:pPr>
      <w:r>
        <w:rPr>
          <w:sz w:val="22"/>
          <w:szCs w:val="22"/>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tabs>
          <w:tab w:val="clear" w:pos="708"/>
          <w:tab w:val="left" w:pos="1134" w:leader="none"/>
        </w:tabs>
        <w:ind w:left="0" w:firstLine="709"/>
        <w:jc w:val="both"/>
        <w:rPr/>
      </w:pPr>
      <w:r>
        <w:rPr>
          <w:sz w:val="22"/>
          <w:szCs w:val="22"/>
        </w:rPr>
        <w:t xml:space="preserve">-Заказчик в течение 3 (трех) рабочих дней со дня получения письменной заявки </w:t>
        <w:br/>
        <w:t xml:space="preserve">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полученных со склада Заказчика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tabs>
          <w:tab w:val="clear" w:pos="708"/>
          <w:tab w:val="left" w:pos="1134" w:leader="none"/>
        </w:tabs>
        <w:ind w:left="0" w:firstLine="709"/>
        <w:jc w:val="both"/>
        <w:rPr>
          <w:sz w:val="22"/>
          <w:szCs w:val="22"/>
        </w:rPr>
      </w:pPr>
      <w:r>
        <w:rPr>
          <w:sz w:val="22"/>
          <w:szCs w:val="22"/>
        </w:rPr>
        <w:t>- проверка соответствия показателей качества передаваемых Заказчиком 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Подрядчиком до момента подписания Накладной М-15. В случае обнаружения каких-либо недостатков Подрядчик должен незамедлительно сообщить об этом Заказчику, приемка Давальческих материалов и запасных частей по Накладной М-15 в этом случае не осуществляется.</w:t>
      </w:r>
    </w:p>
    <w:p>
      <w:pPr>
        <w:pStyle w:val="ListParagraph"/>
        <w:widowControl/>
        <w:tabs>
          <w:tab w:val="clear" w:pos="708"/>
          <w:tab w:val="left" w:pos="1134" w:leader="none"/>
        </w:tabs>
        <w:suppressAutoHyphens w:val="true"/>
        <w:bidi w:val="0"/>
        <w:spacing w:lineRule="auto" w:line="240" w:before="0" w:after="0"/>
        <w:ind w:left="0" w:right="0" w:firstLine="737"/>
        <w:contextualSpacing/>
        <w:jc w:val="both"/>
        <w:rPr>
          <w:sz w:val="22"/>
          <w:szCs w:val="22"/>
        </w:rPr>
      </w:pPr>
      <w:r>
        <w:rPr>
          <w:sz w:val="22"/>
          <w:szCs w:val="22"/>
        </w:rPr>
        <w:t xml:space="preserve">2. 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w:t>
        <w:br/>
        <w:t xml:space="preserve">им Накладной М-15 до даты подписания Сторонами Акта о расходе Давальческих материалов </w:t>
        <w:br/>
        <w:t>и запасных частей.</w:t>
      </w:r>
    </w:p>
    <w:p>
      <w:pPr>
        <w:pStyle w:val="ListParagraph"/>
        <w:tabs>
          <w:tab w:val="clear" w:pos="708"/>
          <w:tab w:val="left" w:pos="1134" w:leader="none"/>
        </w:tabs>
        <w:ind w:left="0" w:firstLine="709"/>
        <w:jc w:val="both"/>
        <w:rPr>
          <w:sz w:val="22"/>
          <w:szCs w:val="22"/>
        </w:rPr>
      </w:pPr>
      <w:r>
        <w:rPr>
          <w:sz w:val="22"/>
          <w:szCs w:val="22"/>
        </w:rPr>
        <w:t>3. Подрядчик обязан обеспечить эффективное использование по назначению переданных Заказчиком Давальческих материалов и запасных частей. В случае повреждения, перерасхода, либо утраты Давальческих материалов и запасных частей 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Заказчиком.</w:t>
      </w:r>
    </w:p>
    <w:p>
      <w:pPr>
        <w:pStyle w:val="ListParagraph"/>
        <w:tabs>
          <w:tab w:val="clear" w:pos="708"/>
          <w:tab w:val="left" w:pos="1134" w:leader="none"/>
        </w:tabs>
        <w:ind w:left="0" w:firstLine="709"/>
        <w:jc w:val="both"/>
        <w:rPr>
          <w:sz w:val="22"/>
          <w:szCs w:val="22"/>
        </w:rPr>
      </w:pPr>
      <w:r>
        <w:rPr>
          <w:sz w:val="22"/>
          <w:szCs w:val="22"/>
        </w:rPr>
        <w:t xml:space="preserve">4. Ежемесячно, не позднее последнего дня отчетного месяца, Подрядчик представляет Заказчику Акт о расходе Давальческих материалов и запасных частей с указанием номенклатуры </w:t>
        <w:br/>
        <w:t>и количества использованных Давальческих материалов и запасных частей</w:t>
      </w:r>
      <w:r>
        <w:rPr>
          <w:color w:val="000000"/>
          <w:spacing w:val="-3"/>
          <w:sz w:val="22"/>
          <w:szCs w:val="22"/>
        </w:rPr>
        <w:t>.</w:t>
      </w:r>
    </w:p>
    <w:p>
      <w:pPr>
        <w:pStyle w:val="ListParagraph"/>
        <w:tabs>
          <w:tab w:val="clear" w:pos="708"/>
          <w:tab w:val="left" w:pos="1134" w:leader="none"/>
        </w:tabs>
        <w:ind w:left="0" w:firstLine="709"/>
        <w:jc w:val="both"/>
        <w:rPr>
          <w:sz w:val="22"/>
          <w:szCs w:val="22"/>
        </w:rPr>
      </w:pPr>
      <w:r>
        <w:rPr>
          <w:sz w:val="22"/>
          <w:szCs w:val="22"/>
        </w:rPr>
        <w:t xml:space="preserve">5. Возврат Заказчику неиспользованных Подрядчиком Давальческих материалов и запасных частей осуществляется по Накладной М-15 в течение 3 (трех) рабочих дней после окончания Работ </w:t>
        <w:br/>
        <w:t>по Объекту, а также в случае прекращения (расторжения) Договора. В случае невозврата Заказчику неиспользованных Подрядчиком Давальческих материалов и запасных частей, в предусмотренный настоящим пунктом срок, а также в тех случаях, когда Подрядчик допустит необоснованный перерасход Давальческих материалов и запасных частей при выполнении Работ, Заказчик вправе потребовать от 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М-15.</w:t>
      </w:r>
    </w:p>
    <w:p>
      <w:pPr>
        <w:pStyle w:val="ListParagraph"/>
        <w:ind w:left="0" w:firstLine="709"/>
        <w:jc w:val="both"/>
        <w:rPr>
          <w:bCs/>
          <w:color w:val="000000"/>
          <w:sz w:val="24"/>
          <w:szCs w:val="24"/>
        </w:rPr>
      </w:pPr>
      <w:r>
        <w:rPr>
          <w:bCs/>
          <w:color w:val="000000"/>
          <w:sz w:val="24"/>
          <w:szCs w:val="24"/>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szCs w:val="24"/>
              </w:rPr>
            </w:pPr>
            <w:r>
              <w:rPr>
                <w:b/>
                <w:sz w:val="24"/>
                <w:szCs w:val="24"/>
              </w:rPr>
              <w:t>Заказчик:</w:t>
            </w:r>
          </w:p>
        </w:tc>
        <w:tc>
          <w:tcPr>
            <w:tcW w:w="4785" w:type="dxa"/>
            <w:tcBorders/>
            <w:shd w:fill="auto" w:val="clear"/>
          </w:tcPr>
          <w:p>
            <w:pPr>
              <w:pStyle w:val="Normal"/>
              <w:widowControl w:val="false"/>
              <w:spacing w:lineRule="auto" w:line="240"/>
              <w:ind w:hanging="0"/>
              <w:rPr>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c>
          <w:tcPr>
            <w:tcW w:w="4785" w:type="dxa"/>
            <w:tcBorders/>
            <w:shd w:fill="auto"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 / _______________ /</w:t>
            </w:r>
          </w:p>
          <w:p>
            <w:pPr>
              <w:pStyle w:val="Normal"/>
              <w:widowControl w:val="false"/>
              <w:spacing w:lineRule="auto" w:line="240"/>
              <w:ind w:hanging="0"/>
              <w:rPr>
                <w:sz w:val="24"/>
                <w:szCs w:val="24"/>
              </w:rPr>
            </w:pPr>
            <w:r>
              <w:rPr>
                <w:sz w:val="24"/>
                <w:szCs w:val="24"/>
              </w:rPr>
            </w:r>
          </w:p>
        </w:tc>
      </w:tr>
    </w:tbl>
    <w:p>
      <w:pPr>
        <w:sectPr>
          <w:headerReference w:type="default" r:id="rId6"/>
          <w:headerReference w:type="first" r:id="rId7"/>
          <w:footnotePr>
            <w:numFmt w:val="decimal"/>
          </w:footnotePr>
          <w:type w:val="nextPage"/>
          <w:pgSz w:w="11906" w:h="16838"/>
          <w:pgMar w:left="1418" w:right="851" w:gutter="0" w:header="567" w:top="1134" w:footer="0" w:bottom="1134"/>
          <w:pgNumType w:fmt="decimal"/>
          <w:formProt w:val="false"/>
          <w:textDirection w:val="lrTb"/>
          <w:docGrid w:type="default" w:linePitch="360" w:charSpace="0"/>
        </w:sectPr>
      </w:pPr>
    </w:p>
    <w:p>
      <w:pPr>
        <w:pStyle w:val="Normal"/>
        <w:snapToGrid w:val="false"/>
        <w:spacing w:lineRule="auto" w:line="240"/>
        <w:ind w:firstLine="5103"/>
        <w:rPr>
          <w:highlight w:val="none"/>
          <w:shd w:fill="auto" w:val="clear"/>
        </w:rPr>
      </w:pPr>
      <w:r>
        <w:rPr>
          <w:sz w:val="22"/>
          <w:szCs w:val="22"/>
          <w:shd w:fill="auto" w:val="clear"/>
        </w:rPr>
        <w:t>Приложение № 9</w:t>
      </w:r>
    </w:p>
    <w:p>
      <w:pPr>
        <w:pStyle w:val="Normal"/>
        <w:snapToGrid w:val="false"/>
        <w:spacing w:lineRule="auto" w:line="240"/>
        <w:ind w:firstLine="5103"/>
        <w:rPr>
          <w:highlight w:val="none"/>
          <w:shd w:fill="auto" w:val="clear"/>
        </w:rPr>
      </w:pPr>
      <w:r>
        <w:rPr>
          <w:sz w:val="22"/>
          <w:szCs w:val="22"/>
          <w:shd w:fill="auto" w:val="clear"/>
        </w:rPr>
        <w:t>к Договору подряда</w:t>
      </w:r>
    </w:p>
    <w:p>
      <w:pPr>
        <w:pStyle w:val="Normal"/>
        <w:snapToGrid w:val="false"/>
        <w:spacing w:lineRule="auto" w:line="240"/>
        <w:ind w:firstLine="5103"/>
        <w:rPr>
          <w:highlight w:val="none"/>
          <w:shd w:fill="auto" w:val="clear"/>
        </w:rPr>
      </w:pPr>
      <w:r>
        <w:rPr>
          <w:sz w:val="22"/>
          <w:szCs w:val="22"/>
          <w:shd w:fill="auto" w:val="clear"/>
        </w:rPr>
        <w:t>от «____» __________ 20 _ г. № ____</w:t>
      </w:r>
    </w:p>
    <w:p>
      <w:pPr>
        <w:pStyle w:val="Normal"/>
        <w:spacing w:lineRule="auto" w:line="288"/>
        <w:rPr>
          <w:b/>
          <w:sz w:val="24"/>
          <w:szCs w:val="24"/>
          <w:highlight w:val="none"/>
          <w:shd w:fill="auto" w:val="clear"/>
        </w:rPr>
      </w:pPr>
      <w:r>
        <w:rPr>
          <w:b/>
          <w:sz w:val="24"/>
          <w:szCs w:val="24"/>
          <w:shd w:fill="auto" w:val="clear"/>
        </w:rPr>
      </w:r>
    </w:p>
    <w:p>
      <w:pPr>
        <w:pStyle w:val="Normal"/>
        <w:spacing w:lineRule="auto" w:line="288"/>
        <w:jc w:val="center"/>
        <w:rPr>
          <w:highlight w:val="none"/>
          <w:shd w:fill="auto" w:val="clear"/>
        </w:rPr>
      </w:pPr>
      <w:r>
        <w:rPr>
          <w:b/>
          <w:sz w:val="24"/>
          <w:szCs w:val="24"/>
          <w:shd w:fill="auto" w:val="clear"/>
        </w:rPr>
        <w:t>Порядок передачи и учета Оборудования Заказчика</w:t>
      </w:r>
    </w:p>
    <w:p>
      <w:pPr>
        <w:pStyle w:val="Normal"/>
        <w:spacing w:lineRule="auto" w:line="240"/>
        <w:rPr>
          <w:b/>
          <w:sz w:val="24"/>
          <w:szCs w:val="24"/>
          <w:highlight w:val="none"/>
          <w:shd w:fill="auto" w:val="clear"/>
        </w:rPr>
      </w:pPr>
      <w:r>
        <w:rPr>
          <w:b/>
          <w:sz w:val="24"/>
          <w:szCs w:val="24"/>
          <w:shd w:fill="auto" w:val="clear"/>
        </w:rPr>
      </w:r>
    </w:p>
    <w:p>
      <w:pPr>
        <w:pStyle w:val="ListParagraph"/>
        <w:numPr>
          <w:ilvl w:val="0"/>
          <w:numId w:val="23"/>
        </w:numPr>
        <w:tabs>
          <w:tab w:val="clear" w:pos="708"/>
          <w:tab w:val="left" w:pos="1134" w:leader="none"/>
        </w:tabs>
        <w:ind w:left="0" w:firstLine="709"/>
        <w:jc w:val="both"/>
        <w:rPr>
          <w:sz w:val="24"/>
          <w:szCs w:val="24"/>
        </w:rPr>
      </w:pPr>
      <w:r>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20"/>
        </w:numPr>
        <w:tabs>
          <w:tab w:val="clear" w:pos="708"/>
          <w:tab w:val="left" w:pos="1418" w:leader="none"/>
        </w:tabs>
        <w:ind w:left="0" w:firstLine="709"/>
        <w:jc w:val="both"/>
        <w:rPr>
          <w:sz w:val="24"/>
          <w:szCs w:val="24"/>
        </w:rPr>
      </w:pPr>
      <w:r>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20"/>
        </w:numPr>
        <w:tabs>
          <w:tab w:val="clear" w:pos="708"/>
          <w:tab w:val="left" w:pos="1418" w:leader="none"/>
        </w:tabs>
        <w:ind w:left="0" w:firstLine="720"/>
        <w:jc w:val="both"/>
        <w:rPr>
          <w:sz w:val="24"/>
          <w:szCs w:val="24"/>
        </w:rPr>
      </w:pPr>
      <w:r>
        <w:rPr/>
        <w:t xml:space="preserve">Заказчик в течение 3 (трех) рабочих дней со дня получения письменной заявки </w:t>
        <w:br/>
        <w:t>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20"/>
        </w:numPr>
        <w:tabs>
          <w:tab w:val="clear" w:pos="708"/>
          <w:tab w:val="left" w:pos="1418" w:leader="none"/>
        </w:tabs>
        <w:ind w:left="0" w:firstLine="709"/>
        <w:jc w:val="both"/>
        <w:rPr>
          <w:sz w:val="24"/>
          <w:szCs w:val="24"/>
        </w:rPr>
      </w:pPr>
      <w:r>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24"/>
        </w:numPr>
        <w:tabs>
          <w:tab w:val="clear" w:pos="708"/>
          <w:tab w:val="left" w:pos="1134" w:leader="none"/>
        </w:tabs>
        <w:ind w:left="0" w:firstLine="709"/>
        <w:jc w:val="both"/>
        <w:rPr>
          <w:sz w:val="24"/>
          <w:szCs w:val="24"/>
        </w:rPr>
      </w:pPr>
      <w:r>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rPr>
        <w:t>КС-2)</w:t>
      </w:r>
      <w:r>
        <w:rPr/>
        <w:t>. Стоимость Оборудования Заказчика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25"/>
        </w:numPr>
        <w:tabs>
          <w:tab w:val="clear" w:pos="708"/>
          <w:tab w:val="left" w:pos="1134" w:leader="none"/>
        </w:tabs>
        <w:ind w:left="0" w:firstLine="709"/>
        <w:jc w:val="both"/>
        <w:rPr>
          <w:sz w:val="24"/>
          <w:szCs w:val="24"/>
        </w:rPr>
      </w:pPr>
      <w:r>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26"/>
        </w:numPr>
        <w:tabs>
          <w:tab w:val="clear" w:pos="708"/>
          <w:tab w:val="left" w:pos="1134" w:leader="none"/>
        </w:tabs>
        <w:ind w:left="0" w:firstLine="709"/>
        <w:jc w:val="both"/>
        <w:rPr>
          <w:sz w:val="24"/>
          <w:szCs w:val="24"/>
        </w:rPr>
      </w:pPr>
      <w:r>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7"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jc w:val="left"/>
        <w:rPr>
          <w:sz w:val="24"/>
          <w:szCs w:val="24"/>
        </w:rPr>
      </w:pPr>
      <w:r>
        <w:rPr>
          <w:sz w:val="24"/>
          <w:szCs w:val="24"/>
        </w:rPr>
      </w:r>
    </w:p>
    <w:p>
      <w:pPr>
        <w:pStyle w:val="Normal"/>
        <w:spacing w:lineRule="auto" w:line="240"/>
        <w:ind w:firstLine="5103"/>
        <w:jc w:val="left"/>
        <w:rPr>
          <w:sz w:val="22"/>
          <w:szCs w:val="22"/>
        </w:rPr>
      </w:pPr>
      <w:r>
        <w:rPr>
          <w:sz w:val="22"/>
          <w:szCs w:val="22"/>
        </w:rPr>
      </w:r>
      <w:r>
        <w:br w:type="page"/>
      </w:r>
    </w:p>
    <w:p>
      <w:pPr>
        <w:pStyle w:val="Normal"/>
        <w:spacing w:lineRule="auto" w:line="240"/>
        <w:ind w:left="5103" w:hanging="0"/>
        <w:rPr>
          <w:highlight w:val="none"/>
          <w:shd w:fill="auto" w:val="clear"/>
        </w:rPr>
      </w:pPr>
      <w:r>
        <w:rPr>
          <w:sz w:val="22"/>
          <w:szCs w:val="22"/>
          <w:shd w:fill="auto" w:val="clear"/>
        </w:rPr>
        <w:t>Приложение № 10</w:t>
      </w:r>
    </w:p>
    <w:p>
      <w:pPr>
        <w:pStyle w:val="Normal"/>
        <w:spacing w:lineRule="auto" w:line="240"/>
        <w:ind w:left="5103" w:hanging="0"/>
        <w:rPr>
          <w:highlight w:val="none"/>
          <w:shd w:fill="auto" w:val="clear"/>
        </w:rPr>
      </w:pPr>
      <w:r>
        <w:rPr>
          <w:sz w:val="22"/>
          <w:szCs w:val="22"/>
          <w:shd w:fill="auto" w:val="clear"/>
        </w:rPr>
        <w:t xml:space="preserve">к Договору подряда </w:t>
      </w:r>
    </w:p>
    <w:p>
      <w:pPr>
        <w:pStyle w:val="Normal"/>
        <w:spacing w:lineRule="auto" w:line="240"/>
        <w:ind w:left="5103" w:hanging="0"/>
        <w:rPr>
          <w:highlight w:val="none"/>
          <w:shd w:fill="auto" w:val="clear"/>
        </w:rPr>
      </w:pPr>
      <w:r>
        <w:rPr>
          <w:sz w:val="22"/>
          <w:szCs w:val="22"/>
          <w:shd w:fill="auto" w:val="clear"/>
        </w:rPr>
        <w:t>от «____» __________ 20 _ г. № ____</w:t>
      </w:r>
    </w:p>
    <w:p>
      <w:pPr>
        <w:pStyle w:val="Normal"/>
        <w:spacing w:lineRule="auto" w:line="288"/>
        <w:rPr>
          <w:b/>
          <w:sz w:val="24"/>
          <w:szCs w:val="24"/>
          <w:highlight w:val="none"/>
          <w:shd w:fill="auto" w:val="clear"/>
        </w:rPr>
      </w:pPr>
      <w:r>
        <w:rPr>
          <w:b/>
          <w:sz w:val="24"/>
          <w:szCs w:val="24"/>
          <w:shd w:fill="auto" w:val="clear"/>
        </w:rPr>
      </w:r>
    </w:p>
    <w:p>
      <w:pPr>
        <w:pStyle w:val="Normal"/>
        <w:spacing w:lineRule="auto" w:line="240"/>
        <w:jc w:val="center"/>
        <w:rPr>
          <w:highlight w:val="none"/>
          <w:shd w:fill="auto" w:val="clear"/>
        </w:rPr>
      </w:pPr>
      <w:r>
        <w:rPr>
          <w:b/>
          <w:sz w:val="24"/>
          <w:szCs w:val="24"/>
          <w:shd w:fill="auto" w:val="clear"/>
        </w:rPr>
        <w:t xml:space="preserve">Порядок предоставления ресурсов и оказания Заказчиком услуг, </w:t>
      </w:r>
    </w:p>
    <w:p>
      <w:pPr>
        <w:pStyle w:val="Normal"/>
        <w:spacing w:lineRule="auto" w:line="240"/>
        <w:jc w:val="center"/>
        <w:rPr>
          <w:highlight w:val="none"/>
          <w:shd w:fill="auto" w:val="clear"/>
        </w:rPr>
      </w:pPr>
      <w:r>
        <w:rPr>
          <w:b/>
          <w:sz w:val="24"/>
          <w:szCs w:val="24"/>
          <w:shd w:fill="auto" w:val="clear"/>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7"/>
        </w:numPr>
        <w:tabs>
          <w:tab w:val="clear" w:pos="708"/>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28"/>
        </w:numPr>
        <w:snapToGrid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29"/>
        </w:numPr>
        <w:snapToGrid w:val="false"/>
        <w:spacing w:lineRule="auto" w:line="240"/>
        <w:ind w:left="0" w:firstLine="709"/>
        <w:rPr>
          <w:sz w:val="24"/>
          <w:szCs w:val="24"/>
        </w:rPr>
      </w:pPr>
      <w:r>
        <w:rPr>
          <w:sz w:val="24"/>
          <w:szCs w:val="24"/>
        </w:rPr>
        <w:t>Коммунальные ресурсы:</w:t>
      </w:r>
    </w:p>
    <w:p>
      <w:pPr>
        <w:pStyle w:val="Normal"/>
        <w:numPr>
          <w:ilvl w:val="1"/>
          <w:numId w:val="30"/>
        </w:numPr>
        <w:snapToGrid w:val="false"/>
        <w:spacing w:lineRule="auto" w:line="240"/>
        <w:ind w:left="0" w:firstLine="709"/>
        <w:rPr>
          <w:sz w:val="24"/>
          <w:szCs w:val="24"/>
        </w:rPr>
      </w:pPr>
      <w:r>
        <w:rPr>
          <w:sz w:val="24"/>
          <w:szCs w:val="24"/>
        </w:rPr>
        <w:t>Электроэнергия.</w:t>
      </w:r>
    </w:p>
    <w:p>
      <w:pPr>
        <w:pStyle w:val="Normal"/>
        <w:numPr>
          <w:ilvl w:val="1"/>
          <w:numId w:val="31"/>
        </w:numPr>
        <w:snapToGrid w:val="false"/>
        <w:spacing w:lineRule="auto" w:line="240"/>
        <w:ind w:left="0" w:firstLine="709"/>
        <w:rPr>
          <w:sz w:val="24"/>
          <w:szCs w:val="24"/>
        </w:rPr>
      </w:pPr>
      <w:r>
        <w:rPr>
          <w:sz w:val="24"/>
          <w:szCs w:val="24"/>
        </w:rPr>
        <w:t>Водоснабжение и водоотведение.</w:t>
      </w:r>
    </w:p>
    <w:p>
      <w:pPr>
        <w:pStyle w:val="Normal"/>
        <w:numPr>
          <w:ilvl w:val="1"/>
          <w:numId w:val="32"/>
        </w:numPr>
        <w:snapToGrid w:val="false"/>
        <w:spacing w:lineRule="auto" w:line="240"/>
        <w:ind w:left="0" w:firstLine="709"/>
        <w:rPr>
          <w:sz w:val="24"/>
          <w:szCs w:val="24"/>
        </w:rPr>
      </w:pPr>
      <w:r>
        <w:rPr>
          <w:sz w:val="24"/>
          <w:szCs w:val="24"/>
        </w:rPr>
        <w:t>Сжатый воздух.</w:t>
      </w:r>
    </w:p>
    <w:p>
      <w:pPr>
        <w:pStyle w:val="Normal"/>
        <w:numPr>
          <w:ilvl w:val="0"/>
          <w:numId w:val="33"/>
        </w:numPr>
        <w:snapToGrid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34"/>
        </w:numPr>
        <w:snapToGrid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35"/>
        </w:numPr>
        <w:snapToGrid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36"/>
        </w:numPr>
        <w:snapToGrid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37"/>
        </w:numPr>
        <w:snapToGrid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38"/>
        </w:numPr>
        <w:snapToGrid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39"/>
        </w:numPr>
        <w:snapToGrid w:val="false"/>
        <w:spacing w:lineRule="auto" w:line="240"/>
        <w:ind w:left="0" w:firstLine="709"/>
        <w:rPr>
          <w:sz w:val="24"/>
          <w:szCs w:val="24"/>
        </w:rPr>
      </w:pPr>
      <w:r>
        <w:rPr>
          <w:sz w:val="24"/>
          <w:szCs w:val="24"/>
        </w:rPr>
        <w:t>Предоставление помещений:</w:t>
      </w:r>
    </w:p>
    <w:p>
      <w:pPr>
        <w:pStyle w:val="Normal"/>
        <w:numPr>
          <w:ilvl w:val="1"/>
          <w:numId w:val="40"/>
        </w:numPr>
        <w:snapToGrid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41"/>
        </w:numPr>
        <w:snapToGrid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42"/>
        </w:numPr>
        <w:tabs>
          <w:tab w:val="clear" w:pos="708"/>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43"/>
        </w:numPr>
        <w:tabs>
          <w:tab w:val="clear" w:pos="708"/>
          <w:tab w:val="left" w:pos="1134" w:leader="none"/>
          <w:tab w:val="left" w:pos="1418" w:leader="none"/>
        </w:tabs>
        <w:spacing w:before="0" w:after="120"/>
        <w:ind w:left="0" w:firstLine="709"/>
        <w:contextualSpacing/>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44"/>
        </w:numPr>
        <w:tabs>
          <w:tab w:val="clear" w:pos="708"/>
          <w:tab w:val="left" w:pos="1134" w:leader="none"/>
        </w:tabs>
        <w:spacing w:before="0" w:after="120"/>
        <w:ind w:left="0" w:firstLine="709"/>
        <w:contextualSpacing/>
        <w:rPr>
          <w:u w:val="single"/>
        </w:rPr>
      </w:pPr>
      <w:r>
        <w:rPr>
          <w:u w:val="single"/>
        </w:rPr>
        <w:t>Предоставление ресурсов</w:t>
      </w:r>
    </w:p>
    <w:p>
      <w:pPr>
        <w:pStyle w:val="Normal"/>
        <w:tabs>
          <w:tab w:val="clear" w:pos="708"/>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45"/>
        </w:numPr>
        <w:tabs>
          <w:tab w:val="clear" w:pos="708"/>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clear" w:pos="708"/>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46"/>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47"/>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48"/>
        </w:numPr>
        <w:tabs>
          <w:tab w:val="clear" w:pos="708"/>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49"/>
        </w:numPr>
        <w:tabs>
          <w:tab w:val="clear" w:pos="708"/>
          <w:tab w:val="left" w:pos="1134" w:leader="none"/>
          <w:tab w:val="left" w:pos="1418" w:leader="none"/>
        </w:tabs>
        <w:snapToGrid w:val="false"/>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50"/>
        </w:numPr>
        <w:tabs>
          <w:tab w:val="clear" w:pos="708"/>
          <w:tab w:val="left" w:pos="1134" w:leader="none"/>
        </w:tabs>
        <w:snapToGrid w:val="false"/>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14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69"/>
        <w:gridCol w:w="5023"/>
        <w:gridCol w:w="5025"/>
      </w:tblGrid>
      <w:tr>
        <w:trPr>
          <w:trHeight w:val="221" w:hRule="atLeast"/>
        </w:trPr>
        <w:tc>
          <w:tcPr>
            <w:tcW w:w="4669"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t>Заказчик:</w:t>
            </w:r>
          </w:p>
        </w:tc>
        <w:tc>
          <w:tcPr>
            <w:tcW w:w="5023"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t>Подрядчик:</w:t>
            </w:r>
          </w:p>
        </w:tc>
        <w:tc>
          <w:tcPr>
            <w:tcW w:w="5025" w:type="dxa"/>
            <w:tcBorders/>
            <w:shd w:fill="auto" w:val="clear"/>
          </w:tcPr>
          <w:p>
            <w:pPr>
              <w:pStyle w:val="Normal"/>
              <w:widowControl w:val="false"/>
              <w:spacing w:lineRule="auto" w:line="240"/>
              <w:ind w:hanging="0"/>
              <w:jc w:val="left"/>
              <w:rPr>
                <w:b/>
                <w:sz w:val="24"/>
                <w:szCs w:val="24"/>
                <w:lang w:eastAsia="en-US"/>
              </w:rPr>
            </w:pPr>
            <w:r>
              <w:rPr>
                <w:b/>
                <w:sz w:val="24"/>
                <w:szCs w:val="24"/>
                <w:lang w:eastAsia="en-US"/>
              </w:rPr>
            </w:r>
          </w:p>
        </w:tc>
      </w:tr>
      <w:tr>
        <w:trPr>
          <w:trHeight w:val="377" w:hRule="atLeast"/>
        </w:trPr>
        <w:tc>
          <w:tcPr>
            <w:tcW w:w="4669"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 / _______________</w:t>
            </w:r>
          </w:p>
        </w:tc>
        <w:tc>
          <w:tcPr>
            <w:tcW w:w="5023"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t>_______________ / __________</w:t>
            </w:r>
          </w:p>
        </w:tc>
        <w:tc>
          <w:tcPr>
            <w:tcW w:w="5025" w:type="dxa"/>
            <w:tcBorders/>
            <w:shd w:fill="auto" w:val="clear"/>
          </w:tcPr>
          <w:p>
            <w:pPr>
              <w:pStyle w:val="Normal"/>
              <w:widowControl w:val="false"/>
              <w:spacing w:lineRule="auto" w:line="240"/>
              <w:ind w:hanging="0"/>
              <w:jc w:val="left"/>
              <w:rPr>
                <w:sz w:val="24"/>
                <w:szCs w:val="24"/>
                <w:lang w:eastAsia="en-US"/>
              </w:rPr>
            </w:pPr>
            <w:r>
              <w:rPr>
                <w:sz w:val="24"/>
                <w:szCs w:val="24"/>
                <w:lang w:eastAsia="en-US"/>
              </w:rPr>
            </w:r>
          </w:p>
        </w:tc>
      </w:tr>
    </w:tbl>
    <w:p>
      <w:pPr>
        <w:pStyle w:val="Normal"/>
        <w:spacing w:lineRule="auto" w:line="240"/>
        <w:jc w:val="right"/>
        <w:rPr>
          <w:sz w:val="22"/>
          <w:szCs w:val="22"/>
        </w:rPr>
      </w:pPr>
      <w:r>
        <w:rPr>
          <w:sz w:val="22"/>
          <w:szCs w:val="22"/>
        </w:rPr>
        <w:t>Приложение №11</w:t>
      </w:r>
    </w:p>
    <w:p>
      <w:pPr>
        <w:pStyle w:val="Normal"/>
        <w:spacing w:lineRule="auto" w:line="240"/>
        <w:jc w:val="right"/>
        <w:rPr>
          <w:sz w:val="22"/>
          <w:szCs w:val="22"/>
        </w:rPr>
      </w:pPr>
      <w:r>
        <w:rPr>
          <w:sz w:val="22"/>
          <w:szCs w:val="22"/>
        </w:rPr>
        <w:t xml:space="preserve">к договору подряда </w:t>
      </w:r>
    </w:p>
    <w:p>
      <w:pPr>
        <w:pStyle w:val="Normal"/>
        <w:spacing w:lineRule="auto" w:line="240"/>
        <w:jc w:val="right"/>
        <w:rPr>
          <w:sz w:val="22"/>
          <w:szCs w:val="22"/>
        </w:rPr>
      </w:pPr>
      <w:r>
        <w:rPr>
          <w:sz w:val="22"/>
          <w:szCs w:val="22"/>
        </w:rPr>
        <w:t>№</w:t>
      </w:r>
      <w:r>
        <w:rPr>
          <w:sz w:val="22"/>
          <w:szCs w:val="22"/>
        </w:rPr>
        <w:t>__ от __.__.20__</w:t>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jc w:val="center"/>
        <w:rPr>
          <w:b/>
          <w:sz w:val="22"/>
          <w:szCs w:val="22"/>
        </w:rPr>
      </w:pPr>
      <w:r>
        <w:rPr>
          <w:b/>
          <w:sz w:val="22"/>
          <w:szCs w:val="22"/>
        </w:rPr>
        <w:t>ПОРЯДОК</w:t>
      </w:r>
    </w:p>
    <w:p>
      <w:pPr>
        <w:pStyle w:val="Normal"/>
        <w:spacing w:lineRule="auto" w:line="240"/>
        <w:jc w:val="center"/>
        <w:rPr>
          <w:b/>
          <w:sz w:val="22"/>
          <w:szCs w:val="22"/>
        </w:rPr>
      </w:pPr>
      <w:r>
        <w:rPr>
          <w:b/>
          <w:sz w:val="22"/>
          <w:szCs w:val="22"/>
        </w:rPr>
        <w:t>учета, хранения и передачи материалов,</w:t>
      </w:r>
    </w:p>
    <w:p>
      <w:pPr>
        <w:pStyle w:val="Normal"/>
        <w:spacing w:lineRule="auto" w:line="240"/>
        <w:jc w:val="center"/>
        <w:rPr>
          <w:b/>
          <w:sz w:val="22"/>
          <w:szCs w:val="22"/>
        </w:rPr>
      </w:pPr>
      <w:r>
        <w:rPr>
          <w:b/>
          <w:sz w:val="22"/>
          <w:szCs w:val="22"/>
        </w:rPr>
        <w:t xml:space="preserve"> </w:t>
      </w:r>
      <w:r>
        <w:rPr>
          <w:b/>
          <w:sz w:val="22"/>
          <w:szCs w:val="22"/>
        </w:rPr>
        <w:t xml:space="preserve">образовавшихся после демонтажа имущества (оборудования) Заказчика  </w:t>
      </w:r>
    </w:p>
    <w:p>
      <w:pPr>
        <w:pStyle w:val="Normal"/>
        <w:spacing w:lineRule="auto" w:line="240"/>
        <w:jc w:val="center"/>
        <w:rPr>
          <w:b/>
          <w:sz w:val="22"/>
          <w:szCs w:val="22"/>
        </w:rPr>
      </w:pPr>
      <w:r>
        <w:rPr>
          <w:b/>
          <w:sz w:val="22"/>
          <w:szCs w:val="22"/>
        </w:rPr>
        <w:t>при исполнении Подрядчиком работ по договору</w:t>
      </w:r>
    </w:p>
    <w:p>
      <w:pPr>
        <w:pStyle w:val="Normal"/>
        <w:spacing w:lineRule="auto" w:line="240"/>
        <w:rPr>
          <w:sz w:val="22"/>
          <w:szCs w:val="22"/>
        </w:rPr>
      </w:pPr>
      <w:r>
        <w:rPr>
          <w:sz w:val="22"/>
          <w:szCs w:val="22"/>
        </w:rPr>
      </w:r>
    </w:p>
    <w:p>
      <w:pPr>
        <w:pStyle w:val="Normal"/>
        <w:spacing w:lineRule="auto" w:line="240"/>
        <w:rPr>
          <w:b/>
          <w:sz w:val="22"/>
          <w:szCs w:val="22"/>
        </w:rPr>
      </w:pPr>
      <w:r>
        <w:rPr>
          <w:b/>
          <w:sz w:val="22"/>
          <w:szCs w:val="22"/>
        </w:rPr>
      </w:r>
    </w:p>
    <w:p>
      <w:pPr>
        <w:pStyle w:val="ListParagraph"/>
        <w:numPr>
          <w:ilvl w:val="0"/>
          <w:numId w:val="51"/>
        </w:numPr>
        <w:tabs>
          <w:tab w:val="clear" w:pos="708"/>
          <w:tab w:val="left" w:pos="1134" w:leader="none"/>
        </w:tabs>
        <w:ind w:left="0" w:firstLine="709"/>
        <w:jc w:val="both"/>
        <w:rPr>
          <w:sz w:val="22"/>
          <w:szCs w:val="22"/>
        </w:rPr>
      </w:pPr>
      <w:r>
        <w:rPr>
          <w:sz w:val="22"/>
          <w:szCs w:val="22"/>
        </w:rPr>
        <w:t>В целях организации учета и хранения материалов, оставшихся после демонтажа имущества Заказчика при исполнении Подрядчиком работ по Договору (далее - материалы после демонтажа), Заказчик обязан в течение двух рабочих дней с момента заключения договора передать Подрядчику для руководства в работе следующие документы:</w:t>
      </w:r>
    </w:p>
    <w:p>
      <w:pPr>
        <w:pStyle w:val="ListParagraph"/>
        <w:tabs>
          <w:tab w:val="clear" w:pos="708"/>
          <w:tab w:val="left" w:pos="1134" w:leader="none"/>
        </w:tabs>
        <w:ind w:left="0" w:firstLine="709"/>
        <w:jc w:val="both"/>
        <w:rPr>
          <w:sz w:val="22"/>
          <w:szCs w:val="22"/>
        </w:rPr>
      </w:pPr>
      <w:r>
        <w:rPr>
          <w:sz w:val="22"/>
          <w:szCs w:val="22"/>
        </w:rPr>
        <w:t>- Инструкцию по складированию и хранению материалов, оборудования и запасных частей на складах филиалов, утвержденную в АО «ДРСК» (И-ИСМ-6.4-01.02-4729);</w:t>
      </w:r>
    </w:p>
    <w:p>
      <w:pPr>
        <w:pStyle w:val="ListParagraph"/>
        <w:tabs>
          <w:tab w:val="clear" w:pos="708"/>
          <w:tab w:val="left" w:pos="1134" w:leader="none"/>
        </w:tabs>
        <w:ind w:left="0" w:firstLine="709"/>
        <w:jc w:val="both"/>
        <w:rPr>
          <w:sz w:val="22"/>
          <w:szCs w:val="22"/>
        </w:rPr>
      </w:pPr>
      <w:r>
        <w:rPr>
          <w:sz w:val="22"/>
          <w:szCs w:val="22"/>
        </w:rPr>
        <w:t>- Регламент процесса «Планирование образования, накопление и реализация лома и отходов черных и цветных металлов (за исключением драгоценных) в подконтрольных организациях ПАО «РусГидро»», утвержденный приказом ПАО «РусГидро» от 06.10.2020 №848);</w:t>
      </w:r>
    </w:p>
    <w:p>
      <w:pPr>
        <w:pStyle w:val="ListParagraph"/>
        <w:tabs>
          <w:tab w:val="clear" w:pos="708"/>
          <w:tab w:val="left" w:pos="1134" w:leader="none"/>
        </w:tabs>
        <w:ind w:left="0" w:firstLine="709"/>
        <w:jc w:val="both"/>
        <w:rPr>
          <w:sz w:val="22"/>
          <w:szCs w:val="22"/>
        </w:rPr>
      </w:pPr>
      <w:r>
        <w:rPr>
          <w:sz w:val="22"/>
          <w:szCs w:val="22"/>
        </w:rPr>
        <w:t>- формы первичных учетных документов, применяемых в АО «ДРСК» при приемке демонтированных материалов;</w:t>
      </w:r>
    </w:p>
    <w:p>
      <w:pPr>
        <w:pStyle w:val="ListParagraph"/>
        <w:tabs>
          <w:tab w:val="clear" w:pos="708"/>
          <w:tab w:val="left" w:pos="1134" w:leader="none"/>
        </w:tabs>
        <w:ind w:left="0" w:firstLine="709"/>
        <w:jc w:val="both"/>
        <w:rPr>
          <w:sz w:val="22"/>
          <w:szCs w:val="22"/>
        </w:rPr>
      </w:pPr>
      <w:r>
        <w:rPr>
          <w:sz w:val="22"/>
          <w:szCs w:val="22"/>
        </w:rPr>
        <w:t>- иные документы, необходимые для исполнения Подрядчиком обязанностей по учету и хранению демонтированных материалов.</w:t>
      </w:r>
    </w:p>
    <w:p>
      <w:pPr>
        <w:pStyle w:val="ListParagraph"/>
        <w:tabs>
          <w:tab w:val="clear" w:pos="708"/>
          <w:tab w:val="left" w:pos="1134" w:leader="none"/>
        </w:tabs>
        <w:ind w:left="0" w:firstLine="709"/>
        <w:jc w:val="both"/>
        <w:rPr>
          <w:b/>
          <w:sz w:val="22"/>
          <w:szCs w:val="22"/>
        </w:rPr>
      </w:pPr>
      <w:r>
        <w:rPr>
          <w:b/>
          <w:sz w:val="22"/>
          <w:szCs w:val="22"/>
        </w:rPr>
      </w:r>
    </w:p>
    <w:p>
      <w:pPr>
        <w:pStyle w:val="ListParagraph"/>
        <w:tabs>
          <w:tab w:val="clear" w:pos="708"/>
          <w:tab w:val="left" w:pos="1134" w:leader="none"/>
        </w:tabs>
        <w:ind w:left="0" w:firstLine="709"/>
        <w:jc w:val="both"/>
        <w:rPr>
          <w:b/>
          <w:sz w:val="22"/>
          <w:szCs w:val="22"/>
        </w:rPr>
      </w:pPr>
      <w:r>
        <w:rPr>
          <w:b/>
          <w:sz w:val="22"/>
          <w:szCs w:val="22"/>
        </w:rPr>
        <w:t xml:space="preserve">2. Подрядчик обязуется при организации учета, хранения и передачи Заказчику материалов после демонтажа руководствоваться документами, перечисленными в п. 1 Порядка. </w:t>
      </w:r>
    </w:p>
    <w:p>
      <w:pPr>
        <w:pStyle w:val="ListParagraph"/>
        <w:tabs>
          <w:tab w:val="clear" w:pos="708"/>
          <w:tab w:val="left" w:pos="1134" w:leader="none"/>
        </w:tabs>
        <w:ind w:left="0" w:firstLine="709"/>
        <w:jc w:val="both"/>
        <w:rPr>
          <w:sz w:val="22"/>
          <w:szCs w:val="22"/>
        </w:rPr>
      </w:pPr>
      <w:r>
        <w:rPr>
          <w:sz w:val="22"/>
          <w:szCs w:val="22"/>
        </w:rPr>
        <w:t>Подрядчик несет риск случайной гибели, а также ответственность за сохранность, утрату или повреждение материалов после демонтажа до передачи их Заказчику.</w:t>
      </w:r>
    </w:p>
    <w:p>
      <w:pPr>
        <w:pStyle w:val="ListParagraph"/>
        <w:tabs>
          <w:tab w:val="clear" w:pos="708"/>
          <w:tab w:val="left" w:pos="1134" w:leader="none"/>
        </w:tabs>
        <w:ind w:left="0" w:firstLine="709"/>
        <w:jc w:val="both"/>
        <w:rPr>
          <w:sz w:val="22"/>
          <w:szCs w:val="22"/>
        </w:rPr>
      </w:pPr>
      <w:r>
        <w:rPr>
          <w:sz w:val="22"/>
          <w:szCs w:val="22"/>
        </w:rPr>
      </w:r>
    </w:p>
    <w:p>
      <w:pPr>
        <w:pStyle w:val="Normal"/>
        <w:spacing w:lineRule="auto" w:line="240"/>
        <w:ind w:firstLine="709"/>
        <w:rPr>
          <w:sz w:val="22"/>
          <w:szCs w:val="22"/>
        </w:rPr>
      </w:pPr>
      <w:r>
        <w:rPr>
          <w:b/>
          <w:sz w:val="22"/>
          <w:szCs w:val="22"/>
        </w:rPr>
        <w:t>3. Объемы и номенклатура материалов и оборудования</w:t>
      </w:r>
      <w:r>
        <w:rPr>
          <w:sz w:val="22"/>
          <w:szCs w:val="22"/>
        </w:rPr>
        <w:t>, подлежащих демонтажу при исполнении договора и передаваемых Подрядчиком Заказчику, указаны в ТЗ к Договору.</w:t>
      </w:r>
      <w:r>
        <w:rPr>
          <w:rStyle w:val="FootnoteReference"/>
          <w:sz w:val="22"/>
          <w:szCs w:val="22"/>
        </w:rPr>
        <w:footnoteReference w:id="6"/>
      </w:r>
    </w:p>
    <w:p>
      <w:pPr>
        <w:pStyle w:val="Normal"/>
        <w:spacing w:lineRule="auto" w:line="240"/>
        <w:ind w:firstLine="709"/>
        <w:rPr>
          <w:i/>
          <w:i/>
          <w:sz w:val="22"/>
          <w:szCs w:val="22"/>
          <w:highlight w:val="lightGray"/>
        </w:rPr>
      </w:pPr>
      <w:r>
        <w:rPr>
          <w:i/>
          <w:sz w:val="22"/>
          <w:szCs w:val="22"/>
          <w:highlight w:val="lightGray"/>
        </w:rPr>
        <w:t>или</w:t>
      </w:r>
    </w:p>
    <w:p>
      <w:pPr>
        <w:pStyle w:val="Normal"/>
        <w:spacing w:lineRule="auto" w:line="240"/>
        <w:ind w:firstLine="709"/>
        <w:rPr>
          <w:rFonts w:eastAsia="Calibri" w:eastAsiaTheme="minorHAnsi"/>
          <w:sz w:val="22"/>
          <w:szCs w:val="22"/>
        </w:rPr>
      </w:pPr>
      <w:r>
        <w:rPr>
          <w:sz w:val="22"/>
          <w:szCs w:val="22"/>
          <w:highlight w:val="lightGray"/>
        </w:rPr>
        <w:t>3. Объемы и номенклатура материалов и оборудования, подлежащих демонтажу при исполнении договора и передаваемых Подрядчиком Заказчику:</w:t>
      </w:r>
      <w:r>
        <w:rPr>
          <w:rStyle w:val="FootnoteReference"/>
          <w:sz w:val="22"/>
          <w:szCs w:val="22"/>
          <w:highlight w:val="lightGray"/>
        </w:rPr>
        <w:footnoteReference w:id="7"/>
      </w:r>
    </w:p>
    <w:p>
      <w:pPr>
        <w:pStyle w:val="ListParagraph"/>
        <w:tabs>
          <w:tab w:val="clear" w:pos="708"/>
          <w:tab w:val="left" w:pos="1134" w:leader="none"/>
        </w:tabs>
        <w:ind w:left="0" w:firstLine="709"/>
        <w:jc w:val="both"/>
        <w:rPr>
          <w:i/>
          <w:i/>
          <w:sz w:val="22"/>
          <w:szCs w:val="22"/>
          <w:highlight w:val="lightGray"/>
        </w:rPr>
      </w:pPr>
      <w:r>
        <w:rPr>
          <w:i/>
          <w:sz w:val="22"/>
          <w:szCs w:val="22"/>
          <w:highlight w:val="lightGray"/>
        </w:rPr>
        <w:t>-…</w:t>
      </w:r>
    </w:p>
    <w:p>
      <w:pPr>
        <w:pStyle w:val="ListParagraph"/>
        <w:tabs>
          <w:tab w:val="clear" w:pos="708"/>
          <w:tab w:val="left" w:pos="1134" w:leader="none"/>
        </w:tabs>
        <w:ind w:left="0" w:firstLine="709"/>
        <w:jc w:val="both"/>
        <w:rPr>
          <w:i/>
          <w:i/>
          <w:sz w:val="22"/>
          <w:szCs w:val="22"/>
          <w:highlight w:val="lightGray"/>
        </w:rPr>
      </w:pPr>
      <w:r>
        <w:rPr>
          <w:i/>
          <w:sz w:val="22"/>
          <w:szCs w:val="22"/>
          <w:highlight w:val="lightGray"/>
        </w:rPr>
        <w:t>-…</w:t>
      </w:r>
    </w:p>
    <w:p>
      <w:pPr>
        <w:pStyle w:val="ListParagraph"/>
        <w:tabs>
          <w:tab w:val="clear" w:pos="708"/>
          <w:tab w:val="left" w:pos="1134" w:leader="none"/>
        </w:tabs>
        <w:ind w:left="0" w:firstLine="709"/>
        <w:jc w:val="both"/>
        <w:rPr>
          <w:i/>
          <w:i/>
          <w:sz w:val="22"/>
          <w:szCs w:val="22"/>
        </w:rPr>
      </w:pPr>
      <w:r>
        <w:rPr>
          <w:i/>
          <w:sz w:val="22"/>
          <w:szCs w:val="22"/>
          <w:highlight w:val="lightGray"/>
        </w:rPr>
        <w:t>(составляются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w:t>
      </w:r>
      <w:r>
        <w:rPr>
          <w:i/>
          <w:sz w:val="22"/>
          <w:szCs w:val="22"/>
        </w:rPr>
        <w:t xml:space="preserve"> </w:t>
      </w:r>
    </w:p>
    <w:p>
      <w:pPr>
        <w:pStyle w:val="ListParagraph"/>
        <w:tabs>
          <w:tab w:val="clear" w:pos="708"/>
          <w:tab w:val="left" w:pos="1134" w:leader="none"/>
        </w:tabs>
        <w:ind w:left="0" w:firstLine="709"/>
        <w:jc w:val="both"/>
        <w:rPr>
          <w:sz w:val="22"/>
          <w:szCs w:val="22"/>
        </w:rPr>
      </w:pPr>
      <w:r>
        <w:rPr>
          <w:sz w:val="22"/>
          <w:szCs w:val="22"/>
        </w:rPr>
      </w:r>
    </w:p>
    <w:p>
      <w:pPr>
        <w:pStyle w:val="ListParagraph"/>
        <w:tabs>
          <w:tab w:val="clear" w:pos="708"/>
          <w:tab w:val="left" w:pos="1134" w:leader="none"/>
        </w:tabs>
        <w:ind w:left="0" w:firstLine="709"/>
        <w:jc w:val="both"/>
        <w:rPr>
          <w:rFonts w:eastAsia="Calibri"/>
          <w:bCs/>
          <w:iCs/>
          <w:sz w:val="22"/>
          <w:szCs w:val="22"/>
        </w:rPr>
      </w:pPr>
      <w:r>
        <w:rPr>
          <w:b/>
          <w:sz w:val="22"/>
          <w:szCs w:val="22"/>
          <w:shd w:fill="auto" w:val="clear"/>
        </w:rPr>
        <w:t>4. С</w:t>
      </w:r>
      <w:r>
        <w:rPr>
          <w:rFonts w:eastAsia="Calibri"/>
          <w:b/>
          <w:bCs/>
          <w:iCs/>
          <w:sz w:val="22"/>
          <w:szCs w:val="22"/>
          <w:shd w:fill="auto" w:val="clear"/>
        </w:rPr>
        <w:t>пособ учёта</w:t>
      </w:r>
      <w:r>
        <w:rPr>
          <w:rFonts w:eastAsia="Calibri"/>
          <w:bCs/>
          <w:iCs/>
          <w:sz w:val="22"/>
          <w:szCs w:val="22"/>
          <w:shd w:fill="auto" w:val="clear"/>
        </w:rPr>
        <w:t xml:space="preserve"> Подрядчиком материалов в документах, составляемых в рамках исполнения Договора (проектной, сметной документации, Актах КС-2, Актах на демонтаж (АКТ № об оприходовании материальных ценностей, полученных при разборке и демонтаже основных средств подрядными организациями (форма), Отчет об использовании материалов, переданных заказчиком. </w:t>
      </w:r>
      <w:r>
        <w:rPr>
          <w:rFonts w:eastAsia="Calibri"/>
          <w:bCs/>
          <w:iCs/>
          <w:sz w:val="22"/>
          <w:szCs w:val="22"/>
        </w:rPr>
        <w:t>, Актах взвешивания и Актах оприходования единообразной единицы измерения):</w:t>
      </w:r>
    </w:p>
    <w:p>
      <w:pPr>
        <w:pStyle w:val="Normal"/>
        <w:tabs>
          <w:tab w:val="clear" w:pos="708"/>
          <w:tab w:val="left" w:pos="993" w:leader="none"/>
        </w:tabs>
        <w:spacing w:lineRule="auto" w:line="240"/>
        <w:ind w:firstLine="709"/>
        <w:rPr>
          <w:sz w:val="22"/>
          <w:szCs w:val="22"/>
        </w:rPr>
      </w:pPr>
      <w:r>
        <w:rPr>
          <w:sz w:val="22"/>
          <w:szCs w:val="22"/>
        </w:rPr>
        <w:t xml:space="preserve">– </w:t>
      </w:r>
      <w:r>
        <w:rPr>
          <w:sz w:val="22"/>
          <w:szCs w:val="22"/>
        </w:rPr>
        <w:t>провод ____ – ___/___ в километрах /тоннах (вес провода рассчитывается на основании действующих ГОСТ);</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стойки ж/б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стойки деревянные ____ – ____/____ в штуках/м</w:t>
      </w:r>
      <w:r>
        <w:rPr>
          <w:sz w:val="22"/>
          <w:szCs w:val="22"/>
          <w:vertAlign w:val="superscript"/>
        </w:rPr>
        <w:t>3</w:t>
      </w:r>
      <w:r>
        <w:rPr>
          <w:sz w:val="22"/>
          <w:szCs w:val="22"/>
        </w:rPr>
        <w:t>;</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приставки ж/б ____ – ____ в штуках;</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изоляторы ____ – ____ в штуках;</w:t>
      </w:r>
    </w:p>
    <w:p>
      <w:pPr>
        <w:pStyle w:val="Normal"/>
        <w:tabs>
          <w:tab w:val="clear" w:pos="708"/>
          <w:tab w:val="left" w:pos="993" w:leader="none"/>
        </w:tabs>
        <w:spacing w:lineRule="auto" w:line="240"/>
        <w:ind w:left="709" w:firstLine="567"/>
        <w:rPr>
          <w:sz w:val="22"/>
          <w:szCs w:val="22"/>
        </w:rPr>
      </w:pPr>
      <w:r>
        <w:rPr>
          <w:sz w:val="22"/>
          <w:szCs w:val="22"/>
        </w:rPr>
        <w:t xml:space="preserve">– </w:t>
      </w:r>
      <w:r>
        <w:rPr>
          <w:sz w:val="22"/>
          <w:szCs w:val="22"/>
        </w:rPr>
        <w:t>траверсы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крючья стальные ____ – 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корпус ТП ____ кВА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силовой трансформатор ____ кВА – 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разъединитель 10 (6) кВ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выключатели 6-110 кВ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панели (шкафы) оборудования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аккумуляторные батареи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фундаменты _______ – ______ в штуках;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тросостойка ____ – ____/____ в штуках/тоннах;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металлические опоры ____ – ____/____ в штуках/тоннах;</w:t>
      </w:r>
    </w:p>
    <w:p>
      <w:pPr>
        <w:pStyle w:val="Normal"/>
        <w:tabs>
          <w:tab w:val="clear" w:pos="708"/>
          <w:tab w:val="left" w:pos="993" w:leader="none"/>
        </w:tabs>
        <w:spacing w:lineRule="auto" w:line="240"/>
        <w:ind w:left="720" w:firstLine="567"/>
        <w:rPr>
          <w:sz w:val="22"/>
          <w:szCs w:val="22"/>
        </w:rPr>
      </w:pPr>
      <w:r>
        <w:rPr>
          <w:sz w:val="22"/>
          <w:szCs w:val="22"/>
        </w:rPr>
        <w:t xml:space="preserve">– </w:t>
      </w:r>
      <w:r>
        <w:rPr>
          <w:sz w:val="22"/>
          <w:szCs w:val="22"/>
        </w:rPr>
        <w:t>сцепная арматура (натяжная, подвесная, защитная) ____ – ______ в штуках;</w:t>
      </w:r>
    </w:p>
    <w:p>
      <w:pPr>
        <w:pStyle w:val="ListParagraph"/>
        <w:tabs>
          <w:tab w:val="clear" w:pos="708"/>
          <w:tab w:val="left" w:pos="1134" w:leader="none"/>
        </w:tabs>
        <w:ind w:left="0" w:firstLine="709"/>
        <w:jc w:val="both"/>
        <w:rPr>
          <w:sz w:val="22"/>
          <w:szCs w:val="22"/>
        </w:rPr>
      </w:pPr>
      <w:r>
        <w:rPr>
          <w:sz w:val="22"/>
          <w:szCs w:val="22"/>
        </w:rPr>
      </w:r>
    </w:p>
    <w:p>
      <w:pPr>
        <w:pStyle w:val="ListParagraph"/>
        <w:tabs>
          <w:tab w:val="clear" w:pos="708"/>
          <w:tab w:val="left" w:pos="1134" w:leader="none"/>
        </w:tabs>
        <w:ind w:left="0" w:firstLine="709"/>
        <w:jc w:val="both"/>
        <w:rPr>
          <w:b/>
          <w:sz w:val="22"/>
          <w:szCs w:val="22"/>
        </w:rPr>
      </w:pPr>
      <w:r>
        <w:rPr>
          <w:b/>
          <w:sz w:val="22"/>
          <w:szCs w:val="22"/>
        </w:rPr>
        <w:t>5. Требования к учету Подрядчиком материалов (в т.ч. лома черных и цветных материалов), образовавшихся в ходе выполнения демонтажных работ:</w:t>
      </w:r>
    </w:p>
    <w:p>
      <w:pPr>
        <w:pStyle w:val="ListParagraph"/>
        <w:tabs>
          <w:tab w:val="clear" w:pos="708"/>
          <w:tab w:val="left" w:pos="1134" w:leader="none"/>
        </w:tabs>
        <w:ind w:left="0" w:firstLine="709"/>
        <w:jc w:val="both"/>
        <w:rPr>
          <w:sz w:val="22"/>
          <w:szCs w:val="22"/>
        </w:rPr>
      </w:pPr>
      <w:r>
        <w:rPr>
          <w:sz w:val="22"/>
          <w:szCs w:val="22"/>
        </w:rPr>
        <w:t xml:space="preserve">5.1. При выполнении работы по демонтажу материалов (провода) </w:t>
      </w:r>
      <w:r>
        <w:rPr>
          <w:b/>
          <w:sz w:val="22"/>
          <w:szCs w:val="22"/>
        </w:rPr>
        <w:t xml:space="preserve">факт демонтажа фиксируется Сторонами путем подписания Акта демонтажа </w:t>
      </w:r>
      <w:r>
        <w:rPr>
          <w:sz w:val="22"/>
          <w:szCs w:val="22"/>
        </w:rPr>
        <w:t>по форме согласно</w:t>
      </w:r>
      <w:r>
        <w:rPr>
          <w:b/>
          <w:sz w:val="22"/>
          <w:szCs w:val="22"/>
        </w:rPr>
        <w:t xml:space="preserve"> </w:t>
      </w:r>
      <w:r>
        <w:rPr>
          <w:sz w:val="22"/>
          <w:szCs w:val="22"/>
        </w:rPr>
        <w:t xml:space="preserve">Приложению №1 к настоящему Порядку. Акт демонтажа составляется и подписывается Подрядчиком в 2 (двух) экземплярах и передается Заказчику для рассмотрения и подписания в течение </w:t>
      </w:r>
      <w:r>
        <w:rPr>
          <w:sz w:val="22"/>
          <w:szCs w:val="22"/>
          <w:highlight w:val="lightGray"/>
        </w:rPr>
        <w:t>2 (двух)</w:t>
      </w:r>
      <w:r>
        <w:rPr>
          <w:sz w:val="22"/>
          <w:szCs w:val="22"/>
        </w:rPr>
        <w:t xml:space="preserve"> рабочих дней с момента демонтажа. Срок для рассмотрения Акта демонтажа Заказчиком составляет </w:t>
      </w:r>
      <w:r>
        <w:rPr>
          <w:sz w:val="22"/>
          <w:szCs w:val="22"/>
          <w:highlight w:val="lightGray"/>
        </w:rPr>
        <w:t>5 (пять)</w:t>
      </w:r>
      <w:r>
        <w:rPr>
          <w:sz w:val="22"/>
          <w:szCs w:val="22"/>
        </w:rPr>
        <w:t xml:space="preserve"> рабочих дней с момента получения.</w:t>
      </w:r>
    </w:p>
    <w:p>
      <w:pPr>
        <w:pStyle w:val="ListParagraph"/>
        <w:tabs>
          <w:tab w:val="clear" w:pos="708"/>
          <w:tab w:val="left" w:pos="1134" w:leader="none"/>
        </w:tabs>
        <w:ind w:left="0" w:firstLine="709"/>
        <w:jc w:val="both"/>
        <w:rPr>
          <w:sz w:val="22"/>
          <w:szCs w:val="22"/>
        </w:rPr>
      </w:pPr>
      <w:r>
        <w:rPr>
          <w:sz w:val="22"/>
          <w:szCs w:val="22"/>
        </w:rPr>
        <w:t>Объем и масса демонтируемых материалов должны соответствовать данным, указанным в паспорте на объект (ВЛ, ПС, ТП и др.) и номенклатуре, указанной в п. 3 настоящего Порядка.</w:t>
      </w:r>
    </w:p>
    <w:p>
      <w:pPr>
        <w:pStyle w:val="ListParagraph"/>
        <w:tabs>
          <w:tab w:val="clear" w:pos="708"/>
          <w:tab w:val="left" w:pos="1134" w:leader="none"/>
        </w:tabs>
        <w:ind w:left="0" w:firstLine="709"/>
        <w:jc w:val="both"/>
        <w:rPr>
          <w:sz w:val="22"/>
          <w:szCs w:val="22"/>
        </w:rPr>
      </w:pPr>
      <w:r>
        <w:rPr>
          <w:sz w:val="22"/>
          <w:szCs w:val="22"/>
        </w:rPr>
        <w:t xml:space="preserve">Количество (протяженность, марка) проводов, подлежащих демонтажу, указано в ТЗ к Договору. </w:t>
      </w:r>
    </w:p>
    <w:p>
      <w:pPr>
        <w:pStyle w:val="ListParagraph"/>
        <w:tabs>
          <w:tab w:val="clear" w:pos="708"/>
          <w:tab w:val="left" w:pos="1134" w:leader="none"/>
        </w:tabs>
        <w:ind w:left="0" w:firstLine="709"/>
        <w:jc w:val="both"/>
        <w:rPr>
          <w:sz w:val="22"/>
          <w:szCs w:val="22"/>
        </w:rPr>
      </w:pPr>
      <w:r>
        <w:rPr>
          <w:sz w:val="22"/>
          <w:szCs w:val="22"/>
        </w:rPr>
        <w:t xml:space="preserve">В случае установления Подрядчиком несоответствия демонтированных материалов (провода) требованиям ТЗ (паспорту линии), Подрядчик обязан в течение </w:t>
      </w:r>
      <w:r>
        <w:rPr>
          <w:sz w:val="22"/>
          <w:szCs w:val="22"/>
          <w:highlight w:val="lightGray"/>
        </w:rPr>
        <w:t>2 (двух)</w:t>
      </w:r>
      <w:r>
        <w:rPr>
          <w:sz w:val="22"/>
          <w:szCs w:val="22"/>
        </w:rPr>
        <w:t xml:space="preserve"> дней с момента демонтажа письменно сообщить о данном факте Заказчику. Факт несоответствия фиксируется сторонами Договора в Акте демонтажа. При нарушении Подрядчиком указанной обязанности Заказчик вправе потребовать от Подрядчика уплаты штрафных санкций, предусмотренных Договором.</w:t>
      </w:r>
    </w:p>
    <w:p>
      <w:pPr>
        <w:pStyle w:val="ListParagraph"/>
        <w:tabs>
          <w:tab w:val="clear" w:pos="708"/>
          <w:tab w:val="left" w:pos="1134" w:leader="none"/>
        </w:tabs>
        <w:ind w:left="0" w:firstLine="709"/>
        <w:jc w:val="both"/>
        <w:rPr>
          <w:strike/>
          <w:sz w:val="22"/>
          <w:szCs w:val="22"/>
        </w:rPr>
      </w:pPr>
      <w:r>
        <w:rPr>
          <w:rFonts w:eastAsia="Calibri"/>
          <w:bCs/>
          <w:iCs/>
          <w:sz w:val="22"/>
          <w:szCs w:val="22"/>
        </w:rPr>
        <w:t xml:space="preserve">5.2. После подписания Сторонами Актов демонтажа </w:t>
      </w:r>
      <w:r>
        <w:rPr>
          <w:sz w:val="22"/>
          <w:szCs w:val="22"/>
        </w:rPr>
        <w:t xml:space="preserve">материалы, высвободившиеся после демонтажа и перечисленные в подписанном Сторонами Акте демонтажа, остаются </w:t>
      </w:r>
      <w:r>
        <w:rPr>
          <w:b/>
          <w:sz w:val="22"/>
          <w:szCs w:val="22"/>
        </w:rPr>
        <w:t>на ответственном хранении</w:t>
      </w:r>
      <w:r>
        <w:rPr>
          <w:sz w:val="22"/>
          <w:szCs w:val="22"/>
        </w:rPr>
        <w:t xml:space="preserve"> у Подрядчика до момента их фактической передачи Заказчику и подписания «Акта об оприходовании материальных ценностей, полученных при разборке и демонтаже основных средств подрядными организациями», в соответствии с приложением 1-6/12 к Учетной политике АО «ДРСК».</w:t>
      </w:r>
    </w:p>
    <w:p>
      <w:pPr>
        <w:pStyle w:val="Normal"/>
        <w:spacing w:lineRule="auto" w:line="240"/>
        <w:ind w:firstLine="709"/>
        <w:rPr>
          <w:sz w:val="22"/>
          <w:szCs w:val="22"/>
        </w:rPr>
      </w:pPr>
      <w:r>
        <w:rPr>
          <w:sz w:val="22"/>
          <w:szCs w:val="22"/>
        </w:rPr>
        <w:t xml:space="preserve">5.3. При хранении материалов (в т.ч. лома черных и цветных материалов), образовавшихся в ходе выполнения Работ по демонтажу, </w:t>
      </w:r>
      <w:r>
        <w:rPr>
          <w:b/>
          <w:sz w:val="22"/>
          <w:szCs w:val="22"/>
        </w:rPr>
        <w:t>Подрядчик должен соблюдать требования</w:t>
      </w:r>
      <w:r>
        <w:rPr>
          <w:sz w:val="22"/>
          <w:szCs w:val="22"/>
        </w:rPr>
        <w:t xml:space="preserve">, установленные следующими актами: </w:t>
      </w:r>
    </w:p>
    <w:p>
      <w:pPr>
        <w:pStyle w:val="Normal"/>
        <w:spacing w:lineRule="auto" w:line="240"/>
        <w:ind w:firstLine="709"/>
        <w:rPr>
          <w:sz w:val="22"/>
          <w:szCs w:val="22"/>
        </w:rPr>
      </w:pPr>
      <w:r>
        <w:rPr>
          <w:sz w:val="22"/>
          <w:szCs w:val="22"/>
        </w:rPr>
        <w:t>1) СанПиН 2.1.7.1322-03 «Гигиенические требования к размещению и обезвреживанию отходов производства и потребления»;</w:t>
      </w:r>
    </w:p>
    <w:p>
      <w:pPr>
        <w:pStyle w:val="Normal"/>
        <w:spacing w:lineRule="auto" w:line="240"/>
        <w:ind w:firstLine="709"/>
        <w:rPr>
          <w:sz w:val="22"/>
          <w:szCs w:val="22"/>
        </w:rPr>
      </w:pPr>
      <w:r>
        <w:rPr>
          <w:sz w:val="22"/>
          <w:szCs w:val="22"/>
        </w:rPr>
        <w:t>2) ГОСТ 2787-2019 "Металлы черные вторичные. Общие технические условия".</w:t>
      </w:r>
    </w:p>
    <w:p>
      <w:pPr>
        <w:pStyle w:val="Normal"/>
        <w:spacing w:lineRule="auto" w:line="240"/>
        <w:ind w:firstLine="709"/>
        <w:rPr>
          <w:sz w:val="22"/>
          <w:szCs w:val="22"/>
        </w:rPr>
      </w:pPr>
      <w:r>
        <w:rPr>
          <w:sz w:val="22"/>
          <w:szCs w:val="22"/>
        </w:rPr>
        <w:t xml:space="preserve">3) Инструкции по складированию и хранению материалов, оборудования и запасных частей на складах филиалов, утвержденную в АО «ДРСК» (И-ИСМ-6.4-01.02-4729). </w:t>
      </w:r>
    </w:p>
    <w:p>
      <w:pPr>
        <w:pStyle w:val="ListParagraph"/>
        <w:tabs>
          <w:tab w:val="clear" w:pos="708"/>
          <w:tab w:val="left" w:pos="1134" w:leader="none"/>
        </w:tabs>
        <w:ind w:left="0" w:firstLine="709"/>
        <w:jc w:val="both"/>
        <w:rPr>
          <w:sz w:val="22"/>
          <w:szCs w:val="22"/>
        </w:rPr>
      </w:pPr>
      <w:r>
        <w:rPr>
          <w:rFonts w:eastAsia="Calibri"/>
          <w:bCs/>
          <w:iCs/>
          <w:sz w:val="22"/>
          <w:szCs w:val="22"/>
        </w:rPr>
        <w:t>5.4. П</w:t>
      </w:r>
      <w:r>
        <w:rPr>
          <w:bCs/>
          <w:sz w:val="22"/>
          <w:szCs w:val="22"/>
        </w:rPr>
        <w:t xml:space="preserve">осле завершения выполнения Работ в отношении </w:t>
      </w:r>
      <w:r>
        <w:rPr>
          <w:sz w:val="22"/>
          <w:szCs w:val="22"/>
          <w:highlight w:val="lightGray"/>
        </w:rPr>
        <w:t>каждого</w:t>
      </w:r>
      <w:r>
        <w:rPr>
          <w:bCs/>
          <w:sz w:val="22"/>
          <w:szCs w:val="22"/>
        </w:rPr>
        <w:t xml:space="preserve"> Объекта и подписания Сторонами Акта КС-2, Справки КС-3 Подрядчик передает Заказчику в течение </w:t>
      </w:r>
      <w:r>
        <w:rPr>
          <w:bCs/>
          <w:sz w:val="22"/>
          <w:szCs w:val="22"/>
          <w:highlight w:val="lightGray"/>
        </w:rPr>
        <w:t>5 (пяти)</w:t>
      </w:r>
      <w:r>
        <w:rPr>
          <w:bCs/>
          <w:sz w:val="22"/>
          <w:szCs w:val="22"/>
        </w:rPr>
        <w:t xml:space="preserve"> рабочих дней с момента подписания актов в полном объёме лом чёрных и цветных металлов, оборудование, образовавшиеся в ходе выполнения Работ по демонтажу. Стороны подписывают в указанный срок </w:t>
      </w:r>
      <w:r>
        <w:rPr>
          <w:sz w:val="22"/>
          <w:szCs w:val="22"/>
        </w:rPr>
        <w:t>«Акт об оприходовании материальных ценностей, полученных при разборке и демонтаже основных средств подрядными организациями».</w:t>
      </w:r>
    </w:p>
    <w:p>
      <w:pPr>
        <w:pStyle w:val="ListParagraph"/>
        <w:tabs>
          <w:tab w:val="clear" w:pos="708"/>
          <w:tab w:val="left" w:pos="1134" w:leader="none"/>
        </w:tabs>
        <w:ind w:left="0" w:firstLine="709"/>
        <w:jc w:val="both"/>
        <w:rPr>
          <w:i/>
          <w:i/>
          <w:sz w:val="22"/>
          <w:szCs w:val="22"/>
        </w:rPr>
      </w:pPr>
      <w:r>
        <w:rPr>
          <w:sz w:val="22"/>
          <w:szCs w:val="22"/>
        </w:rPr>
        <w:t xml:space="preserve">Заказчик проверяет соответствие фактически передаваемых Подрядчиком материалов (провода) паспорту линии, ее протяженности на участке замены, марке провода, а также сведениям, указанным в актах КС-2. Проверку материалов после демонтажа со стороны Заказчика осуществляет: ________________________________________________________ </w:t>
      </w:r>
      <w:r>
        <w:rPr>
          <w:i/>
          <w:sz w:val="22"/>
          <w:szCs w:val="22"/>
        </w:rPr>
        <w:t>(указывается Ф.И.О., должность).</w:t>
      </w:r>
    </w:p>
    <w:p>
      <w:pPr>
        <w:pStyle w:val="ListParagraph"/>
        <w:tabs>
          <w:tab w:val="clear" w:pos="708"/>
          <w:tab w:val="left" w:pos="1134" w:leader="none"/>
        </w:tabs>
        <w:ind w:left="0" w:firstLine="709"/>
        <w:jc w:val="both"/>
        <w:rPr>
          <w:i/>
          <w:i/>
          <w:sz w:val="22"/>
          <w:szCs w:val="22"/>
        </w:rPr>
      </w:pPr>
      <w:r>
        <w:rPr>
          <w:i/>
          <w:sz w:val="22"/>
          <w:szCs w:val="22"/>
        </w:rPr>
      </w:r>
    </w:p>
    <w:p>
      <w:pPr>
        <w:pStyle w:val="ListParagraph"/>
        <w:tabs>
          <w:tab w:val="clear" w:pos="708"/>
          <w:tab w:val="left" w:pos="1134" w:leader="none"/>
        </w:tabs>
        <w:ind w:left="0" w:firstLine="709"/>
        <w:jc w:val="both"/>
        <w:rPr>
          <w:sz w:val="22"/>
          <w:szCs w:val="22"/>
        </w:rPr>
      </w:pPr>
      <w:r>
        <w:rPr>
          <w:rFonts w:eastAsia="Calibri"/>
          <w:bCs/>
          <w:iCs/>
          <w:sz w:val="22"/>
          <w:szCs w:val="22"/>
        </w:rPr>
        <w:t xml:space="preserve">В случае наличия по вине Подрядчика расхождений в объеме передаваемых материалов между Актом демонтажа и </w:t>
      </w:r>
      <w:r>
        <w:rPr>
          <w:sz w:val="22"/>
          <w:szCs w:val="22"/>
        </w:rPr>
        <w:t>«Актом об оприходовании материальных ценностей, полученных при разборке и демонтаже основных средств подрядными организациями», Заказчик вправе потребовать от Подрядчика компенсации убытков и уплаты штрафных санкций, предусмотренных Договором.</w:t>
      </w:r>
    </w:p>
    <w:p>
      <w:pPr>
        <w:pStyle w:val="Normal"/>
        <w:tabs>
          <w:tab w:val="clear" w:pos="708"/>
          <w:tab w:val="left" w:pos="993" w:leader="none"/>
        </w:tabs>
        <w:spacing w:lineRule="auto" w:line="240"/>
        <w:ind w:firstLine="709"/>
        <w:rPr>
          <w:sz w:val="22"/>
          <w:szCs w:val="22"/>
        </w:rPr>
      </w:pPr>
      <w:r>
        <w:rPr>
          <w:sz w:val="22"/>
          <w:szCs w:val="22"/>
        </w:rPr>
      </w:r>
    </w:p>
    <w:p>
      <w:pPr>
        <w:pStyle w:val="ListParagraph"/>
        <w:tabs>
          <w:tab w:val="clear" w:pos="708"/>
          <w:tab w:val="left" w:pos="1134" w:leader="none"/>
        </w:tabs>
        <w:ind w:left="0" w:firstLine="709"/>
        <w:jc w:val="both"/>
        <w:rPr>
          <w:sz w:val="22"/>
          <w:szCs w:val="22"/>
        </w:rPr>
      </w:pPr>
      <w:r>
        <w:rPr>
          <w:sz w:val="22"/>
          <w:szCs w:val="22"/>
        </w:rPr>
        <w:t xml:space="preserve">7. Заказчик вправе в любое время осуществлять контроль за учетом и хранением Подрядчиком материалов после демонтажа. В случае обнаружения отступления Подрядчика от настоящего Порядка, Заказчик оформляет и передает Подрядчику Ведомость замечаний, в которой фиксируется каждый случай несоблюдения Порядка и сроки его устранения. </w:t>
      </w:r>
    </w:p>
    <w:p>
      <w:pPr>
        <w:pStyle w:val="ListParagraph"/>
        <w:tabs>
          <w:tab w:val="clear" w:pos="708"/>
          <w:tab w:val="left" w:pos="1134" w:leader="none"/>
        </w:tabs>
        <w:ind w:left="0" w:firstLine="709"/>
        <w:jc w:val="both"/>
        <w:rPr>
          <w:sz w:val="22"/>
          <w:szCs w:val="22"/>
        </w:rPr>
      </w:pPr>
      <w:r>
        <w:rPr>
          <w:bCs/>
          <w:sz w:val="22"/>
          <w:szCs w:val="22"/>
        </w:rPr>
        <w:t>Устранение указанных недостатков/отступлений, выявленных Заказчиком, осуществляется Подрядчиком своими силами и за свой счет в срок, указанный в Ведомости замечаний.</w:t>
      </w:r>
    </w:p>
    <w:p>
      <w:pPr>
        <w:pStyle w:val="ListParagraph"/>
        <w:tabs>
          <w:tab w:val="clear" w:pos="708"/>
          <w:tab w:val="left" w:pos="1134" w:leader="none"/>
        </w:tabs>
        <w:ind w:left="0" w:firstLine="709"/>
        <w:jc w:val="both"/>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i/>
          <w:i/>
          <w:sz w:val="22"/>
          <w:szCs w:val="22"/>
        </w:rPr>
      </w:pPr>
      <w:r>
        <w:rPr>
          <w:i/>
          <w:sz w:val="22"/>
          <w:szCs w:val="22"/>
        </w:rPr>
        <w:t>Приложение: форма: Акта демонтажа.</w:t>
      </w:r>
    </w:p>
    <w:p>
      <w:pPr>
        <w:pStyle w:val="Normal"/>
        <w:spacing w:lineRule="auto" w:line="240"/>
        <w:rPr>
          <w:sz w:val="22"/>
          <w:szCs w:val="22"/>
        </w:rPr>
      </w:pPr>
      <w:r>
        <w:rPr>
          <w:sz w:val="22"/>
          <w:szCs w:val="22"/>
        </w:rPr>
      </w:r>
    </w:p>
    <w:p>
      <w:pPr>
        <w:pStyle w:val="ListParagraph"/>
        <w:tabs>
          <w:tab w:val="clear" w:pos="708"/>
          <w:tab w:val="left" w:pos="1134" w:leader="none"/>
        </w:tabs>
        <w:ind w:left="0" w:firstLine="709"/>
        <w:jc w:val="both"/>
        <w:rPr>
          <w:rFonts w:eastAsia="Calibri"/>
          <w:bCs/>
          <w:iCs/>
          <w:sz w:val="22"/>
          <w:szCs w:val="22"/>
        </w:rPr>
      </w:pPr>
      <w:r>
        <w:rPr>
          <w:rFonts w:eastAsia="Calibri"/>
          <w:bCs/>
          <w:iCs/>
          <w:sz w:val="22"/>
          <w:szCs w:val="22"/>
        </w:rPr>
      </w:r>
    </w:p>
    <w:p>
      <w:pPr>
        <w:pStyle w:val="Normal"/>
        <w:spacing w:lineRule="auto" w:line="240"/>
        <w:rPr>
          <w:sz w:val="22"/>
          <w:szCs w:val="22"/>
        </w:rPr>
      </w:pPr>
      <w:r>
        <w:rPr>
          <w:sz w:val="22"/>
          <w:szCs w:val="22"/>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rPr>
                <w:b/>
                <w:sz w:val="22"/>
                <w:szCs w:val="22"/>
              </w:rPr>
            </w:pPr>
            <w:r>
              <w:rPr>
                <w:b/>
                <w:sz w:val="22"/>
                <w:szCs w:val="22"/>
              </w:rPr>
              <w:t>Заказчик:</w:t>
            </w:r>
          </w:p>
        </w:tc>
        <w:tc>
          <w:tcPr>
            <w:tcW w:w="4785" w:type="dxa"/>
            <w:tcBorders/>
            <w:shd w:fill="auto" w:val="clear"/>
          </w:tcPr>
          <w:p>
            <w:pPr>
              <w:pStyle w:val="Normal"/>
              <w:widowControl w:val="false"/>
              <w:spacing w:lineRule="auto" w:line="240"/>
              <w:rPr>
                <w:b/>
                <w:sz w:val="22"/>
                <w:szCs w:val="22"/>
              </w:rPr>
            </w:pPr>
            <w:r>
              <w:rPr>
                <w:b/>
                <w:sz w:val="22"/>
                <w:szCs w:val="22"/>
              </w:rPr>
              <w:t>Подрядчик:</w:t>
            </w:r>
          </w:p>
        </w:tc>
      </w:tr>
      <w:tr>
        <w:trPr/>
        <w:tc>
          <w:tcPr>
            <w:tcW w:w="4785" w:type="dxa"/>
            <w:tcBorders/>
            <w:shd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w:t>
            </w:r>
          </w:p>
        </w:tc>
        <w:tc>
          <w:tcPr>
            <w:tcW w:w="4785" w:type="dxa"/>
            <w:tcBorders/>
            <w:shd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w:t>
            </w:r>
          </w:p>
          <w:p>
            <w:pPr>
              <w:pStyle w:val="Normal"/>
              <w:widowControl w:val="false"/>
              <w:spacing w:lineRule="auto" w:line="240"/>
              <w:rPr>
                <w:sz w:val="22"/>
                <w:szCs w:val="22"/>
              </w:rPr>
            </w:pPr>
            <w:r>
              <w:rPr>
                <w:sz w:val="22"/>
                <w:szCs w:val="22"/>
              </w:rPr>
            </w:r>
          </w:p>
        </w:tc>
      </w:tr>
    </w:tbl>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r>
        <w:br w:type="page"/>
      </w:r>
    </w:p>
    <w:p>
      <w:pPr>
        <w:pStyle w:val="Normal"/>
        <w:spacing w:lineRule="auto" w:line="240"/>
        <w:jc w:val="right"/>
        <w:rPr>
          <w:sz w:val="22"/>
          <w:szCs w:val="22"/>
        </w:rPr>
      </w:pP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spacing w:lineRule="auto" w:line="240"/>
        <w:rPr>
          <w:b/>
          <w:bCs/>
          <w:sz w:val="22"/>
          <w:szCs w:val="22"/>
          <w:highlight w:val="lightGray"/>
        </w:rPr>
      </w:pPr>
      <w:r>
        <w:rPr>
          <w:b/>
          <w:bCs/>
          <w:sz w:val="22"/>
          <w:szCs w:val="22"/>
          <w:highlight w:val="lightGray"/>
        </w:rPr>
      </w:r>
    </w:p>
    <w:p>
      <w:pPr>
        <w:pStyle w:val="Title"/>
        <w:rPr>
          <w:bCs/>
        </w:rPr>
      </w:pPr>
      <w:r>
        <w:rPr/>
        <w:t>Акт демонтажа</w:t>
      </w:r>
    </w:p>
    <w:p>
      <w:pPr>
        <w:pStyle w:val="Normal"/>
        <w:spacing w:lineRule="auto" w:line="240"/>
        <w:rPr>
          <w:sz w:val="22"/>
          <w:szCs w:val="22"/>
        </w:rPr>
      </w:pPr>
      <w:r>
        <w:rPr>
          <w:sz w:val="22"/>
          <w:szCs w:val="22"/>
        </w:rPr>
      </w:r>
    </w:p>
    <w:tbl>
      <w:tblPr>
        <w:tblW w:w="4800" w:type="pct"/>
        <w:jc w:val="left"/>
        <w:tblInd w:w="98" w:type="dxa"/>
        <w:tblLayout w:type="fixed"/>
        <w:tblCellMar>
          <w:top w:w="0" w:type="dxa"/>
          <w:left w:w="9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pacing w:lineRule="auto" w:line="240"/>
              <w:rPr>
                <w:b w:val="false"/>
                <w:bCs/>
              </w:rPr>
            </w:pPr>
            <w:r>
              <w:rPr>
                <w:b w:val="false"/>
              </w:rPr>
              <w:t>Акт</w:t>
            </w:r>
          </w:p>
          <w:p>
            <w:pPr>
              <w:pStyle w:val="Normal"/>
              <w:widowControl w:val="false"/>
              <w:spacing w:lineRule="auto" w:line="240"/>
              <w:jc w:val="center"/>
              <w:rPr>
                <w:sz w:val="22"/>
                <w:szCs w:val="22"/>
              </w:rPr>
            </w:pPr>
            <w:r>
              <w:rPr>
                <w:bCs/>
                <w:sz w:val="22"/>
                <w:szCs w:val="22"/>
              </w:rPr>
              <w:t>демонтажа</w:t>
            </w:r>
          </w:p>
          <w:p>
            <w:pPr>
              <w:pStyle w:val="Normal"/>
              <w:widowControl w:val="false"/>
              <w:spacing w:lineRule="auto" w:line="240"/>
              <w:rPr>
                <w:sz w:val="22"/>
                <w:szCs w:val="22"/>
              </w:rPr>
            </w:pPr>
            <w:r>
              <w:rPr>
                <w:sz w:val="22"/>
                <w:szCs w:val="22"/>
              </w:rPr>
              <w:t>г.___________                                                                                               «_____» _________20_г.</w:t>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spacing w:lineRule="auto" w:line="24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rPr>
                <w:sz w:val="22"/>
                <w:szCs w:val="22"/>
              </w:rPr>
            </w:pPr>
            <w:r>
              <w:rPr>
                <w:sz w:val="22"/>
                <w:szCs w:val="22"/>
              </w:rPr>
              <w:t>Подрядчик осуществил демонтаж следующего имущества (оборудования) Заказчика по Договору подряда №______ от _____________:</w:t>
            </w:r>
          </w:p>
          <w:tbl>
            <w:tblPr>
              <w:tblW w:w="9514" w:type="dxa"/>
              <w:jc w:val="left"/>
              <w:tblInd w:w="0" w:type="dxa"/>
              <w:tblLayout w:type="fixed"/>
              <w:tblCellMar>
                <w:top w:w="0" w:type="dxa"/>
                <w:left w:w="98" w:type="dxa"/>
                <w:bottom w:w="0" w:type="dxa"/>
                <w:right w:w="108" w:type="dxa"/>
              </w:tblCellMar>
              <w:tblLook w:val="04a0" w:noHBand="0" w:noVBand="1" w:firstColumn="1" w:lastRow="0" w:lastColumn="0" w:firstRow="1"/>
            </w:tblPr>
            <w:tblGrid>
              <w:gridCol w:w="1115"/>
              <w:gridCol w:w="1858"/>
              <w:gridCol w:w="1858"/>
              <w:gridCol w:w="2444"/>
              <w:gridCol w:w="2239"/>
            </w:tblGrid>
            <w:tr>
              <w:trPr/>
              <w:tc>
                <w:tcPr>
                  <w:tcW w:w="111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w:t>
                  </w:r>
                  <w:r>
                    <w:rPr>
                      <w:bCs/>
                      <w:i/>
                      <w:sz w:val="22"/>
                      <w:szCs w:val="22"/>
                    </w:rPr>
                    <w:t>п/п</w:t>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Наименование демонтированного имущества (оборудования)</w:t>
                  </w:r>
                </w:p>
                <w:p>
                  <w:pPr>
                    <w:pStyle w:val="Normal"/>
                    <w:widowControl w:val="false"/>
                    <w:spacing w:lineRule="auto" w:line="240"/>
                    <w:jc w:val="center"/>
                    <w:rPr>
                      <w:bCs/>
                      <w:i/>
                      <w:i/>
                      <w:sz w:val="22"/>
                      <w:szCs w:val="22"/>
                    </w:rPr>
                  </w:pPr>
                  <w:r>
                    <w:rPr>
                      <w:bCs/>
                      <w:i/>
                      <w:sz w:val="22"/>
                      <w:szCs w:val="22"/>
                    </w:rPr>
                    <w:t>Заказчика</w:t>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Наименование</w:t>
                  </w:r>
                </w:p>
                <w:p>
                  <w:pPr>
                    <w:pStyle w:val="Normal"/>
                    <w:widowControl w:val="false"/>
                    <w:spacing w:lineRule="auto" w:line="240"/>
                    <w:jc w:val="center"/>
                    <w:rPr>
                      <w:bCs/>
                      <w:i/>
                      <w:i/>
                      <w:sz w:val="22"/>
                      <w:szCs w:val="22"/>
                    </w:rPr>
                  </w:pPr>
                  <w:r>
                    <w:rPr>
                      <w:bCs/>
                      <w:i/>
                      <w:sz w:val="22"/>
                      <w:szCs w:val="22"/>
                    </w:rPr>
                    <w:t>материалов после демонтажа имущества (оборудования)</w:t>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trike/>
                      <w:sz w:val="22"/>
                      <w:szCs w:val="22"/>
                    </w:rPr>
                  </w:pPr>
                  <w:r>
                    <w:rPr>
                      <w:bCs/>
                      <w:i/>
                      <w:sz w:val="22"/>
                      <w:szCs w:val="22"/>
                    </w:rPr>
                    <w:t>Характеристика материалов после демонтажа</w:t>
                  </w:r>
                </w:p>
                <w:p>
                  <w:pPr>
                    <w:pStyle w:val="Normal"/>
                    <w:widowControl w:val="false"/>
                    <w:spacing w:lineRule="auto" w:line="240"/>
                    <w:jc w:val="center"/>
                    <w:rPr>
                      <w:bCs/>
                      <w:i/>
                      <w:i/>
                      <w:sz w:val="22"/>
                      <w:szCs w:val="22"/>
                    </w:rPr>
                  </w:pPr>
                  <w:r>
                    <w:rPr>
                      <w:bCs/>
                      <w:i/>
                      <w:sz w:val="22"/>
                      <w:szCs w:val="22"/>
                    </w:rPr>
                    <w:t>(идентификационные признаки –марка, длина и др.) согласно ТЗ к Договору</w:t>
                  </w:r>
                </w:p>
              </w:tc>
              <w:tc>
                <w:tcPr>
                  <w:tcW w:w="22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jc w:val="center"/>
                    <w:rPr>
                      <w:bCs/>
                      <w:i/>
                      <w:i/>
                      <w:sz w:val="22"/>
                      <w:szCs w:val="22"/>
                    </w:rPr>
                  </w:pPr>
                  <w:r>
                    <w:rPr>
                      <w:bCs/>
                      <w:i/>
                      <w:sz w:val="22"/>
                      <w:szCs w:val="22"/>
                    </w:rPr>
                    <w:t>Местонахождение склада</w:t>
                  </w:r>
                </w:p>
                <w:p>
                  <w:pPr>
                    <w:pStyle w:val="Normal"/>
                    <w:widowControl w:val="false"/>
                    <w:spacing w:lineRule="auto" w:line="240"/>
                    <w:jc w:val="center"/>
                    <w:rPr>
                      <w:bCs/>
                      <w:i/>
                      <w:i/>
                      <w:sz w:val="22"/>
                      <w:szCs w:val="22"/>
                    </w:rPr>
                  </w:pPr>
                  <w:r>
                    <w:rPr>
                      <w:bCs/>
                      <w:i/>
                      <w:sz w:val="22"/>
                      <w:szCs w:val="22"/>
                    </w:rPr>
                    <w:t>до передачи материалов после демонтажа на склад Заказчику</w:t>
                  </w:r>
                </w:p>
                <w:p>
                  <w:pPr>
                    <w:pStyle w:val="Normal"/>
                    <w:widowControl w:val="false"/>
                    <w:spacing w:lineRule="auto" w:line="240"/>
                    <w:jc w:val="center"/>
                    <w:rPr>
                      <w:bCs/>
                      <w:i/>
                      <w:i/>
                      <w:sz w:val="22"/>
                      <w:szCs w:val="22"/>
                    </w:rPr>
                  </w:pPr>
                  <w:r>
                    <w:rPr>
                      <w:bCs/>
                      <w:i/>
                      <w:sz w:val="22"/>
                      <w:szCs w:val="22"/>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r>
            <w:tr>
              <w:trPr/>
              <w:tc>
                <w:tcPr>
                  <w:tcW w:w="111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c>
                <w:tcPr>
                  <w:tcW w:w="18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4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rPr>
                      <w:bCs/>
                      <w:sz w:val="22"/>
                      <w:szCs w:val="22"/>
                    </w:rPr>
                  </w:pPr>
                  <w:r>
                    <w:rPr>
                      <w:bCs/>
                      <w:sz w:val="22"/>
                      <w:szCs w:val="22"/>
                    </w:rPr>
                  </w:r>
                </w:p>
              </w:tc>
              <w:tc>
                <w:tcPr>
                  <w:tcW w:w="223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rPr>
                      <w:bCs/>
                      <w:sz w:val="22"/>
                      <w:szCs w:val="22"/>
                    </w:rPr>
                  </w:pPr>
                  <w:r>
                    <w:rPr>
                      <w:bCs/>
                      <w:sz w:val="22"/>
                      <w:szCs w:val="22"/>
                    </w:rPr>
                  </w:r>
                </w:p>
              </w:tc>
            </w:tr>
          </w:tbl>
          <w:p>
            <w:pPr>
              <w:pStyle w:val="Normal"/>
              <w:widowControl w:val="false"/>
              <w:spacing w:lineRule="auto" w:line="240"/>
              <w:rPr>
                <w:bCs/>
                <w:sz w:val="22"/>
                <w:szCs w:val="22"/>
              </w:rPr>
            </w:pPr>
            <w:r>
              <w:rPr>
                <w:bCs/>
                <w:sz w:val="22"/>
                <w:szCs w:val="22"/>
              </w:rPr>
            </w:r>
          </w:p>
          <w:p>
            <w:pPr>
              <w:pStyle w:val="Normal"/>
              <w:widowControl w:val="false"/>
              <w:spacing w:lineRule="auto" w:line="240"/>
              <w:rPr>
                <w:bCs/>
                <w:sz w:val="22"/>
                <w:szCs w:val="22"/>
              </w:rPr>
            </w:pPr>
            <w:r>
              <w:rPr>
                <w:bCs/>
                <w:sz w:val="22"/>
                <w:szCs w:val="22"/>
              </w:rPr>
              <w:t xml:space="preserve">Факт демонтажа имущества (оборудования) соответствует условиям Договора и подтверждается </w:t>
            </w:r>
            <w:r>
              <w:rPr>
                <w:sz w:val="22"/>
                <w:szCs w:val="22"/>
              </w:rPr>
              <w:t>Заказчиком</w:t>
            </w:r>
            <w:r>
              <w:rPr>
                <w:bCs/>
                <w:sz w:val="22"/>
                <w:szCs w:val="22"/>
              </w:rPr>
              <w:t>.</w:t>
            </w:r>
          </w:p>
          <w:p>
            <w:pPr>
              <w:pStyle w:val="Normal"/>
              <w:widowControl w:val="false"/>
              <w:spacing w:lineRule="auto" w:line="240"/>
              <w:rPr>
                <w:bCs/>
                <w:sz w:val="22"/>
                <w:szCs w:val="22"/>
              </w:rPr>
            </w:pPr>
            <w:r>
              <w:rPr>
                <w:bCs/>
                <w:sz w:val="22"/>
                <w:szCs w:val="22"/>
              </w:rPr>
              <w:t>Претензии к Подрядчику к демонтированному имуществу у Заказчика отсутствуют.</w:t>
            </w:r>
          </w:p>
          <w:p>
            <w:pPr>
              <w:pStyle w:val="Normal"/>
              <w:widowControl w:val="false"/>
              <w:spacing w:lineRule="auto" w:line="240"/>
              <w:rPr>
                <w:bCs/>
                <w:i/>
                <w:i/>
                <w:sz w:val="22"/>
                <w:szCs w:val="22"/>
                <w:highlight w:val="lightGray"/>
              </w:rPr>
            </w:pPr>
            <w:r>
              <w:rPr>
                <w:bCs/>
                <w:i/>
                <w:sz w:val="22"/>
                <w:szCs w:val="22"/>
                <w:highlight w:val="lightGray"/>
              </w:rPr>
              <w:t>либо</w:t>
            </w:r>
          </w:p>
          <w:p>
            <w:pPr>
              <w:pStyle w:val="Normal"/>
              <w:widowControl w:val="false"/>
              <w:spacing w:lineRule="auto" w:line="240"/>
              <w:rPr>
                <w:bCs/>
                <w:sz w:val="22"/>
                <w:szCs w:val="22"/>
                <w:highlight w:val="lightGray"/>
              </w:rPr>
            </w:pPr>
            <w:r>
              <w:rPr>
                <w:bCs/>
                <w:sz w:val="22"/>
                <w:szCs w:val="22"/>
                <w:highlight w:val="lightGray"/>
              </w:rPr>
              <w:t>Заказчиком установлены следующие замечания к Подрядчику по демонтированному имуществу:</w:t>
            </w:r>
          </w:p>
          <w:p>
            <w:pPr>
              <w:pStyle w:val="Normal"/>
              <w:widowControl w:val="false"/>
              <w:spacing w:lineRule="auto" w:line="240"/>
              <w:rPr>
                <w:bCs/>
                <w:sz w:val="22"/>
                <w:szCs w:val="22"/>
                <w:highlight w:val="lightGray"/>
              </w:rPr>
            </w:pPr>
            <w:r>
              <w:rPr>
                <w:bCs/>
                <w:sz w:val="22"/>
                <w:szCs w:val="22"/>
                <w:highlight w:val="lightGray"/>
              </w:rPr>
              <w:t>1._______________</w:t>
            </w:r>
          </w:p>
          <w:p>
            <w:pPr>
              <w:pStyle w:val="Normal"/>
              <w:widowControl w:val="false"/>
              <w:spacing w:lineRule="auto" w:line="240"/>
              <w:rPr>
                <w:bCs/>
                <w:sz w:val="22"/>
                <w:szCs w:val="22"/>
                <w:highlight w:val="lightGray"/>
              </w:rPr>
            </w:pPr>
            <w:r>
              <w:rPr>
                <w:bCs/>
                <w:sz w:val="22"/>
                <w:szCs w:val="22"/>
                <w:highlight w:val="lightGray"/>
              </w:rPr>
              <w:t>2._______________</w:t>
            </w:r>
          </w:p>
          <w:p>
            <w:pPr>
              <w:pStyle w:val="Normal"/>
              <w:widowControl w:val="false"/>
              <w:spacing w:lineRule="auto" w:line="240"/>
              <w:rPr>
                <w:bCs/>
                <w:sz w:val="22"/>
                <w:szCs w:val="22"/>
              </w:rPr>
            </w:pPr>
            <w:r>
              <w:rPr>
                <w:bCs/>
                <w:sz w:val="22"/>
                <w:szCs w:val="22"/>
                <w:highlight w:val="lightGray"/>
              </w:rPr>
              <w:t>…</w:t>
            </w:r>
          </w:p>
          <w:p>
            <w:pPr>
              <w:pStyle w:val="Normal"/>
              <w:widowControl w:val="false"/>
              <w:spacing w:lineRule="auto" w:line="240"/>
              <w:rPr>
                <w:sz w:val="22"/>
                <w:szCs w:val="22"/>
              </w:rPr>
            </w:pPr>
            <w:r>
              <w:rPr>
                <w:sz w:val="22"/>
                <w:szCs w:val="22"/>
              </w:rPr>
              <w:t>Настоящий акт составлен и подписан в 2-х экз., имеющих равную юридическую силу, по одному для каждой из сторон.</w:t>
            </w:r>
          </w:p>
          <w:p>
            <w:pPr>
              <w:pStyle w:val="Normal"/>
              <w:widowControl w:val="false"/>
              <w:spacing w:lineRule="auto" w:line="24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rPr>
                      <w:bCs/>
                      <w:sz w:val="22"/>
                      <w:szCs w:val="22"/>
                    </w:rPr>
                  </w:pPr>
                  <w:r>
                    <w:rPr>
                      <w:bCs/>
                      <w:sz w:val="22"/>
                      <w:szCs w:val="22"/>
                    </w:rPr>
                    <w:t>Заказчик:</w:t>
                  </w:r>
                </w:p>
              </w:tc>
              <w:tc>
                <w:tcPr>
                  <w:tcW w:w="4785" w:type="dxa"/>
                  <w:tcBorders/>
                  <w:shd w:fill="auto" w:val="clear"/>
                </w:tcPr>
                <w:p>
                  <w:pPr>
                    <w:pStyle w:val="Normal"/>
                    <w:widowControl w:val="false"/>
                    <w:spacing w:lineRule="auto" w:line="240"/>
                    <w:rPr>
                      <w:bCs/>
                      <w:sz w:val="22"/>
                      <w:szCs w:val="22"/>
                    </w:rPr>
                  </w:pPr>
                  <w:r>
                    <w:rPr>
                      <w:bCs/>
                      <w:sz w:val="22"/>
                      <w:szCs w:val="22"/>
                    </w:rPr>
                    <w:t>Подрядчик:</w:t>
                  </w:r>
                </w:p>
              </w:tc>
            </w:tr>
            <w:tr>
              <w:trPr/>
              <w:tc>
                <w:tcPr>
                  <w:tcW w:w="4785" w:type="dxa"/>
                  <w:tcBorders/>
                  <w:shd w:color="auto"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 /</w:t>
                  </w:r>
                </w:p>
                <w:p>
                  <w:pPr>
                    <w:pStyle w:val="Normal"/>
                    <w:widowControl w:val="false"/>
                    <w:spacing w:lineRule="auto" w:line="240"/>
                    <w:rPr>
                      <w:sz w:val="22"/>
                      <w:szCs w:val="22"/>
                    </w:rPr>
                  </w:pPr>
                  <w:r>
                    <w:rPr>
                      <w:sz w:val="22"/>
                      <w:szCs w:val="22"/>
                    </w:rPr>
                    <w:t>м.п.</w:t>
                  </w:r>
                </w:p>
              </w:tc>
              <w:tc>
                <w:tcPr>
                  <w:tcW w:w="4785" w:type="dxa"/>
                  <w:tcBorders/>
                  <w:shd w:color="auto" w:fill="auto" w:val="clear"/>
                </w:tcPr>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r>
                </w:p>
                <w:p>
                  <w:pPr>
                    <w:pStyle w:val="Normal"/>
                    <w:widowControl w:val="false"/>
                    <w:spacing w:lineRule="auto" w:line="240"/>
                    <w:rPr>
                      <w:sz w:val="22"/>
                      <w:szCs w:val="22"/>
                    </w:rPr>
                  </w:pPr>
                  <w:r>
                    <w:rPr>
                      <w:sz w:val="22"/>
                      <w:szCs w:val="22"/>
                    </w:rPr>
                    <w:t>_______________ / _______________ /</w:t>
                  </w:r>
                </w:p>
                <w:p>
                  <w:pPr>
                    <w:pStyle w:val="Normal"/>
                    <w:widowControl w:val="false"/>
                    <w:spacing w:lineRule="auto" w:line="240"/>
                    <w:rPr>
                      <w:sz w:val="22"/>
                      <w:szCs w:val="22"/>
                    </w:rPr>
                  </w:pPr>
                  <w:r>
                    <w:rPr>
                      <w:sz w:val="22"/>
                      <w:szCs w:val="22"/>
                    </w:rPr>
                    <w:t>м.п.</w:t>
                  </w:r>
                </w:p>
              </w:tc>
            </w:tr>
          </w:tbl>
          <w:p>
            <w:pPr>
              <w:pStyle w:val="Title"/>
              <w:widowControl w:val="false"/>
              <w:spacing w:lineRule="auto" w:line="240"/>
              <w:jc w:val="left"/>
              <w:rPr>
                <w:i/>
                <w:i/>
                <w:iCs/>
              </w:rPr>
            </w:pPr>
            <w:r>
              <w:rPr>
                <w:i/>
                <w:iCs/>
              </w:rPr>
            </w:r>
          </w:p>
          <w:p>
            <w:pPr>
              <w:pStyle w:val="Title"/>
              <w:widowControl w:val="false"/>
              <w:spacing w:lineRule="auto" w:line="240" w:before="0" w:after="120"/>
              <w:jc w:val="left"/>
              <w:rPr>
                <w:i/>
                <w:i/>
                <w:iCs/>
              </w:rPr>
            </w:pPr>
            <w:r>
              <w:rPr>
                <w:i/>
                <w:iCs/>
              </w:rPr>
            </w:r>
          </w:p>
        </w:tc>
      </w:tr>
    </w:tbl>
    <w:p>
      <w:pPr>
        <w:pStyle w:val="Normal"/>
        <w:spacing w:lineRule="auto" w:line="240"/>
        <w:rPr>
          <w:sz w:val="22"/>
          <w:szCs w:val="22"/>
          <w:highlight w:val="yellow"/>
        </w:rPr>
      </w:pPr>
      <w:r>
        <w:rPr>
          <w:sz w:val="22"/>
          <w:szCs w:val="22"/>
          <w:highlight w:val="yellow"/>
        </w:rPr>
      </w:r>
    </w:p>
    <w:p>
      <w:pPr>
        <w:pStyle w:val="Normal"/>
        <w:spacing w:lineRule="auto" w:line="240"/>
        <w:ind w:left="5103" w:firstLine="567"/>
        <w:rPr>
          <w:sz w:val="22"/>
          <w:szCs w:val="22"/>
        </w:rPr>
      </w:pPr>
      <w:r>
        <w:rPr>
          <w:sz w:val="22"/>
          <w:szCs w:val="22"/>
        </w:rPr>
      </w:r>
    </w:p>
    <w:p>
      <w:pPr>
        <w:pStyle w:val="Normal"/>
        <w:spacing w:lineRule="auto" w:line="240"/>
        <w:ind w:left="5103" w:firstLine="567"/>
        <w:rPr>
          <w:sz w:val="22"/>
          <w:szCs w:val="22"/>
        </w:rPr>
      </w:pPr>
      <w:r>
        <w:rPr>
          <w:sz w:val="22"/>
          <w:szCs w:val="22"/>
        </w:rPr>
      </w:r>
    </w:p>
    <w:p>
      <w:pPr>
        <w:pStyle w:val="Normal"/>
        <w:spacing w:lineRule="auto" w:line="240"/>
        <w:ind w:left="5103" w:firstLine="567"/>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jc w:val="right"/>
        <w:rPr>
          <w:sz w:val="22"/>
          <w:szCs w:val="22"/>
        </w:rPr>
      </w:pP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ind w:hanging="0"/>
        <w:rPr>
          <w:color w:val="00000A"/>
          <w:sz w:val="22"/>
          <w:szCs w:val="22"/>
        </w:rPr>
      </w:pPr>
      <w:r>
        <w:rPr>
          <w:color w:val="00000A"/>
          <w:sz w:val="22"/>
          <w:szCs w:val="22"/>
        </w:rPr>
      </w:r>
    </w:p>
    <w:p>
      <w:pPr>
        <w:pStyle w:val="Normal"/>
        <w:spacing w:lineRule="auto" w:line="240"/>
        <w:ind w:hanging="0"/>
        <w:jc w:val="left"/>
        <w:rPr>
          <w:color w:val="00000A"/>
          <w:sz w:val="22"/>
          <w:szCs w:val="22"/>
        </w:rPr>
      </w:pPr>
      <w:r>
        <w:rPr>
          <w:color w:val="00000A"/>
          <w:sz w:val="22"/>
          <w:szCs w:val="22"/>
        </w:rPr>
        <mc:AlternateContent>
          <mc:Choice Requires="wps">
            <w:drawing>
              <wp:anchor behindDoc="0" distT="0" distB="0" distL="100330" distR="107315" simplePos="0" locked="0" layoutInCell="0" allowOverlap="1" relativeHeight="2">
                <wp:simplePos x="0" y="0"/>
                <wp:positionH relativeFrom="column">
                  <wp:posOffset>-805180</wp:posOffset>
                </wp:positionH>
                <wp:positionV relativeFrom="paragraph">
                  <wp:posOffset>200660</wp:posOffset>
                </wp:positionV>
                <wp:extent cx="6180455" cy="936625"/>
                <wp:effectExtent l="0" t="0" r="0" b="0"/>
                <wp:wrapSquare wrapText="bothSides"/>
                <wp:docPr id="1" name="Врезка1"/>
                <a:graphic xmlns:a="http://schemas.openxmlformats.org/drawingml/2006/main">
                  <a:graphicData uri="http://schemas.microsoft.com/office/word/2010/wordprocessingShape">
                    <wps:wsp>
                      <wps:cNvSpPr/>
                      <wps:spPr>
                        <a:xfrm>
                          <a:off x="0" y="0"/>
                          <a:ext cx="6180480" cy="936720"/>
                        </a:xfrm>
                        <a:prstGeom prst="rect">
                          <a:avLst/>
                        </a:prstGeom>
                        <a:noFill/>
                        <a:ln w="0">
                          <a:noFill/>
                        </a:ln>
                      </wps:spPr>
                      <wps:style>
                        <a:lnRef idx="0"/>
                        <a:fillRef idx="0"/>
                        <a:effectRef idx="0"/>
                        <a:fontRef idx="minor"/>
                      </wps:style>
                      <wps:txbx>
                        <w:txbxContent>
                          <w:tbl>
                            <w:tblPr>
                              <w:tblStyle w:val="5"/>
                              <w:tblW w:w="5665" w:type="dxa"/>
                              <w:jc w:val="left"/>
                              <w:tblInd w:w="109" w:type="dxa"/>
                              <w:tblLayout w:type="fixed"/>
                              <w:tblCellMar>
                                <w:top w:w="0" w:type="dxa"/>
                                <w:left w:w="138" w:type="dxa"/>
                                <w:bottom w:w="0" w:type="dxa"/>
                                <w:right w:w="108" w:type="dxa"/>
                              </w:tblCellMar>
                              <w:tblLook w:val="04a0" w:noHBand="0" w:noVBand="1" w:firstColumn="1" w:lastRow="0" w:lastColumn="0" w:firstRow="1"/>
                            </w:tblPr>
                            <w:tblGrid>
                              <w:gridCol w:w="5665"/>
                            </w:tblGrid>
                            <w:tr>
                              <w:trPr/>
                              <w:tc>
                                <w:tcPr>
                                  <w:tcW w:w="5665" w:type="dxa"/>
                                  <w:tcBorders/>
                                  <w:shd w:fill="auto" w:val="clear"/>
                                </w:tcPr>
                                <w:p>
                                  <w:pPr>
                                    <w:pStyle w:val="Normal"/>
                                    <w:widowControl w:val="false"/>
                                    <w:tabs>
                                      <w:tab w:val="clear" w:pos="708"/>
                                      <w:tab w:val="left" w:pos="3765" w:leader="none"/>
                                    </w:tabs>
                                    <w:spacing w:lineRule="auto" w:line="240"/>
                                    <w:ind w:hanging="0"/>
                                    <w:jc w:val="left"/>
                                    <w:rPr>
                                      <w:b/>
                                      <w:bCs/>
                                      <w:color w:val="00000A"/>
                                      <w:spacing w:val="14"/>
                                      <w:sz w:val="20"/>
                                      <w:szCs w:val="20"/>
                                    </w:rPr>
                                  </w:pPr>
                                  <w:r>
                                    <w:rPr>
                                      <w:b/>
                                      <w:bCs/>
                                      <w:color w:val="00000A"/>
                                      <w:spacing w:val="14"/>
                                      <w:sz w:val="20"/>
                                      <w:szCs w:val="20"/>
                                    </w:rPr>
                                  </w:r>
                                </w:p>
                                <w:p>
                                  <w:pPr>
                                    <w:pStyle w:val="Normal"/>
                                    <w:widowControl w:val="false"/>
                                    <w:tabs>
                                      <w:tab w:val="clear" w:pos="708"/>
                                      <w:tab w:val="left" w:pos="3765" w:leader="none"/>
                                    </w:tabs>
                                    <w:spacing w:lineRule="auto" w:line="240"/>
                                    <w:ind w:firstLine="567"/>
                                    <w:jc w:val="center"/>
                                    <w:rPr>
                                      <w:sz w:val="20"/>
                                      <w:szCs w:val="20"/>
                                    </w:rPr>
                                  </w:pPr>
                                  <w:r>
                                    <w:rPr>
                                      <w:b/>
                                      <w:bCs/>
                                      <w:color w:val="00000A"/>
                                      <w:spacing w:val="14"/>
                                      <w:sz w:val="20"/>
                                      <w:szCs w:val="20"/>
                                    </w:rPr>
                                    <w:t>АКТ</w:t>
                                  </w:r>
                                  <w:r>
                                    <w:rPr>
                                      <w:b/>
                                      <w:bCs/>
                                      <w:color w:val="00000A"/>
                                      <w:sz w:val="20"/>
                                      <w:szCs w:val="20"/>
                                    </w:rPr>
                                    <w:t xml:space="preserve"> № __</w:t>
                                  </w:r>
                                </w:p>
                              </w:tc>
                            </w:tr>
                            <w:tr>
                              <w:trPr/>
                              <w:tc>
                                <w:tcPr>
                                  <w:tcW w:w="5665" w:type="dxa"/>
                                  <w:tcBorders/>
                                  <w:shd w:fill="auto" w:val="clear"/>
                                </w:tcPr>
                                <w:p>
                                  <w:pPr>
                                    <w:pStyle w:val="Normal"/>
                                    <w:widowControl w:val="false"/>
                                    <w:tabs>
                                      <w:tab w:val="clear" w:pos="708"/>
                                      <w:tab w:val="left" w:pos="3765" w:leader="none"/>
                                    </w:tabs>
                                    <w:spacing w:lineRule="auto" w:line="240"/>
                                    <w:ind w:hanging="0"/>
                                    <w:jc w:val="both"/>
                                    <w:rPr>
                                      <w:sz w:val="20"/>
                                      <w:szCs w:val="20"/>
                                    </w:rPr>
                                  </w:pPr>
                                  <w:r>
                                    <w:rPr>
                                      <w:b/>
                                      <w:bCs/>
                                      <w:color w:val="00000A"/>
                                      <w:sz w:val="20"/>
                                      <w:szCs w:val="20"/>
                                    </w:rPr>
                                    <w:t>об оприходовании материальных ценностей, полученных при разборке и демонтаже основных средств подрядными организациями (форма)</w:t>
                                  </w:r>
                                </w:p>
                              </w:tc>
                            </w:tr>
                          </w:tbl>
                          <w:p>
                            <w:pPr>
                              <w:pStyle w:val="Normal"/>
                              <w:rPr>
                                <w:color w:val="000000"/>
                              </w:rPr>
                            </w:pPr>
                            <w:r>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63.4pt;margin-top:15.8pt;width:486.6pt;height:73.7pt;mso-wrap-style:none;v-text-anchor:middle">
                <v:fill o:detectmouseclick="t" on="false"/>
                <v:stroke color="#3465a4" joinstyle="round" endcap="flat"/>
                <v:textbox>
                  <w:txbxContent>
                    <w:tbl>
                      <w:tblPr>
                        <w:tblStyle w:val="5"/>
                        <w:tblW w:w="5665" w:type="dxa"/>
                        <w:jc w:val="left"/>
                        <w:tblInd w:w="109" w:type="dxa"/>
                        <w:tblLayout w:type="fixed"/>
                        <w:tblCellMar>
                          <w:top w:w="0" w:type="dxa"/>
                          <w:left w:w="138" w:type="dxa"/>
                          <w:bottom w:w="0" w:type="dxa"/>
                          <w:right w:w="108" w:type="dxa"/>
                        </w:tblCellMar>
                        <w:tblLook w:val="04a0" w:noHBand="0" w:noVBand="1" w:firstColumn="1" w:lastRow="0" w:lastColumn="0" w:firstRow="1"/>
                      </w:tblPr>
                      <w:tblGrid>
                        <w:gridCol w:w="5665"/>
                      </w:tblGrid>
                      <w:tr>
                        <w:trPr/>
                        <w:tc>
                          <w:tcPr>
                            <w:tcW w:w="5665" w:type="dxa"/>
                            <w:tcBorders/>
                            <w:shd w:fill="auto" w:val="clear"/>
                          </w:tcPr>
                          <w:p>
                            <w:pPr>
                              <w:pStyle w:val="Normal"/>
                              <w:widowControl w:val="false"/>
                              <w:tabs>
                                <w:tab w:val="clear" w:pos="708"/>
                                <w:tab w:val="left" w:pos="3765" w:leader="none"/>
                              </w:tabs>
                              <w:spacing w:lineRule="auto" w:line="240"/>
                              <w:ind w:hanging="0"/>
                              <w:jc w:val="left"/>
                              <w:rPr>
                                <w:b/>
                                <w:bCs/>
                                <w:color w:val="00000A"/>
                                <w:spacing w:val="14"/>
                                <w:sz w:val="20"/>
                                <w:szCs w:val="20"/>
                              </w:rPr>
                            </w:pPr>
                            <w:r>
                              <w:rPr>
                                <w:b/>
                                <w:bCs/>
                                <w:color w:val="00000A"/>
                                <w:spacing w:val="14"/>
                                <w:sz w:val="20"/>
                                <w:szCs w:val="20"/>
                              </w:rPr>
                            </w:r>
                          </w:p>
                          <w:p>
                            <w:pPr>
                              <w:pStyle w:val="Normal"/>
                              <w:widowControl w:val="false"/>
                              <w:tabs>
                                <w:tab w:val="clear" w:pos="708"/>
                                <w:tab w:val="left" w:pos="3765" w:leader="none"/>
                              </w:tabs>
                              <w:spacing w:lineRule="auto" w:line="240"/>
                              <w:ind w:firstLine="567"/>
                              <w:jc w:val="center"/>
                              <w:rPr>
                                <w:sz w:val="20"/>
                                <w:szCs w:val="20"/>
                              </w:rPr>
                            </w:pPr>
                            <w:r>
                              <w:rPr>
                                <w:b/>
                                <w:bCs/>
                                <w:color w:val="00000A"/>
                                <w:spacing w:val="14"/>
                                <w:sz w:val="20"/>
                                <w:szCs w:val="20"/>
                              </w:rPr>
                              <w:t>АКТ</w:t>
                            </w:r>
                            <w:r>
                              <w:rPr>
                                <w:b/>
                                <w:bCs/>
                                <w:color w:val="00000A"/>
                                <w:sz w:val="20"/>
                                <w:szCs w:val="20"/>
                              </w:rPr>
                              <w:t xml:space="preserve"> № __</w:t>
                            </w:r>
                          </w:p>
                        </w:tc>
                      </w:tr>
                      <w:tr>
                        <w:trPr/>
                        <w:tc>
                          <w:tcPr>
                            <w:tcW w:w="5665" w:type="dxa"/>
                            <w:tcBorders/>
                            <w:shd w:fill="auto" w:val="clear"/>
                          </w:tcPr>
                          <w:p>
                            <w:pPr>
                              <w:pStyle w:val="Normal"/>
                              <w:widowControl w:val="false"/>
                              <w:tabs>
                                <w:tab w:val="clear" w:pos="708"/>
                                <w:tab w:val="left" w:pos="3765" w:leader="none"/>
                              </w:tabs>
                              <w:spacing w:lineRule="auto" w:line="240"/>
                              <w:ind w:hanging="0"/>
                              <w:jc w:val="both"/>
                              <w:rPr>
                                <w:sz w:val="20"/>
                                <w:szCs w:val="20"/>
                              </w:rPr>
                            </w:pPr>
                            <w:r>
                              <w:rPr>
                                <w:b/>
                                <w:bCs/>
                                <w:color w:val="00000A"/>
                                <w:sz w:val="20"/>
                                <w:szCs w:val="20"/>
                              </w:rPr>
                              <w:t>об оприходовании материальных ценностей, полученных при разборке и демонтаже основных средств подрядными организациями (форма)</w:t>
                            </w:r>
                          </w:p>
                        </w:tc>
                      </w:tr>
                    </w:tbl>
                    <w:p>
                      <w:pPr>
                        <w:pStyle w:val="Normal"/>
                        <w:rPr>
                          <w:color w:val="000000"/>
                        </w:rPr>
                      </w:pPr>
                      <w:r>
                        <w:rPr/>
                      </w:r>
                    </w:p>
                  </w:txbxContent>
                </v:textbox>
                <w10:wrap type="square"/>
              </v:rect>
            </w:pict>
          </mc:Fallback>
        </mc:AlternateContent>
      </w:r>
    </w:p>
    <w:tbl>
      <w:tblPr>
        <w:tblW w:w="4372"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1131"/>
        <w:gridCol w:w="362"/>
        <w:gridCol w:w="1639"/>
        <w:gridCol w:w="1240"/>
      </w:tblGrid>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A"/>
                <w:sz w:val="16"/>
                <w:szCs w:val="16"/>
              </w:rPr>
            </w:pPr>
            <w:r>
              <w:rPr>
                <w:color w:val="00000A"/>
                <w:sz w:val="16"/>
                <w:szCs w:val="16"/>
              </w:rPr>
            </w:r>
          </w:p>
        </w:tc>
        <w:tc>
          <w:tcPr>
            <w:tcW w:w="2001" w:type="dxa"/>
            <w:gridSpan w:val="2"/>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p>
            <w:pPr>
              <w:pStyle w:val="Normal"/>
              <w:widowControl w:val="false"/>
              <w:spacing w:lineRule="auto" w:line="240"/>
              <w:ind w:hanging="0"/>
              <w:jc w:val="left"/>
              <w:rPr>
                <w:color w:val="000000"/>
                <w:sz w:val="16"/>
                <w:szCs w:val="16"/>
              </w:rPr>
            </w:pPr>
            <w:r>
              <w:rPr>
                <w:color w:val="000000"/>
                <w:sz w:val="16"/>
                <w:szCs w:val="16"/>
              </w:rPr>
            </w:r>
          </w:p>
          <w:p>
            <w:pPr>
              <w:pStyle w:val="Normal"/>
              <w:widowControl w:val="false"/>
              <w:spacing w:lineRule="auto" w:line="240"/>
              <w:ind w:hanging="0"/>
              <w:jc w:val="left"/>
              <w:rPr>
                <w:sz w:val="16"/>
                <w:szCs w:val="16"/>
              </w:rPr>
            </w:pPr>
            <w:r>
              <w:rPr>
                <w:color w:val="000000"/>
                <w:sz w:val="16"/>
                <w:szCs w:val="16"/>
              </w:rPr>
              <w:t>УТВЕРЖДАЮ</w:t>
            </w:r>
          </w:p>
        </w:tc>
        <w:tc>
          <w:tcPr>
            <w:tcW w:w="1240"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r>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A"/>
                <w:sz w:val="16"/>
                <w:szCs w:val="16"/>
              </w:rPr>
            </w:pPr>
            <w:r>
              <w:rPr>
                <w:color w:val="00000A"/>
                <w:sz w:val="16"/>
                <w:szCs w:val="16"/>
              </w:rPr>
            </w:r>
          </w:p>
        </w:tc>
        <w:tc>
          <w:tcPr>
            <w:tcW w:w="3241" w:type="dxa"/>
            <w:gridSpan w:val="3"/>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__________________</w:t>
            </w:r>
          </w:p>
        </w:tc>
      </w:tr>
      <w:tr>
        <w:trPr>
          <w:trHeight w:val="300" w:hRule="atLeast"/>
        </w:trPr>
        <w:tc>
          <w:tcPr>
            <w:tcW w:w="1131"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c>
          <w:tcPr>
            <w:tcW w:w="2001" w:type="dxa"/>
            <w:gridSpan w:val="2"/>
            <w:tcBorders/>
            <w:shd w:color="auto" w:fill="auto" w:val="clear"/>
            <w:vAlign w:val="bottom"/>
          </w:tcPr>
          <w:p>
            <w:pPr>
              <w:pStyle w:val="Normal"/>
              <w:widowControl w:val="false"/>
              <w:tabs>
                <w:tab w:val="clear" w:pos="708"/>
                <w:tab w:val="left" w:pos="-106" w:leader="none"/>
              </w:tabs>
              <w:spacing w:lineRule="auto" w:line="240"/>
              <w:ind w:left="-247" w:firstLine="247"/>
              <w:jc w:val="center"/>
              <w:rPr>
                <w:sz w:val="16"/>
                <w:szCs w:val="16"/>
              </w:rPr>
            </w:pPr>
            <w:r>
              <w:rPr>
                <w:color w:val="000000"/>
                <w:sz w:val="16"/>
                <w:szCs w:val="16"/>
              </w:rPr>
              <w:t>должность</w:t>
            </w:r>
          </w:p>
        </w:tc>
        <w:tc>
          <w:tcPr>
            <w:tcW w:w="1240" w:type="dxa"/>
            <w:tcBorders/>
            <w:shd w:color="auto" w:fill="auto" w:val="clear"/>
            <w:vAlign w:val="bottom"/>
          </w:tcPr>
          <w:p>
            <w:pPr>
              <w:pStyle w:val="Normal"/>
              <w:widowControl w:val="false"/>
              <w:spacing w:lineRule="auto" w:line="240"/>
              <w:ind w:hanging="0"/>
              <w:jc w:val="center"/>
              <w:rPr>
                <w:color w:val="000000"/>
                <w:sz w:val="16"/>
                <w:szCs w:val="16"/>
              </w:rPr>
            </w:pPr>
            <w:r>
              <w:rPr>
                <w:color w:val="000000"/>
                <w:sz w:val="16"/>
                <w:szCs w:val="16"/>
              </w:rPr>
            </w:r>
          </w:p>
        </w:tc>
      </w:tr>
      <w:tr>
        <w:trPr>
          <w:trHeight w:val="390" w:hRule="atLeast"/>
        </w:trPr>
        <w:tc>
          <w:tcPr>
            <w:tcW w:w="1493"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w:t>
            </w:r>
          </w:p>
        </w:tc>
        <w:tc>
          <w:tcPr>
            <w:tcW w:w="2879"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_______________</w:t>
            </w:r>
          </w:p>
        </w:tc>
      </w:tr>
      <w:tr>
        <w:trPr>
          <w:trHeight w:val="300" w:hRule="atLeast"/>
        </w:trPr>
        <w:tc>
          <w:tcPr>
            <w:tcW w:w="1493"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(подпись)</w:t>
            </w:r>
          </w:p>
        </w:tc>
        <w:tc>
          <w:tcPr>
            <w:tcW w:w="2879" w:type="dxa"/>
            <w:gridSpan w:val="2"/>
            <w:tcBorders/>
            <w:shd w:color="auto" w:fill="auto" w:val="clear"/>
            <w:vAlign w:val="bottom"/>
          </w:tcPr>
          <w:p>
            <w:pPr>
              <w:pStyle w:val="Normal"/>
              <w:widowControl w:val="false"/>
              <w:spacing w:lineRule="auto" w:line="240"/>
              <w:ind w:hanging="0"/>
              <w:jc w:val="center"/>
              <w:rPr>
                <w:sz w:val="16"/>
                <w:szCs w:val="16"/>
              </w:rPr>
            </w:pPr>
            <w:r>
              <w:rPr>
                <w:color w:val="000000"/>
                <w:sz w:val="16"/>
                <w:szCs w:val="16"/>
              </w:rPr>
              <w:t>(расшифровка)</w:t>
            </w:r>
          </w:p>
        </w:tc>
      </w:tr>
      <w:tr>
        <w:trPr>
          <w:trHeight w:val="585" w:hRule="atLeast"/>
        </w:trPr>
        <w:tc>
          <w:tcPr>
            <w:tcW w:w="1131" w:type="dxa"/>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w:t>
            </w:r>
          </w:p>
        </w:tc>
        <w:tc>
          <w:tcPr>
            <w:tcW w:w="362" w:type="dxa"/>
            <w:tcBorders/>
            <w:shd w:color="auto" w:fill="auto" w:val="clear"/>
            <w:vAlign w:val="bottom"/>
          </w:tcPr>
          <w:p>
            <w:pPr>
              <w:pStyle w:val="Normal"/>
              <w:widowControl w:val="false"/>
              <w:spacing w:lineRule="auto" w:line="240"/>
              <w:ind w:hanging="0"/>
              <w:jc w:val="left"/>
              <w:rPr>
                <w:color w:val="000000"/>
                <w:sz w:val="16"/>
                <w:szCs w:val="16"/>
              </w:rPr>
            </w:pPr>
            <w:r>
              <w:rPr>
                <w:color w:val="000000"/>
                <w:sz w:val="16"/>
                <w:szCs w:val="16"/>
              </w:rPr>
            </w:r>
          </w:p>
        </w:tc>
        <w:tc>
          <w:tcPr>
            <w:tcW w:w="2879" w:type="dxa"/>
            <w:gridSpan w:val="2"/>
            <w:tcBorders/>
            <w:shd w:color="auto" w:fill="auto" w:val="clear"/>
            <w:vAlign w:val="bottom"/>
          </w:tcPr>
          <w:p>
            <w:pPr>
              <w:pStyle w:val="Normal"/>
              <w:widowControl w:val="false"/>
              <w:spacing w:lineRule="auto" w:line="240"/>
              <w:ind w:hanging="0"/>
              <w:jc w:val="left"/>
              <w:rPr>
                <w:sz w:val="16"/>
                <w:szCs w:val="16"/>
              </w:rPr>
            </w:pPr>
            <w:r>
              <w:rPr>
                <w:color w:val="000000"/>
                <w:sz w:val="16"/>
                <w:szCs w:val="16"/>
              </w:rPr>
              <w:t>___________ 20___Г.</w:t>
            </w:r>
          </w:p>
        </w:tc>
      </w:tr>
    </w:tbl>
    <w:p>
      <w:pPr>
        <w:pStyle w:val="Normal"/>
        <w:spacing w:lineRule="auto" w:line="240"/>
        <w:ind w:hanging="0"/>
        <w:jc w:val="left"/>
        <w:rPr>
          <w:color w:val="00000A"/>
          <w:sz w:val="22"/>
          <w:szCs w:val="22"/>
        </w:rPr>
      </w:pPr>
      <w:r>
        <w:rPr>
          <w:color w:val="00000A"/>
          <w:sz w:val="22"/>
          <w:szCs w:val="22"/>
        </w:rPr>
      </w:r>
    </w:p>
    <w:tbl>
      <w:tblPr>
        <w:tblStyle w:val="41"/>
        <w:tblW w:w="10774" w:type="dxa"/>
        <w:jc w:val="left"/>
        <w:tblInd w:w="-993" w:type="dxa"/>
        <w:tblLayout w:type="fixed"/>
        <w:tblCellMar>
          <w:top w:w="0" w:type="dxa"/>
          <w:left w:w="113" w:type="dxa"/>
          <w:bottom w:w="0" w:type="dxa"/>
          <w:right w:w="108" w:type="dxa"/>
        </w:tblCellMar>
        <w:tblLook w:val="04a0" w:noHBand="0" w:noVBand="1" w:firstColumn="1" w:lastRow="0" w:lastColumn="0" w:firstRow="1"/>
      </w:tblPr>
      <w:tblGrid>
        <w:gridCol w:w="1428"/>
        <w:gridCol w:w="1431"/>
        <w:gridCol w:w="1251"/>
        <w:gridCol w:w="3"/>
        <w:gridCol w:w="3272"/>
        <w:gridCol w:w="608"/>
        <w:gridCol w:w="4"/>
        <w:gridCol w:w="1785"/>
        <w:gridCol w:w="11"/>
        <w:gridCol w:w="980"/>
      </w:tblGrid>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6569" w:type="dxa"/>
            <w:gridSpan w:val="6"/>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4" w:space="0" w:color="00000A"/>
              <w:right w:val="single" w:sz="4" w:space="0" w:color="00000A"/>
            </w:tcBorders>
            <w:shd w:fill="auto" w:val="clear"/>
            <w:tcMar>
              <w:left w:w="13"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80" w:type="dxa"/>
            <w:tcBorders>
              <w:top w:val="single" w:sz="4" w:space="0" w:color="00000A"/>
              <w:left w:val="single" w:sz="4" w:space="0" w:color="00000A"/>
              <w:bottom w:val="single" w:sz="12" w:space="0" w:color="00000A"/>
              <w:right w:val="single" w:sz="4" w:space="0" w:color="00000A"/>
            </w:tcBorders>
            <w:shd w:fill="auto" w:val="clear"/>
            <w:tcMar>
              <w:left w:w="8"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Коды</w:t>
            </w:r>
          </w:p>
        </w:tc>
      </w:tr>
      <w:tr>
        <w:trPr>
          <w:trHeight w:val="264"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5957" w:type="dxa"/>
            <w:gridSpan w:val="4"/>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2408" w:type="dxa"/>
            <w:gridSpan w:val="4"/>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 xml:space="preserve">           </w:t>
            </w:r>
            <w:r>
              <w:rPr>
                <w:rFonts w:eastAsia="Times New Roman" w:cs="Times New Roman"/>
                <w:color w:val="00000A"/>
                <w:sz w:val="22"/>
                <w:szCs w:val="22"/>
                <w:lang w:val="x-none" w:eastAsia="x-none" w:bidi="ar-SA"/>
              </w:rPr>
              <w:t>Форма по    ОКУД</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Организация</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color w:val="00000A"/>
                <w:sz w:val="22"/>
                <w:szCs w:val="22"/>
              </w:rPr>
            </w:pPr>
            <w:r>
              <w:rPr>
                <w:color w:val="00000A"/>
                <w:sz w:val="22"/>
                <w:szCs w:val="22"/>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64"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Заказчик</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lang w:val="x-none" w:eastAsia="x-none" w:bidi="ar-SA"/>
              </w:rPr>
            </w:pPr>
            <w:r>
              <w:rPr>
                <w:rFonts w:eastAsia="Times New Roman" w:cs="Times New Roman"/>
                <w:color w:val="00000A"/>
                <w:sz w:val="18"/>
                <w:szCs w:val="18"/>
                <w:lang w:val="x-none" w:eastAsia="x-none" w:bidi="ar-SA"/>
              </w:rPr>
              <w:t>Подрядчик</w:t>
            </w:r>
          </w:p>
        </w:tc>
        <w:tc>
          <w:tcPr>
            <w:tcW w:w="6569"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96" w:type="dxa"/>
            <w:gridSpan w:val="2"/>
            <w:tcBorders>
              <w:left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 xml:space="preserve">            </w:t>
            </w:r>
            <w:r>
              <w:rPr>
                <w:rFonts w:eastAsia="Times New Roman" w:cs="Times New Roman"/>
                <w:color w:val="00000A"/>
                <w:sz w:val="18"/>
                <w:szCs w:val="18"/>
                <w:lang w:val="x-none" w:eastAsia="x-none" w:bidi="ar-SA"/>
              </w:rPr>
              <w:t>по ОКПО</w:t>
            </w:r>
          </w:p>
        </w:tc>
        <w:tc>
          <w:tcPr>
            <w:tcW w:w="980" w:type="dxa"/>
            <w:tcBorders>
              <w:top w:val="single" w:sz="12" w:space="0" w:color="00000A"/>
              <w:left w:val="single" w:sz="12" w:space="0" w:color="00000A"/>
              <w:bottom w:val="single" w:sz="12" w:space="0" w:color="00000A"/>
              <w:right w:val="single" w:sz="12" w:space="0" w:color="00000A"/>
            </w:tcBorders>
            <w:shd w:fill="auto" w:val="clear"/>
            <w:tcMar>
              <w:left w:w="0" w:type="dxa"/>
            </w:tcM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64" w:hRule="atLeast"/>
        </w:trPr>
        <w:tc>
          <w:tcPr>
            <w:tcW w:w="4110" w:type="dxa"/>
            <w:gridSpan w:val="3"/>
            <w:tcBorders/>
            <w:shd w:fill="auto" w:val="clea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18"/>
                <w:szCs w:val="18"/>
                <w:lang w:val="x-none" w:eastAsia="x-none" w:bidi="ar-SA"/>
              </w:rPr>
              <w:t>С привлечением оценочных организаций</w:t>
            </w:r>
          </w:p>
        </w:tc>
        <w:tc>
          <w:tcPr>
            <w:tcW w:w="3883" w:type="dxa"/>
            <w:gridSpan w:val="3"/>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89" w:type="dxa"/>
            <w:gridSpan w:val="2"/>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91" w:type="dxa"/>
            <w:gridSpan w:val="2"/>
            <w:tcBorders>
              <w:top w:val="single" w:sz="12"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251" w:hRule="atLeast"/>
        </w:trPr>
        <w:tc>
          <w:tcPr>
            <w:tcW w:w="1428" w:type="dxa"/>
            <w:tcBorders/>
            <w:shd w:fill="auto" w:val="clea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b/>
                <w:color w:val="00000A"/>
                <w:sz w:val="18"/>
                <w:szCs w:val="18"/>
                <w:lang w:val="x-none" w:eastAsia="x-none" w:bidi="ar-SA"/>
              </w:rPr>
              <w:t>Договор №</w:t>
            </w:r>
          </w:p>
        </w:tc>
        <w:tc>
          <w:tcPr>
            <w:tcW w:w="1431" w:type="dxa"/>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254" w:type="dxa"/>
            <w:gridSpan w:val="2"/>
            <w:tcBorders/>
            <w:shd w:fill="auto" w:val="clea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b/>
                <w:color w:val="00000A"/>
                <w:sz w:val="18"/>
                <w:szCs w:val="18"/>
                <w:lang w:val="x-none" w:eastAsia="x-none" w:bidi="ar-SA"/>
              </w:rPr>
              <w:t>Объект</w:t>
            </w:r>
          </w:p>
        </w:tc>
        <w:tc>
          <w:tcPr>
            <w:tcW w:w="6660" w:type="dxa"/>
            <w:gridSpan w:val="6"/>
            <w:tcBorders>
              <w:top w:val="single" w:sz="4" w:space="0" w:color="00000A"/>
              <w:bottom w:val="single" w:sz="4" w:space="0" w:color="00000A"/>
            </w:tcBorders>
            <w:shd w:fill="auto" w:val="clea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1995" w:leader="none"/>
        </w:tabs>
        <w:spacing w:lineRule="auto" w:line="240"/>
        <w:ind w:hanging="0"/>
        <w:jc w:val="left"/>
        <w:rPr>
          <w:color w:val="00000A"/>
          <w:sz w:val="22"/>
          <w:szCs w:val="22"/>
        </w:rPr>
      </w:pPr>
      <w:r>
        <w:rPr>
          <w:color w:val="00000A"/>
          <w:sz w:val="22"/>
          <w:szCs w:val="22"/>
        </w:rPr>
      </w:r>
    </w:p>
    <w:tbl>
      <w:tblPr>
        <w:tblStyle w:val="41"/>
        <w:tblW w:w="7087" w:type="dxa"/>
        <w:jc w:val="left"/>
        <w:tblInd w:w="2254" w:type="dxa"/>
        <w:tblLayout w:type="fixed"/>
        <w:tblCellMar>
          <w:top w:w="0" w:type="dxa"/>
          <w:left w:w="15" w:type="dxa"/>
          <w:bottom w:w="0" w:type="dxa"/>
          <w:right w:w="64" w:type="dxa"/>
        </w:tblCellMar>
        <w:tblLook w:val="04a0" w:noHBand="0" w:noVBand="1" w:firstColumn="1" w:lastRow="0" w:lastColumn="0" w:firstRow="1"/>
      </w:tblPr>
      <w:tblGrid>
        <w:gridCol w:w="1535"/>
        <w:gridCol w:w="1467"/>
        <w:gridCol w:w="1727"/>
        <w:gridCol w:w="1584"/>
        <w:gridCol w:w="774"/>
      </w:tblGrid>
      <w:tr>
        <w:trPr/>
        <w:tc>
          <w:tcPr>
            <w:tcW w:w="1535"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Дата</w:t>
            </w:r>
          </w:p>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составления</w:t>
            </w:r>
          </w:p>
        </w:tc>
        <w:tc>
          <w:tcPr>
            <w:tcW w:w="146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Код вида операции</w:t>
            </w:r>
          </w:p>
        </w:tc>
        <w:tc>
          <w:tcPr>
            <w:tcW w:w="172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Структурное подразделение</w:t>
            </w:r>
          </w:p>
        </w:tc>
        <w:tc>
          <w:tcPr>
            <w:tcW w:w="158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Вид</w:t>
            </w:r>
          </w:p>
          <w:p>
            <w:pPr>
              <w:pStyle w:val="Normal"/>
              <w:widowControl w:val="false"/>
              <w:tabs>
                <w:tab w:val="clear" w:pos="708"/>
                <w:tab w:val="left" w:pos="1995" w:leader="none"/>
              </w:tabs>
              <w:spacing w:lineRule="auto" w:line="240"/>
              <w:ind w:hanging="0"/>
              <w:jc w:val="both"/>
              <w:rPr>
                <w:sz w:val="24"/>
                <w:szCs w:val="24"/>
              </w:rPr>
            </w:pPr>
            <w:r>
              <w:rPr>
                <w:rFonts w:eastAsia="Times New Roman" w:cs="Times New Roman"/>
                <w:color w:val="00000A"/>
                <w:sz w:val="18"/>
                <w:szCs w:val="18"/>
                <w:lang w:val="x-none" w:eastAsia="x-none" w:bidi="ar-SA"/>
              </w:rPr>
              <w:t>деятельности</w:t>
            </w:r>
          </w:p>
        </w:tc>
        <w:tc>
          <w:tcPr>
            <w:tcW w:w="77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641" w:hRule="atLeast"/>
        </w:trPr>
        <w:tc>
          <w:tcPr>
            <w:tcW w:w="1535"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left="-539"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46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72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58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74"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tabs>
                <w:tab w:val="clear" w:pos="708"/>
                <w:tab w:val="left" w:pos="199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3765" w:leader="none"/>
        </w:tabs>
        <w:spacing w:lineRule="auto" w:line="240"/>
        <w:ind w:hanging="0"/>
        <w:jc w:val="left"/>
        <w:rPr>
          <w:color w:val="00000A"/>
          <w:sz w:val="22"/>
          <w:szCs w:val="22"/>
        </w:rPr>
      </w:pPr>
      <w:r>
        <w:rPr>
          <w:color w:val="00000A"/>
          <w:sz w:val="22"/>
          <w:szCs w:val="22"/>
        </w:rPr>
      </w:r>
    </w:p>
    <w:tbl>
      <w:tblPr>
        <w:tblStyle w:val="41"/>
        <w:tblW w:w="10638"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624"/>
        <w:gridCol w:w="900"/>
        <w:gridCol w:w="1165"/>
        <w:gridCol w:w="658"/>
        <w:gridCol w:w="1"/>
        <w:gridCol w:w="1183"/>
        <w:gridCol w:w="2"/>
        <w:gridCol w:w="851"/>
        <w:gridCol w:w="12"/>
        <w:gridCol w:w="838"/>
        <w:gridCol w:w="4"/>
        <w:gridCol w:w="1137"/>
        <w:gridCol w:w="2"/>
        <w:gridCol w:w="3"/>
        <w:gridCol w:w="836"/>
        <w:gridCol w:w="3"/>
        <w:gridCol w:w="858"/>
        <w:gridCol w:w="1"/>
        <w:gridCol w:w="850"/>
        <w:gridCol w:w="1"/>
        <w:gridCol w:w="708"/>
      </w:tblGrid>
      <w:tr>
        <w:trPr>
          <w:trHeight w:val="555" w:hRule="atLeast"/>
        </w:trPr>
        <w:tc>
          <w:tcPr>
            <w:tcW w:w="1524"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Корреспондирующий счет</w:t>
            </w:r>
          </w:p>
        </w:tc>
        <w:tc>
          <w:tcPr>
            <w:tcW w:w="1824" w:type="dxa"/>
            <w:gridSpan w:val="3"/>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Материальные ценности</w:t>
            </w:r>
          </w:p>
        </w:tc>
        <w:tc>
          <w:tcPr>
            <w:tcW w:w="1185"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Единиц</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измерений</w:t>
            </w:r>
          </w:p>
        </w:tc>
        <w:tc>
          <w:tcPr>
            <w:tcW w:w="2847" w:type="dxa"/>
            <w:gridSpan w:val="7"/>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Получено при разборке и демонтаже подрядчиком</w:t>
            </w:r>
          </w:p>
        </w:tc>
        <w:tc>
          <w:tcPr>
            <w:tcW w:w="2549" w:type="dxa"/>
            <w:gridSpan w:val="6"/>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Передано заказчику</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для повторного</w:t>
            </w:r>
          </w:p>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использования</w:t>
            </w:r>
          </w:p>
        </w:tc>
        <w:tc>
          <w:tcPr>
            <w:tcW w:w="70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rHeight w:val="1076" w:hRule="atLeast"/>
        </w:trPr>
        <w:tc>
          <w:tcPr>
            <w:tcW w:w="624"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счет. суб-счет</w:t>
            </w:r>
          </w:p>
        </w:tc>
        <w:tc>
          <w:tcPr>
            <w:tcW w:w="900"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код аналитического учета</w:t>
            </w:r>
          </w:p>
        </w:tc>
        <w:tc>
          <w:tcPr>
            <w:tcW w:w="1165"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наименование, сорт, марка, размер</w:t>
            </w:r>
          </w:p>
        </w:tc>
        <w:tc>
          <w:tcPr>
            <w:tcW w:w="658"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номенклатурный номер</w:t>
            </w:r>
          </w:p>
        </w:tc>
        <w:tc>
          <w:tcPr>
            <w:tcW w:w="1184"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наименование</w:t>
            </w:r>
          </w:p>
        </w:tc>
        <w:tc>
          <w:tcPr>
            <w:tcW w:w="853"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код</w:t>
            </w:r>
          </w:p>
        </w:tc>
        <w:tc>
          <w:tcPr>
            <w:tcW w:w="850"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количество</w:t>
            </w:r>
          </w:p>
        </w:tc>
        <w:tc>
          <w:tcPr>
            <w:tcW w:w="1141"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коэффициент годности</w:t>
            </w:r>
          </w:p>
        </w:tc>
        <w:tc>
          <w:tcPr>
            <w:tcW w:w="844" w:type="dxa"/>
            <w:gridSpan w:val="4"/>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количество</w:t>
            </w:r>
          </w:p>
        </w:tc>
        <w:tc>
          <w:tcPr>
            <w:tcW w:w="858" w:type="dxa"/>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цена, руб. коп</w:t>
            </w:r>
          </w:p>
        </w:tc>
        <w:tc>
          <w:tcPr>
            <w:tcW w:w="851" w:type="dxa"/>
            <w:gridSpan w:val="2"/>
            <w:tcBorders/>
            <w:shd w:fill="auto" w:val="clear"/>
            <w:vAlign w:val="center"/>
          </w:tcPr>
          <w:p>
            <w:pPr>
              <w:pStyle w:val="Normal"/>
              <w:widowControl w:val="false"/>
              <w:tabs>
                <w:tab w:val="clear" w:pos="708"/>
                <w:tab w:val="left" w:pos="3765" w:leader="none"/>
              </w:tabs>
              <w:spacing w:lineRule="auto" w:line="240"/>
              <w:ind w:hanging="0"/>
              <w:jc w:val="both"/>
              <w:rPr>
                <w:sz w:val="24"/>
                <w:szCs w:val="24"/>
              </w:rPr>
            </w:pPr>
            <w:r>
              <w:rPr>
                <w:rFonts w:eastAsia="Times New Roman" w:cs="Times New Roman"/>
                <w:color w:val="00000A"/>
                <w:sz w:val="18"/>
                <w:szCs w:val="18"/>
                <w:lang w:val="x-none" w:eastAsia="x-none" w:bidi="ar-SA"/>
              </w:rPr>
              <w:t>сумма руб. коп.</w:t>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c>
          <w:tcPr>
            <w:tcW w:w="624"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900"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65"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658"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84"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3"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0"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1141"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44" w:type="dxa"/>
            <w:gridSpan w:val="4"/>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8" w:type="dxa"/>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851"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c>
          <w:tcPr>
            <w:tcW w:w="709" w:type="dxa"/>
            <w:gridSpan w:val="2"/>
            <w:tcBorders/>
            <w:shd w:fill="auto" w:val="clear"/>
            <w:vAlign w:val="center"/>
          </w:tcPr>
          <w:p>
            <w:pPr>
              <w:pStyle w:val="Normal"/>
              <w:widowControl w:val="false"/>
              <w:numPr>
                <w:ilvl w:val="0"/>
                <w:numId w:val="26"/>
              </w:numPr>
              <w:tabs>
                <w:tab w:val="clear" w:pos="708"/>
                <w:tab w:val="left" w:pos="3765" w:leader="none"/>
              </w:tabs>
              <w:spacing w:lineRule="auto" w:line="240" w:before="0" w:after="0"/>
              <w:ind w:firstLine="567"/>
              <w:contextualSpacing/>
              <w:jc w:val="left"/>
              <w:rPr>
                <w:rFonts w:ascii="Times New Roman" w:hAnsi="Times New Roman" w:eastAsia="Times New Roman" w:cs="Times New Roman"/>
                <w:color w:val="00000A"/>
                <w:sz w:val="16"/>
                <w:szCs w:val="16"/>
                <w:lang w:val="x-none" w:eastAsia="x-none" w:bidi="ar-SA"/>
              </w:rPr>
            </w:pPr>
            <w:r>
              <w:rPr>
                <w:rFonts w:eastAsia="Times New Roman" w:cs="Times New Roman"/>
                <w:color w:val="00000A"/>
                <w:sz w:val="16"/>
                <w:szCs w:val="16"/>
                <w:lang w:val="x-none" w:eastAsia="x-none" w:bidi="ar-SA"/>
              </w:rPr>
            </w:r>
          </w:p>
        </w:tc>
      </w:tr>
      <w:tr>
        <w:trPr/>
        <w:tc>
          <w:tcPr>
            <w:tcW w:w="624"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900"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65"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65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84"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3"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0"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41"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44" w:type="dxa"/>
            <w:gridSpan w:val="4"/>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8"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1"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r>
        <w:trPr/>
        <w:tc>
          <w:tcPr>
            <w:tcW w:w="4533" w:type="dxa"/>
            <w:gridSpan w:val="7"/>
            <w:tcBorders/>
            <w:shd w:fill="auto" w:val="clear"/>
            <w:vAlign w:val="center"/>
          </w:tcPr>
          <w:p>
            <w:pPr>
              <w:pStyle w:val="Normal"/>
              <w:widowControl w:val="false"/>
              <w:tabs>
                <w:tab w:val="clear" w:pos="708"/>
                <w:tab w:val="left" w:pos="3765" w:leader="none"/>
              </w:tabs>
              <w:spacing w:lineRule="auto" w:line="240"/>
              <w:ind w:firstLine="567"/>
              <w:jc w:val="both"/>
              <w:rPr>
                <w:color w:val="00000A"/>
                <w:sz w:val="22"/>
                <w:szCs w:val="22"/>
              </w:rPr>
            </w:pPr>
            <w:r>
              <w:rPr>
                <w:rFonts w:eastAsia="Times New Roman" w:cs="Times New Roman"/>
                <w:color w:val="00000A"/>
                <w:sz w:val="22"/>
                <w:szCs w:val="22"/>
                <w:lang w:val="x-none" w:eastAsia="x-none" w:bidi="ar-SA"/>
              </w:rPr>
              <w:t>Итого</w:t>
            </w:r>
          </w:p>
        </w:tc>
        <w:tc>
          <w:tcPr>
            <w:tcW w:w="863"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42"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113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3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62" w:type="dxa"/>
            <w:gridSpan w:val="3"/>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850" w:type="dxa"/>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c>
          <w:tcPr>
            <w:tcW w:w="709" w:type="dxa"/>
            <w:gridSpan w:val="2"/>
            <w:tcBorders/>
            <w:shd w:fill="auto" w:val="clear"/>
            <w:vAlign w:val="center"/>
          </w:tcPr>
          <w:p>
            <w:pPr>
              <w:pStyle w:val="Normal"/>
              <w:widowControl w:val="false"/>
              <w:tabs>
                <w:tab w:val="clear" w:pos="708"/>
                <w:tab w:val="left" w:pos="3765" w:leader="none"/>
              </w:tabs>
              <w:spacing w:lineRule="auto" w:line="240"/>
              <w:ind w:firstLine="567"/>
              <w:jc w:val="both"/>
              <w:rPr>
                <w:rFonts w:ascii="Times New Roman" w:hAnsi="Times New Roman" w:eastAsia="Times New Roman" w:cs="Times New Roman"/>
                <w:color w:val="00000A"/>
                <w:sz w:val="24"/>
                <w:szCs w:val="24"/>
                <w:lang w:val="x-none" w:eastAsia="x-none" w:bidi="ar-SA"/>
              </w:rPr>
            </w:pPr>
            <w:r>
              <w:rPr>
                <w:rFonts w:eastAsia="Times New Roman" w:cs="Times New Roman"/>
                <w:color w:val="00000A"/>
                <w:sz w:val="24"/>
                <w:szCs w:val="24"/>
                <w:lang w:val="x-none" w:eastAsia="x-none" w:bidi="ar-SA"/>
              </w:rPr>
            </w:r>
          </w:p>
        </w:tc>
      </w:tr>
    </w:tbl>
    <w:p>
      <w:pPr>
        <w:pStyle w:val="Normal"/>
        <w:tabs>
          <w:tab w:val="clear" w:pos="708"/>
          <w:tab w:val="left" w:pos="1665" w:leader="none"/>
        </w:tabs>
        <w:spacing w:lineRule="auto" w:line="240"/>
        <w:ind w:hanging="0"/>
        <w:jc w:val="left"/>
        <w:rPr>
          <w:color w:val="00000A"/>
          <w:sz w:val="22"/>
          <w:szCs w:val="22"/>
        </w:rPr>
      </w:pPr>
      <w:r>
        <w:rPr>
          <w:color w:val="00000A"/>
          <w:sz w:val="22"/>
          <w:szCs w:val="22"/>
        </w:rPr>
      </w:r>
    </w:p>
    <w:tbl>
      <w:tblPr>
        <w:tblStyle w:val="130"/>
        <w:tblW w:w="11624" w:type="dxa"/>
        <w:jc w:val="left"/>
        <w:tblInd w:w="-1276" w:type="dxa"/>
        <w:tblLayout w:type="fixed"/>
        <w:tblCellMar>
          <w:top w:w="0" w:type="dxa"/>
          <w:left w:w="138" w:type="dxa"/>
          <w:bottom w:w="0" w:type="dxa"/>
          <w:right w:w="108" w:type="dxa"/>
        </w:tblCellMar>
        <w:tblLook w:val="04a0" w:noHBand="0" w:noVBand="1" w:firstColumn="1" w:lastRow="0" w:lastColumn="0" w:firstRow="1"/>
      </w:tblPr>
      <w:tblGrid>
        <w:gridCol w:w="1837"/>
        <w:gridCol w:w="236"/>
        <w:gridCol w:w="1045"/>
        <w:gridCol w:w="284"/>
        <w:gridCol w:w="2177"/>
        <w:gridCol w:w="372"/>
        <w:gridCol w:w="1942"/>
        <w:gridCol w:w="279"/>
        <w:gridCol w:w="1300"/>
        <w:gridCol w:w="236"/>
        <w:gridCol w:w="1914"/>
      </w:tblGrid>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Заказчик</w:t>
            </w:r>
          </w:p>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М.П.</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Подрядчик</w:t>
            </w:r>
          </w:p>
          <w:p>
            <w:pPr>
              <w:pStyle w:val="Normal"/>
              <w:widowControl w:val="false"/>
              <w:tabs>
                <w:tab w:val="clear" w:pos="708"/>
                <w:tab w:val="left" w:pos="1665" w:leader="none"/>
              </w:tabs>
              <w:spacing w:lineRule="auto" w:line="240"/>
              <w:ind w:firstLine="567"/>
              <w:jc w:val="both"/>
              <w:rPr>
                <w:color w:val="00000A"/>
                <w:sz w:val="22"/>
                <w:szCs w:val="22"/>
              </w:rPr>
            </w:pPr>
            <w:r>
              <w:rPr>
                <w:color w:val="00000A"/>
                <w:sz w:val="22"/>
                <w:szCs w:val="22"/>
              </w:rPr>
              <w:t>М.П.</w:t>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300"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14"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r>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left="-205" w:firstLine="567"/>
              <w:jc w:val="both"/>
              <w:rPr>
                <w:color w:val="00000A"/>
                <w:sz w:val="6"/>
              </w:rPr>
            </w:pPr>
            <w:r>
              <w:rPr>
                <w:color w:val="00000A"/>
                <w:sz w:val="6"/>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300"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rPr>
            </w:pPr>
            <w:r>
              <w:rPr>
                <w:color w:val="00000A"/>
                <w:sz w:val="6"/>
              </w:rPr>
            </w:r>
          </w:p>
        </w:tc>
        <w:tc>
          <w:tcPr>
            <w:tcW w:w="1914" w:type="dxa"/>
            <w:tcBorders/>
            <w:shd w:fill="auto" w:val="clear"/>
          </w:tcPr>
          <w:p>
            <w:pPr>
              <w:pStyle w:val="Normal"/>
              <w:widowControl w:val="false"/>
              <w:tabs>
                <w:tab w:val="clear" w:pos="708"/>
                <w:tab w:val="left" w:pos="1665" w:leader="none"/>
              </w:tabs>
              <w:spacing w:lineRule="auto" w:line="240"/>
              <w:ind w:firstLine="567"/>
              <w:jc w:val="both"/>
              <w:rPr>
                <w:color w:val="00000A"/>
              </w:rPr>
            </w:pPr>
            <w:r>
              <w:rPr>
                <w:color w:val="00000A"/>
              </w:rPr>
            </w:r>
          </w:p>
        </w:tc>
      </w:tr>
      <w:tr>
        <w:trPr/>
        <w:tc>
          <w:tcPr>
            <w:tcW w:w="1837"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(должность)</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045"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(подпись)</w:t>
            </w:r>
          </w:p>
        </w:tc>
        <w:tc>
          <w:tcPr>
            <w:tcW w:w="284"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2177"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(Расшифровка подписи)</w:t>
            </w:r>
          </w:p>
        </w:tc>
        <w:tc>
          <w:tcPr>
            <w:tcW w:w="372"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942"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(должность)</w:t>
            </w:r>
          </w:p>
        </w:tc>
        <w:tc>
          <w:tcPr>
            <w:tcW w:w="279"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300"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(подпись)</w:t>
            </w:r>
          </w:p>
        </w:tc>
        <w:tc>
          <w:tcPr>
            <w:tcW w:w="236" w:type="dxa"/>
            <w:tcBorders/>
            <w:shd w:fill="auto" w:val="clear"/>
          </w:tcPr>
          <w:p>
            <w:pPr>
              <w:pStyle w:val="Normal"/>
              <w:widowControl w:val="false"/>
              <w:tabs>
                <w:tab w:val="clear" w:pos="708"/>
                <w:tab w:val="left" w:pos="1665" w:leader="none"/>
              </w:tabs>
              <w:spacing w:lineRule="auto" w:line="240"/>
              <w:ind w:firstLine="567"/>
              <w:jc w:val="both"/>
              <w:rPr>
                <w:color w:val="00000A"/>
                <w:sz w:val="6"/>
                <w:vertAlign w:val="superscript"/>
              </w:rPr>
            </w:pPr>
            <w:r>
              <w:rPr>
                <w:color w:val="00000A"/>
                <w:sz w:val="6"/>
                <w:vertAlign w:val="superscript"/>
              </w:rPr>
            </w:r>
          </w:p>
        </w:tc>
        <w:tc>
          <w:tcPr>
            <w:tcW w:w="1914" w:type="dxa"/>
            <w:tcBorders/>
            <w:shd w:fill="auto" w:val="clear"/>
          </w:tcPr>
          <w:p>
            <w:pPr>
              <w:pStyle w:val="Normal"/>
              <w:widowControl w:val="false"/>
              <w:tabs>
                <w:tab w:val="clear" w:pos="708"/>
                <w:tab w:val="left" w:pos="1665" w:leader="none"/>
              </w:tabs>
              <w:spacing w:lineRule="auto" w:line="240"/>
              <w:ind w:firstLine="567"/>
              <w:jc w:val="both"/>
              <w:rPr>
                <w:color w:val="00000A"/>
                <w:sz w:val="24"/>
                <w:vertAlign w:val="superscript"/>
              </w:rPr>
            </w:pPr>
            <w:r>
              <w:rPr>
                <w:color w:val="00000A"/>
                <w:sz w:val="24"/>
                <w:vertAlign w:val="superscript"/>
              </w:rPr>
              <w:t>(Расшифровка подписи)</w:t>
            </w:r>
          </w:p>
        </w:tc>
      </w:tr>
    </w:tbl>
    <w:p>
      <w:pPr>
        <w:pStyle w:val="Normal"/>
        <w:tabs>
          <w:tab w:val="clear" w:pos="708"/>
          <w:tab w:val="left" w:pos="2805" w:leader="none"/>
        </w:tabs>
        <w:ind w:hanging="0"/>
        <w:rPr>
          <w:color w:val="00000A"/>
          <w:sz w:val="22"/>
          <w:szCs w:val="22"/>
        </w:rPr>
      </w:pPr>
      <w:r>
        <w:rPr>
          <w:color w:val="00000A"/>
          <w:sz w:val="22"/>
          <w:szCs w:val="22"/>
        </w:rPr>
        <w:t xml:space="preserve"> </w:t>
      </w:r>
    </w:p>
    <w:tbl>
      <w:tblPr>
        <w:tblW w:w="1471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4717"/>
      </w:tblGrid>
      <w:tr>
        <w:trPr>
          <w:trHeight w:val="221" w:hRule="atLeast"/>
        </w:trPr>
        <w:tc>
          <w:tcPr>
            <w:tcW w:w="14717" w:type="dxa"/>
            <w:tcBorders/>
            <w:shd w:fill="auto" w:val="clear"/>
          </w:tcPr>
          <w:p>
            <w:pPr>
              <w:pStyle w:val="Normal"/>
              <w:widowControl w:val="false"/>
              <w:spacing w:lineRule="auto" w:line="240"/>
              <w:ind w:hanging="0"/>
              <w:jc w:val="left"/>
              <w:rPr>
                <w:b/>
                <w:color w:val="00000A"/>
                <w:sz w:val="24"/>
              </w:rPr>
            </w:pPr>
            <w:r>
              <w:rPr>
                <w:b/>
                <w:color w:val="00000A"/>
                <w:sz w:val="24"/>
              </w:rPr>
              <w:t>Заказчик:                                                                                   Подрядчик:</w:t>
            </w:r>
          </w:p>
        </w:tc>
      </w:tr>
      <w:tr>
        <w:trPr>
          <w:trHeight w:val="163" w:hRule="atLeast"/>
        </w:trPr>
        <w:tc>
          <w:tcPr>
            <w:tcW w:w="14717" w:type="dxa"/>
            <w:tcBorders/>
            <w:shd w:fill="auto" w:val="clear"/>
          </w:tcPr>
          <w:p>
            <w:pPr>
              <w:pStyle w:val="Normal"/>
              <w:widowControl w:val="false"/>
              <w:spacing w:lineRule="auto" w:line="240"/>
              <w:ind w:hanging="0"/>
              <w:rPr>
                <w:color w:val="00000A"/>
                <w:sz w:val="22"/>
                <w:szCs w:val="22"/>
              </w:rPr>
            </w:pPr>
            <w:r>
              <w:rPr>
                <w:color w:val="00000A"/>
                <w:sz w:val="22"/>
                <w:szCs w:val="22"/>
              </w:rPr>
              <w:t>_______________ / _______________                                          _______________ / _______________</w:t>
            </w:r>
          </w:p>
        </w:tc>
      </w:tr>
    </w:tbl>
    <w:p>
      <w:pPr>
        <w:pStyle w:val="Normal"/>
        <w:spacing w:lineRule="auto" w:line="240"/>
        <w:jc w:val="right"/>
        <w:rPr>
          <w:sz w:val="22"/>
          <w:szCs w:val="22"/>
        </w:rPr>
      </w:pPr>
      <w:r>
        <w:br w:type="page"/>
      </w:r>
      <w:r>
        <w:rPr>
          <w:sz w:val="22"/>
          <w:szCs w:val="22"/>
        </w:rPr>
        <w:t xml:space="preserve">Приложение к </w:t>
      </w:r>
    </w:p>
    <w:p>
      <w:pPr>
        <w:pStyle w:val="Normal"/>
        <w:spacing w:lineRule="auto" w:line="240"/>
        <w:jc w:val="right"/>
        <w:rPr>
          <w:sz w:val="22"/>
          <w:szCs w:val="22"/>
        </w:rPr>
      </w:pPr>
      <w:r>
        <w:rPr>
          <w:sz w:val="22"/>
          <w:szCs w:val="22"/>
        </w:rPr>
        <w:t xml:space="preserve">Порядку учета и хранения материалов, </w:t>
      </w:r>
    </w:p>
    <w:p>
      <w:pPr>
        <w:pStyle w:val="Normal"/>
        <w:spacing w:lineRule="auto" w:line="240"/>
        <w:jc w:val="right"/>
        <w:rPr>
          <w:sz w:val="22"/>
          <w:szCs w:val="22"/>
        </w:rPr>
      </w:pPr>
      <w:r>
        <w:rPr>
          <w:sz w:val="22"/>
          <w:szCs w:val="22"/>
        </w:rPr>
        <w:t xml:space="preserve">демонтированных при исполнении подрядчиком </w:t>
      </w:r>
    </w:p>
    <w:p>
      <w:pPr>
        <w:pStyle w:val="Normal"/>
        <w:spacing w:lineRule="auto" w:line="240"/>
        <w:jc w:val="right"/>
        <w:rPr>
          <w:sz w:val="22"/>
          <w:szCs w:val="22"/>
        </w:rPr>
      </w:pPr>
      <w:r>
        <w:rPr>
          <w:sz w:val="22"/>
          <w:szCs w:val="22"/>
        </w:rPr>
        <w:t>работ по договору подряд №____ от __.__.20__</w:t>
      </w:r>
    </w:p>
    <w:p>
      <w:pPr>
        <w:pStyle w:val="Normal"/>
        <w:spacing w:lineRule="auto" w:line="240"/>
        <w:ind w:hanging="0"/>
        <w:rPr>
          <w:sz w:val="22"/>
          <w:szCs w:val="22"/>
        </w:rPr>
      </w:pPr>
      <w:r>
        <w:rPr>
          <w:sz w:val="22"/>
          <w:szCs w:val="22"/>
        </w:rPr>
      </w:r>
    </w:p>
    <w:p>
      <w:pPr>
        <w:pStyle w:val="Normal"/>
        <w:spacing w:lineRule="auto" w:line="240"/>
        <w:rPr>
          <w:sz w:val="22"/>
          <w:szCs w:val="22"/>
        </w:rPr>
      </w:pPr>
      <w:r>
        <w:rPr>
          <w:sz w:val="22"/>
          <w:szCs w:val="22"/>
        </w:rPr>
      </w:r>
    </w:p>
    <w:tbl>
      <w:tblPr>
        <w:tblW w:w="16203" w:type="dxa"/>
        <w:jc w:val="left"/>
        <w:tblInd w:w="-100" w:type="dxa"/>
        <w:tblLayout w:type="fixed"/>
        <w:tblCellMar>
          <w:top w:w="0" w:type="dxa"/>
          <w:left w:w="5" w:type="dxa"/>
          <w:bottom w:w="0" w:type="dxa"/>
          <w:right w:w="104" w:type="dxa"/>
        </w:tblCellMar>
        <w:tblLook w:val="04a0" w:noHBand="0" w:noVBand="1" w:firstColumn="1" w:lastRow="0" w:lastColumn="0" w:firstRow="1"/>
      </w:tblPr>
      <w:tblGrid>
        <w:gridCol w:w="1202"/>
        <w:gridCol w:w="1205"/>
        <w:gridCol w:w="1841"/>
        <w:gridCol w:w="2280"/>
        <w:gridCol w:w="1691"/>
        <w:gridCol w:w="1557"/>
        <w:gridCol w:w="1844"/>
        <w:gridCol w:w="1706"/>
        <w:gridCol w:w="13"/>
        <w:gridCol w:w="1444"/>
        <w:gridCol w:w="556"/>
        <w:gridCol w:w="8"/>
        <w:gridCol w:w="8"/>
        <w:gridCol w:w="5"/>
        <w:gridCol w:w="5"/>
        <w:gridCol w:w="836"/>
      </w:tblGrid>
      <w:tr>
        <w:trPr>
          <w:trHeight w:val="300"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Инвестор: АО "ДРСК", 675004, г.Благовещенск, ул. Шевченко, 32, тел (4162) 397-359</w:t>
            </w:r>
          </w:p>
        </w:tc>
        <w:tc>
          <w:tcPr>
            <w:tcW w:w="5579" w:type="dxa"/>
            <w:gridSpan w:val="7"/>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Договор</w:t>
            </w:r>
          </w:p>
        </w:tc>
        <w:tc>
          <w:tcPr>
            <w:tcW w:w="84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600"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Заказчик: Филиал АО "ДРСК" «Хабаровские электрические сети" 680009 г. Хабаровск, ул. Промышленная, 13 , тел. (4212) 59-91-59</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номер</w:t>
            </w:r>
          </w:p>
        </w:tc>
        <w:tc>
          <w:tcPr>
            <w:tcW w:w="3727" w:type="dxa"/>
            <w:gridSpan w:val="5"/>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4"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585"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Подрядчик (Субподрядчик) -</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дата</w:t>
            </w:r>
          </w:p>
        </w:tc>
        <w:tc>
          <w:tcPr>
            <w:tcW w:w="3727" w:type="dxa"/>
            <w:gridSpan w:val="5"/>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4"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98" w:hRule="atLeast"/>
        </w:trPr>
        <w:tc>
          <w:tcPr>
            <w:tcW w:w="9776" w:type="dxa"/>
            <w:gridSpan w:val="6"/>
            <w:tcBorders>
              <w:top w:val="single" w:sz="4" w:space="0" w:color="00000A"/>
              <w:left w:val="single" w:sz="4" w:space="0" w:color="00000A"/>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t>Стройка -                                                                                                                                                                                                                                   Объект -</w:t>
            </w:r>
          </w:p>
        </w:tc>
        <w:tc>
          <w:tcPr>
            <w:tcW w:w="5579" w:type="dxa"/>
            <w:gridSpan w:val="7"/>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t>СМР, ПИР</w:t>
            </w:r>
          </w:p>
        </w:tc>
        <w:tc>
          <w:tcPr>
            <w:tcW w:w="846"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Номер документа</w:t>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Дата составления</w:t>
            </w:r>
          </w:p>
        </w:tc>
        <w:tc>
          <w:tcPr>
            <w:tcW w:w="5092"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Отчетный период</w:t>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3401"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5360" w:type="dxa"/>
            <w:gridSpan w:val="14"/>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jc w:val="center"/>
              <w:rPr>
                <w:color w:val="00000A"/>
                <w:sz w:val="22"/>
                <w:szCs w:val="22"/>
              </w:rPr>
            </w:pPr>
            <w:r>
              <w:rPr>
                <w:color w:val="00000A"/>
                <w:sz w:val="22"/>
                <w:szCs w:val="22"/>
              </w:rPr>
              <w:t>ОТЧЕТ</w:t>
            </w:r>
          </w:p>
        </w:tc>
        <w:tc>
          <w:tcPr>
            <w:tcW w:w="841"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atLeast"/>
        </w:trPr>
        <w:tc>
          <w:tcPr>
            <w:tcW w:w="15360" w:type="dxa"/>
            <w:gridSpan w:val="14"/>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jc w:val="center"/>
              <w:rPr>
                <w:color w:val="00000A"/>
                <w:sz w:val="22"/>
                <w:szCs w:val="22"/>
              </w:rPr>
            </w:pPr>
            <w:r>
              <w:rPr>
                <w:color w:val="00000A"/>
                <w:sz w:val="22"/>
                <w:szCs w:val="22"/>
              </w:rPr>
            </w:r>
          </w:p>
          <w:p>
            <w:pPr>
              <w:pStyle w:val="Normal"/>
              <w:widowControl w:val="false"/>
              <w:ind w:hanging="0"/>
              <w:jc w:val="center"/>
              <w:rPr>
                <w:color w:val="00000A"/>
                <w:sz w:val="22"/>
                <w:szCs w:val="22"/>
              </w:rPr>
            </w:pPr>
            <w:r>
              <w:rPr>
                <w:color w:val="00000A"/>
                <w:sz w:val="22"/>
                <w:szCs w:val="22"/>
              </w:rPr>
              <w:t>ОБ ИСПОЛЬЗОВАНИИ МАТЕРИАЛОВ, ПЕРЕДАННЫХ ЗАКАЗЧИКОМ</w:t>
            </w:r>
          </w:p>
        </w:tc>
        <w:tc>
          <w:tcPr>
            <w:tcW w:w="841" w:type="dxa"/>
            <w:gridSpan w:val="2"/>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808" w:hRule="atLeast"/>
        </w:trPr>
        <w:tc>
          <w:tcPr>
            <w:tcW w:w="13339" w:type="dxa"/>
            <w:gridSpan w:val="9"/>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t>Подрядчиком были получены от Заказчика и использованы при выполнении работ материалы в следующем количестве:</w:t>
            </w:r>
          </w:p>
        </w:tc>
        <w:tc>
          <w:tcPr>
            <w:tcW w:w="2008"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54" w:type="dxa"/>
            <w:gridSpan w:val="4"/>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945" w:hRule="atLeast"/>
        </w:trPr>
        <w:tc>
          <w:tcPr>
            <w:tcW w:w="1202"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 xml:space="preserve">№ </w:t>
            </w:r>
            <w:r>
              <w:rPr>
                <w:color w:val="00000A"/>
                <w:sz w:val="22"/>
                <w:szCs w:val="22"/>
              </w:rPr>
              <w:t>документа</w:t>
            </w:r>
          </w:p>
        </w:tc>
        <w:tc>
          <w:tcPr>
            <w:tcW w:w="1205"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Номер и дата накладной М-15</w:t>
            </w:r>
          </w:p>
        </w:tc>
        <w:tc>
          <w:tcPr>
            <w:tcW w:w="1841"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Наименование материала</w:t>
            </w:r>
          </w:p>
        </w:tc>
        <w:tc>
          <w:tcPr>
            <w:tcW w:w="2280"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Номенклатурный номер</w:t>
            </w:r>
          </w:p>
        </w:tc>
        <w:tc>
          <w:tcPr>
            <w:tcW w:w="1691"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Единица измерения</w:t>
            </w:r>
          </w:p>
        </w:tc>
        <w:tc>
          <w:tcPr>
            <w:tcW w:w="1557"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полученного материала со склада заказчика</w:t>
            </w:r>
          </w:p>
        </w:tc>
        <w:tc>
          <w:tcPr>
            <w:tcW w:w="1844"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фактически используемого ранее материала</w:t>
            </w:r>
          </w:p>
        </w:tc>
        <w:tc>
          <w:tcPr>
            <w:tcW w:w="1706" w:type="dxa"/>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Количество используемого материала в  текущем месяце</w:t>
            </w:r>
          </w:p>
        </w:tc>
        <w:tc>
          <w:tcPr>
            <w:tcW w:w="2013" w:type="dxa"/>
            <w:gridSpan w:val="3"/>
            <w:vMerge w:val="restart"/>
            <w:tcBorders>
              <w:top w:val="single" w:sz="4" w:space="0" w:color="00000A"/>
              <w:left w:val="single" w:sz="4" w:space="0" w:color="00000A"/>
              <w:bottom w:val="single" w:sz="4" w:space="0" w:color="00000A"/>
              <w:right w:val="single" w:sz="4" w:space="0" w:color="00000A"/>
            </w:tcBorders>
            <w:shd w:color="auto" w:fill="auto" w:val="clear"/>
            <w:vAlign w:val="center"/>
          </w:tcPr>
          <w:p>
            <w:pPr>
              <w:pStyle w:val="Normal"/>
              <w:widowControl w:val="false"/>
              <w:ind w:hanging="0"/>
              <w:jc w:val="center"/>
              <w:rPr>
                <w:color w:val="00000A"/>
                <w:sz w:val="22"/>
                <w:szCs w:val="22"/>
              </w:rPr>
            </w:pPr>
            <w:r>
              <w:rPr>
                <w:color w:val="00000A"/>
                <w:sz w:val="22"/>
                <w:szCs w:val="22"/>
              </w:rPr>
              <w:t>Остаток неиспользованных материалов (количество)</w:t>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285" w:hRule="atLeast"/>
        </w:trPr>
        <w:tc>
          <w:tcPr>
            <w:tcW w:w="1202"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205"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280"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69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557"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4"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706"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013" w:type="dxa"/>
            <w:gridSpan w:val="3"/>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421" w:hRule="atLeast"/>
        </w:trPr>
        <w:tc>
          <w:tcPr>
            <w:tcW w:w="1202"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205"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280"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691"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557"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844"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1706" w:type="dxa"/>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2013" w:type="dxa"/>
            <w:gridSpan w:val="3"/>
            <w:vMerge w:val="continue"/>
            <w:tcBorders>
              <w:top w:val="single" w:sz="4" w:space="0" w:color="00000A"/>
              <w:left w:val="single" w:sz="4" w:space="0" w:color="00000A"/>
              <w:bottom w:val="single" w:sz="4" w:space="0" w:color="00000A"/>
              <w:right w:val="single" w:sz="4" w:space="0" w:color="00000A"/>
            </w:tcBorders>
            <w:shd w:fill="auto" w:val="clear"/>
            <w:vAlign w:val="center"/>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center"/>
          </w:tcPr>
          <w:p>
            <w:pPr>
              <w:pStyle w:val="Normal"/>
              <w:widowControl w:val="false"/>
              <w:ind w:hanging="0"/>
              <w:rPr>
                <w:color w:val="00000A"/>
                <w:sz w:val="22"/>
                <w:szCs w:val="22"/>
              </w:rPr>
            </w:pPr>
            <w:r>
              <w:rPr>
                <w:color w:val="00000A"/>
                <w:sz w:val="22"/>
                <w:szCs w:val="22"/>
              </w:rPr>
            </w:r>
          </w:p>
        </w:tc>
      </w:tr>
      <w:tr>
        <w:trPr>
          <w:trHeight w:val="60"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1</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2</w:t>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3</w:t>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4</w:t>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5</w:t>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6</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7</w:t>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8</w:t>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jc w:val="center"/>
              <w:rPr>
                <w:color w:val="00000A"/>
                <w:sz w:val="22"/>
                <w:szCs w:val="22"/>
              </w:rPr>
            </w:pPr>
            <w:r>
              <w:rPr>
                <w:color w:val="00000A"/>
                <w:sz w:val="22"/>
                <w:szCs w:val="22"/>
              </w:rPr>
              <w:t>9</w:t>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07"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1</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21"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2</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36"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3</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58"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4</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91"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5</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204"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6</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54"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7</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20"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8</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372"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t>9</w:t>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tcPr>
          <w:p>
            <w:pPr>
              <w:pStyle w:val="Normal"/>
              <w:widowControl w:val="false"/>
              <w:ind w:hanging="0"/>
              <w:rPr>
                <w:color w:val="00000A"/>
                <w:sz w:val="22"/>
                <w:szCs w:val="22"/>
              </w:rPr>
            </w:pPr>
            <w:r>
              <w:rPr>
                <w:color w:val="00000A"/>
                <w:sz w:val="22"/>
                <w:szCs w:val="22"/>
              </w:rPr>
            </w:r>
          </w:p>
        </w:tc>
      </w:tr>
      <w:tr>
        <w:trPr>
          <w:trHeight w:val="435" w:hRule="atLeast"/>
        </w:trPr>
        <w:tc>
          <w:tcPr>
            <w:tcW w:w="1202"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ВСЕГО</w:t>
            </w:r>
          </w:p>
        </w:tc>
        <w:tc>
          <w:tcPr>
            <w:tcW w:w="184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r>
          </w:p>
        </w:tc>
        <w:tc>
          <w:tcPr>
            <w:tcW w:w="1557"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1844"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1706" w:type="dxa"/>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2013" w:type="dxa"/>
            <w:gridSpan w:val="3"/>
            <w:tcBorders>
              <w:top w:val="single" w:sz="4" w:space="0" w:color="00000A"/>
              <w:left w:val="single" w:sz="4" w:space="0" w:color="00000A"/>
              <w:bottom w:val="single" w:sz="4" w:space="0" w:color="00000A"/>
              <w:right w:val="single" w:sz="4" w:space="0" w:color="00000A"/>
            </w:tcBorders>
            <w:shd w:color="auto" w:fill="auto" w:val="clear"/>
            <w:vAlign w:val="bottom"/>
          </w:tcPr>
          <w:p>
            <w:pPr>
              <w:pStyle w:val="Normal"/>
              <w:widowControl w:val="false"/>
              <w:ind w:hanging="0"/>
              <w:rPr>
                <w:b/>
                <w:bCs/>
                <w:color w:val="00000A"/>
                <w:sz w:val="22"/>
                <w:szCs w:val="22"/>
              </w:rPr>
            </w:pPr>
            <w:r>
              <w:rPr>
                <w:b/>
                <w:bCs/>
                <w:color w:val="00000A"/>
                <w:sz w:val="22"/>
                <w:szCs w:val="22"/>
              </w:rPr>
              <w:t>0,00</w:t>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b/>
                <w:bCs/>
                <w:color w:val="00000A"/>
                <w:sz w:val="22"/>
                <w:szCs w:val="22"/>
              </w:rPr>
            </w:pPr>
            <w:r>
              <w:rPr>
                <w:b/>
                <w:bCs/>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300" w:hRule="exact"/>
        </w:trPr>
        <w:tc>
          <w:tcPr>
            <w:tcW w:w="1202" w:type="dxa"/>
            <w:tcBorders>
              <w:top w:val="single" w:sz="4" w:space="0" w:color="00000A"/>
              <w:left w:val="single" w:sz="4" w:space="0" w:color="00000A"/>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205"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280"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691"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557"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844"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1706" w:type="dxa"/>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2013" w:type="dxa"/>
            <w:gridSpan w:val="3"/>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c>
          <w:tcPr>
            <w:tcW w:w="862" w:type="dxa"/>
            <w:gridSpan w:val="5"/>
            <w:tcBorders>
              <w:top w:val="single" w:sz="4" w:space="0" w:color="00000A"/>
              <w:left w:val="single" w:sz="4" w:space="0" w:color="000001"/>
              <w:bottom w:val="single" w:sz="4" w:space="0" w:color="00000A"/>
              <w:right w:val="single" w:sz="4" w:space="0" w:color="000001"/>
            </w:tcBorders>
            <w:shd w:color="auto" w:fill="auto" w:val="clear"/>
            <w:vAlign w:val="bottom"/>
          </w:tcPr>
          <w:p>
            <w:pPr>
              <w:pStyle w:val="Normal"/>
              <w:widowControl w:val="false"/>
              <w:ind w:hanging="0"/>
              <w:rPr>
                <w:color w:val="00000A"/>
                <w:sz w:val="22"/>
                <w:szCs w:val="22"/>
              </w:rPr>
            </w:pPr>
            <w:r>
              <w:rPr>
                <w:color w:val="00000A"/>
                <w:sz w:val="22"/>
                <w:szCs w:val="22"/>
              </w:rPr>
            </w:r>
          </w:p>
        </w:tc>
      </w:tr>
      <w:tr>
        <w:trPr>
          <w:trHeight w:val="221" w:hRule="atLeast"/>
        </w:trPr>
        <w:tc>
          <w:tcPr>
            <w:tcW w:w="14783" w:type="dxa"/>
            <w:gridSpan w:val="10"/>
            <w:tcBorders>
              <w:top w:val="single" w:sz="4" w:space="0" w:color="00000A"/>
              <w:left w:val="single" w:sz="4" w:space="0" w:color="00000A"/>
              <w:bottom w:val="single" w:sz="4" w:space="0" w:color="00000A"/>
              <w:right w:val="single" w:sz="4" w:space="0" w:color="000001"/>
            </w:tcBorders>
            <w:shd w:fill="auto" w:val="clear"/>
          </w:tcPr>
          <w:p>
            <w:pPr>
              <w:pStyle w:val="Normal"/>
              <w:widowControl w:val="false"/>
              <w:ind w:hanging="0"/>
              <w:jc w:val="center"/>
              <w:rPr>
                <w:b/>
                <w:color w:val="00000A"/>
                <w:sz w:val="24"/>
                <w:szCs w:val="24"/>
              </w:rPr>
            </w:pPr>
            <w:r>
              <w:rPr>
                <w:b/>
                <w:color w:val="00000A"/>
                <w:sz w:val="24"/>
                <w:szCs w:val="24"/>
              </w:rPr>
              <w:t>Заказчик:                                                                                   Подрядчик:</w:t>
            </w:r>
          </w:p>
        </w:tc>
        <w:tc>
          <w:tcPr>
            <w:tcW w:w="582" w:type="dxa"/>
            <w:gridSpan w:val="5"/>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c>
          <w:tcPr>
            <w:tcW w:w="836" w:type="dxa"/>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r>
      <w:tr>
        <w:trPr>
          <w:trHeight w:val="70" w:hRule="atLeast"/>
        </w:trPr>
        <w:tc>
          <w:tcPr>
            <w:tcW w:w="14783" w:type="dxa"/>
            <w:gridSpan w:val="10"/>
            <w:tcBorders>
              <w:top w:val="single" w:sz="4" w:space="0" w:color="00000A"/>
              <w:left w:val="single" w:sz="4" w:space="0" w:color="00000A"/>
              <w:bottom w:val="single" w:sz="4" w:space="0" w:color="00000A"/>
              <w:right w:val="single" w:sz="4" w:space="0" w:color="000001"/>
            </w:tcBorders>
            <w:shd w:fill="auto" w:val="clear"/>
          </w:tcPr>
          <w:p>
            <w:pPr>
              <w:pStyle w:val="Normal"/>
              <w:widowControl w:val="false"/>
              <w:ind w:hanging="0"/>
              <w:rPr>
                <w:color w:val="00000A"/>
                <w:sz w:val="24"/>
                <w:szCs w:val="24"/>
              </w:rPr>
            </w:pPr>
            <w:r>
              <w:rPr>
                <w:color w:val="00000A"/>
                <w:sz w:val="24"/>
                <w:szCs w:val="24"/>
              </w:rPr>
            </w:r>
          </w:p>
          <w:p>
            <w:pPr>
              <w:pStyle w:val="Normal"/>
              <w:widowControl w:val="false"/>
              <w:ind w:hanging="0"/>
              <w:jc w:val="center"/>
              <w:rPr>
                <w:color w:val="00000A"/>
                <w:sz w:val="24"/>
                <w:szCs w:val="24"/>
              </w:rPr>
            </w:pPr>
            <w:r>
              <w:rPr>
                <w:color w:val="00000A"/>
                <w:sz w:val="24"/>
                <w:szCs w:val="24"/>
              </w:rPr>
              <w:t>_______________ / _______________                                          _______________ / _______________</w:t>
            </w:r>
          </w:p>
        </w:tc>
        <w:tc>
          <w:tcPr>
            <w:tcW w:w="582" w:type="dxa"/>
            <w:gridSpan w:val="5"/>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c>
          <w:tcPr>
            <w:tcW w:w="836" w:type="dxa"/>
            <w:tcBorders>
              <w:top w:val="single" w:sz="4" w:space="0" w:color="00000A"/>
              <w:left w:val="single" w:sz="4" w:space="0" w:color="000001"/>
              <w:bottom w:val="single" w:sz="4" w:space="0" w:color="00000A"/>
              <w:right w:val="single" w:sz="4" w:space="0" w:color="000001"/>
            </w:tcBorders>
            <w:shd w:fill="auto" w:val="clear"/>
          </w:tcPr>
          <w:p>
            <w:pPr>
              <w:pStyle w:val="Normal"/>
              <w:widowControl w:val="false"/>
              <w:rPr>
                <w:sz w:val="24"/>
                <w:szCs w:val="24"/>
              </w:rPr>
            </w:pPr>
            <w:r>
              <w:rPr>
                <w:sz w:val="24"/>
                <w:szCs w:val="24"/>
              </w:rPr>
            </w:r>
          </w:p>
        </w:tc>
      </w:tr>
    </w:tbl>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rPr>
          <w:sz w:val="22"/>
          <w:szCs w:val="22"/>
        </w:rPr>
      </w:pPr>
      <w:r>
        <w:rPr>
          <w:sz w:val="22"/>
          <w:szCs w:val="22"/>
        </w:rPr>
      </w:r>
    </w:p>
    <w:p>
      <w:pPr>
        <w:pStyle w:val="Normal"/>
        <w:spacing w:lineRule="auto" w:line="240"/>
        <w:jc w:val="center"/>
        <w:rPr>
          <w:b/>
          <w:sz w:val="22"/>
          <w:szCs w:val="22"/>
        </w:rPr>
      </w:pPr>
      <w:r>
        <w:rPr>
          <w:b/>
          <w:sz w:val="22"/>
          <w:szCs w:val="22"/>
        </w:rPr>
      </w:r>
    </w:p>
    <w:p>
      <w:pPr>
        <w:pStyle w:val="Normal"/>
        <w:spacing w:lineRule="auto" w:line="240"/>
        <w:rPr>
          <w:sz w:val="22"/>
          <w:szCs w:val="22"/>
        </w:rPr>
      </w:pPr>
      <w:r>
        <w:rPr>
          <w:sz w:val="22"/>
          <w:szCs w:val="22"/>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r>
    </w:p>
    <w:p>
      <w:pPr>
        <w:pStyle w:val="Normal"/>
        <w:spacing w:lineRule="auto" w:line="240" w:before="0" w:after="0"/>
        <w:ind w:hanging="0"/>
        <w:jc w:val="right"/>
        <w:rPr>
          <w:rFonts w:ascii="Times New Roman" w:hAnsi="Times New Roman"/>
          <w:sz w:val="24"/>
          <w:szCs w:val="24"/>
        </w:rPr>
      </w:pPr>
      <w:r>
        <w:rPr>
          <w:sz w:val="24"/>
          <w:szCs w:val="24"/>
        </w:rPr>
        <w:t>Приложение №12</w:t>
      </w:r>
    </w:p>
    <w:p>
      <w:pPr>
        <w:pStyle w:val="Normal"/>
        <w:spacing w:lineRule="auto" w:line="240" w:before="0" w:after="0"/>
        <w:jc w:val="right"/>
        <w:rPr>
          <w:rFonts w:ascii="Times New Roman" w:hAnsi="Times New Roman"/>
          <w:sz w:val="24"/>
          <w:szCs w:val="24"/>
        </w:rPr>
      </w:pPr>
      <w:r>
        <w:rPr>
          <w:sz w:val="24"/>
          <w:szCs w:val="24"/>
        </w:rPr>
        <w:t xml:space="preserve">к договору подряда </w:t>
      </w:r>
    </w:p>
    <w:p>
      <w:pPr>
        <w:pStyle w:val="Normal"/>
        <w:spacing w:lineRule="auto" w:line="240" w:before="0" w:after="0"/>
        <w:jc w:val="right"/>
        <w:rPr>
          <w:rFonts w:ascii="Times New Roman" w:hAnsi="Times New Roman"/>
          <w:sz w:val="24"/>
          <w:szCs w:val="24"/>
        </w:rPr>
      </w:pPr>
      <w:r>
        <w:rPr>
          <w:sz w:val="24"/>
          <w:szCs w:val="24"/>
        </w:rPr>
        <w:t>№</w:t>
      </w:r>
      <w:r>
        <w:rPr>
          <w:sz w:val="24"/>
          <w:szCs w:val="24"/>
        </w:rPr>
        <w:t>__ от __.__.20__</w:t>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p>
      <w:pPr>
        <w:pStyle w:val="Normal"/>
        <w:spacing w:lineRule="auto" w:line="240" w:before="0" w:after="0"/>
        <w:ind w:left="0" w:right="0" w:firstLine="708"/>
        <w:jc w:val="center"/>
        <w:rPr>
          <w:rFonts w:ascii="Times New Roman" w:hAnsi="Times New Roman"/>
          <w:b/>
          <w:sz w:val="24"/>
          <w:szCs w:val="24"/>
        </w:rPr>
      </w:pPr>
      <w:r>
        <w:rPr>
          <w:b/>
          <w:sz w:val="24"/>
          <w:szCs w:val="24"/>
        </w:rPr>
        <w:t>Порядок представления и согласования исполнительной документации на выполненные работы при реализации инвестиционных проектов в ходе строительства, технического перевооружения  и реконструкции объектов Группы РусГидро</w:t>
      </w:r>
    </w:p>
    <w:p>
      <w:pPr>
        <w:pStyle w:val="Normal"/>
        <w:spacing w:lineRule="auto" w:line="240"/>
        <w:ind w:left="0" w:right="0" w:firstLine="708"/>
        <w:jc w:val="both"/>
        <w:rPr>
          <w:rFonts w:ascii="Times New Roman" w:hAnsi="Times New Roman"/>
          <w:b/>
          <w:sz w:val="24"/>
          <w:szCs w:val="24"/>
        </w:rPr>
      </w:pPr>
      <w:r>
        <w:rPr>
          <w:b/>
          <w:sz w:val="24"/>
          <w:szCs w:val="24"/>
        </w:rPr>
      </w:r>
    </w:p>
    <w:p>
      <w:pPr>
        <w:pStyle w:val="Normal"/>
        <w:spacing w:lineRule="auto" w:line="240"/>
        <w:ind w:left="0" w:right="0" w:firstLine="708"/>
        <w:jc w:val="both"/>
        <w:rPr>
          <w:sz w:val="22"/>
          <w:szCs w:val="22"/>
        </w:rPr>
      </w:pPr>
      <w:r>
        <w:rPr>
          <w:sz w:val="24"/>
          <w:szCs w:val="24"/>
        </w:rPr>
        <w:t>Документ определяет порядок взаимодействия заказчика (филиалы или подконтрольные организации</w:t>
      </w:r>
      <w:r>
        <w:rPr>
          <w:rStyle w:val="FootnoteReference"/>
          <w:sz w:val="24"/>
          <w:szCs w:val="24"/>
        </w:rPr>
        <w:footnoteReference w:id="8"/>
      </w:r>
      <w:r>
        <w:rPr>
          <w:sz w:val="24"/>
          <w:szCs w:val="24"/>
        </w:rPr>
        <w:t xml:space="preserve"> Группы РусГидро), технического заказчика (агент или иная организация, действующая на основании агентского договора, заключенного с заказчиком), подрядчика (генеральный подрядчик или иная подрядная организация, действующая в качестве лица, осуществляющего строительство на основании договора подряда, заключенного с заказчиком или с техническим заказчиком)</w:t>
      </w:r>
      <w:r>
        <w:rPr>
          <w:rStyle w:val="FootnoteReference"/>
          <w:sz w:val="24"/>
          <w:szCs w:val="24"/>
        </w:rPr>
        <w:footnoteReference w:id="9"/>
      </w:r>
      <w:r>
        <w:rPr>
          <w:sz w:val="24"/>
          <w:szCs w:val="24"/>
        </w:rPr>
        <w:t xml:space="preserve"> при согласовании и приемке исполнительной документации</w:t>
      </w:r>
      <w:r>
        <w:rPr>
          <w:rStyle w:val="FootnoteReference"/>
          <w:sz w:val="24"/>
          <w:szCs w:val="24"/>
        </w:rPr>
        <w:footnoteReference w:id="10"/>
      </w:r>
      <w:r>
        <w:rPr>
          <w:sz w:val="24"/>
          <w:szCs w:val="24"/>
        </w:rPr>
        <w:t xml:space="preserve"> в ходе реализации инвестиционных проектов строительства, технического перевооружения и реконструкции объектов Группы РусГидро.</w:t>
      </w:r>
    </w:p>
    <w:p>
      <w:pPr>
        <w:pStyle w:val="Normal"/>
        <w:spacing w:lineRule="auto" w:line="240"/>
        <w:ind w:left="0" w:right="0" w:firstLine="708"/>
        <w:jc w:val="both"/>
        <w:rPr>
          <w:sz w:val="22"/>
          <w:szCs w:val="22"/>
        </w:rPr>
      </w:pPr>
      <w:r>
        <w:rPr>
          <w:sz w:val="24"/>
          <w:szCs w:val="24"/>
        </w:rPr>
        <w:t>Приемка у Подрядчика выполненных работ с оформлением и подписанием унифицированной формы КС-2 или подписанием акта освидетельствования выполненных работ осуществляется при условии надлежащего оформления и предъявления Подрядчиком полного комплекта ИД в соответствии с применимыми требованиями нормативного-технической документации и законодательства в отношении предъявляемых к сдаче-приемке работ. В ходе сдачи-приемки Подрядчиком работ сформированные им комплекты исполнительной документации размещаются</w:t>
      </w:r>
      <w:r>
        <w:rPr>
          <w:rStyle w:val="FootnoteReference"/>
          <w:sz w:val="24"/>
          <w:szCs w:val="24"/>
        </w:rPr>
        <w:footnoteReference w:id="11"/>
      </w:r>
      <w:r>
        <w:rPr>
          <w:rStyle w:val="Style6"/>
          <w:sz w:val="24"/>
          <w:szCs w:val="24"/>
        </w:rPr>
        <w:t xml:space="preserve"> </w:t>
      </w:r>
      <w:r>
        <w:rPr>
          <w:sz w:val="24"/>
          <w:szCs w:val="24"/>
        </w:rPr>
        <w:t>в соответствующем разделе на сетевом ресурсе Группы РусГидро.</w:t>
      </w:r>
    </w:p>
    <w:p>
      <w:pPr>
        <w:pStyle w:val="Normal"/>
        <w:spacing w:lineRule="auto" w:line="240"/>
        <w:ind w:left="0" w:right="0" w:firstLine="708"/>
        <w:jc w:val="both"/>
        <w:rPr>
          <w:rFonts w:ascii="Times New Roman" w:hAnsi="Times New Roman"/>
          <w:sz w:val="24"/>
          <w:szCs w:val="24"/>
        </w:rPr>
      </w:pPr>
      <w:r>
        <w:rPr>
          <w:sz w:val="24"/>
          <w:szCs w:val="24"/>
        </w:rPr>
        <w:t>Доступ Техническому заказчику, Подрядчику, а также представителю проектировщика, осуществляющего авторский надзор, к сетевому ресурсу предоставляется Заказчиком или ПАО «РусГидро».</w:t>
      </w:r>
    </w:p>
    <w:p>
      <w:pPr>
        <w:pStyle w:val="Normal"/>
        <w:spacing w:lineRule="auto" w:line="240"/>
        <w:ind w:left="0" w:right="0" w:firstLine="708"/>
        <w:jc w:val="both"/>
        <w:rPr>
          <w:rFonts w:ascii="Times New Roman" w:hAnsi="Times New Roman"/>
          <w:sz w:val="24"/>
          <w:szCs w:val="24"/>
        </w:rPr>
      </w:pPr>
      <w:r>
        <w:rPr>
          <w:sz w:val="24"/>
          <w:szCs w:val="24"/>
        </w:rPr>
        <w:t xml:space="preserve">Подрядчик размещает на сетевом ресурсе в соответствующем разделе комплекты ИД и реестр ИД (далее – Реестр), в котором помимо принадлежности комплекта ИД и наименования документов отображается информация о дате размещения, наличии замечаний, сроках устранения замечаний, отметках о согласовании по каждому комплекту ИД. Формы Реестров для соответствующих разделов представлены в приложении к настоящему Порядку. </w:t>
      </w:r>
    </w:p>
    <w:p>
      <w:pPr>
        <w:pStyle w:val="Normal"/>
        <w:spacing w:lineRule="auto" w:line="240"/>
        <w:ind w:left="0" w:right="0" w:firstLine="708"/>
        <w:jc w:val="both"/>
        <w:rPr>
          <w:rFonts w:ascii="Times New Roman" w:hAnsi="Times New Roman"/>
          <w:sz w:val="24"/>
          <w:szCs w:val="24"/>
        </w:rPr>
      </w:pPr>
      <w:r>
        <w:rPr>
          <w:sz w:val="24"/>
          <w:szCs w:val="24"/>
        </w:rPr>
        <w:t>В случае привлечения Подрядчиком к оформлению и размещению на сетевом ресурсе документов комплекта ИД субподрядных организаций ответственность за своевременность размещения, полноту и надлежащее оформление каждого комплекта ИД возлагается на Подрядчика. Действия по выдаче и устранению замечаний к ИД, согласованию комплектов ИД Техническим заказчиком должны находить свое отражение в Реестре и быть доступны для просмотра и контроля Заказчику.</w:t>
      </w:r>
    </w:p>
    <w:p>
      <w:pPr>
        <w:pStyle w:val="Normal"/>
        <w:spacing w:lineRule="auto" w:line="240"/>
        <w:ind w:left="0" w:right="0" w:firstLine="708"/>
        <w:jc w:val="both"/>
        <w:rPr>
          <w:sz w:val="22"/>
          <w:szCs w:val="22"/>
        </w:rPr>
      </w:pPr>
      <w:r>
        <w:rPr>
          <w:sz w:val="24"/>
          <w:szCs w:val="24"/>
        </w:rPr>
        <w:t>По факту оформления и размещения на сетевом ресурсе комплекта ИД Подрядчик уведомляет Технического заказчика</w:t>
      </w:r>
      <w:r>
        <w:rPr>
          <w:rStyle w:val="FootnoteReference"/>
          <w:sz w:val="24"/>
          <w:szCs w:val="24"/>
        </w:rPr>
        <w:footnoteReference w:id="12"/>
      </w:r>
      <w:r>
        <w:rPr>
          <w:sz w:val="24"/>
          <w:szCs w:val="24"/>
        </w:rPr>
        <w:t xml:space="preserve"> о готовности комплекта ИД и необходимости его проверки.</w:t>
      </w:r>
    </w:p>
    <w:p>
      <w:pPr>
        <w:pStyle w:val="Normal"/>
        <w:spacing w:lineRule="auto" w:line="240"/>
        <w:ind w:left="0" w:right="0" w:firstLine="708"/>
        <w:jc w:val="both"/>
        <w:rPr>
          <w:rFonts w:ascii="Times New Roman" w:hAnsi="Times New Roman"/>
          <w:sz w:val="24"/>
          <w:szCs w:val="24"/>
        </w:rPr>
      </w:pPr>
      <w:r>
        <w:rPr>
          <w:sz w:val="24"/>
          <w:szCs w:val="24"/>
        </w:rPr>
        <w:t>Технический заказчик (см. сноску 5) в течение 5 (пяти) рабочих дней осуществляет проверку комплекта ИД, в случае наличия замечаний отражает их в соответствующей графе Реестра с указанием сроков их устранения и письменно извещает Подрядчика о необходимости устранения замечаний.</w:t>
      </w:r>
    </w:p>
    <w:p>
      <w:pPr>
        <w:pStyle w:val="Normal"/>
        <w:spacing w:lineRule="auto" w:line="240"/>
        <w:ind w:left="0" w:right="0" w:firstLine="708"/>
        <w:jc w:val="both"/>
        <w:rPr>
          <w:rFonts w:ascii="Times New Roman" w:hAnsi="Times New Roman"/>
          <w:sz w:val="24"/>
          <w:szCs w:val="24"/>
        </w:rPr>
      </w:pPr>
      <w:r>
        <w:rPr>
          <w:sz w:val="24"/>
          <w:szCs w:val="24"/>
        </w:rPr>
        <w:t>Перечень замечаний по возможности должен быть исчерпывающим. Направление впоследствии дополнительных замечаний к проверенному комплекту ИД не допускается за исключением случаев, когда такие замечания предъявлены другим участником рассмотрения ИД или комплект ИД дополняется новыми документами, которые ранее не рассматривались, или замечания представляются к той части комплекта документов, которая подверглась изменению при устранении первоначальных замечаний.</w:t>
      </w:r>
    </w:p>
    <w:p>
      <w:pPr>
        <w:pStyle w:val="Normal"/>
        <w:spacing w:lineRule="auto" w:line="240"/>
        <w:ind w:left="0" w:right="0" w:firstLine="708"/>
        <w:jc w:val="both"/>
        <w:rPr>
          <w:rFonts w:ascii="Times New Roman" w:hAnsi="Times New Roman"/>
          <w:sz w:val="24"/>
          <w:szCs w:val="24"/>
        </w:rPr>
      </w:pPr>
      <w:r>
        <w:rPr>
          <w:sz w:val="24"/>
          <w:szCs w:val="24"/>
        </w:rPr>
        <w:t>В случае получения замечаний Технического заказчика (или иного участника рассмотрения) к комплекту ИД Подрядчик организует необходимые мероприятия по их устранению в указанные сроки.</w:t>
      </w:r>
    </w:p>
    <w:p>
      <w:pPr>
        <w:pStyle w:val="Normal"/>
        <w:spacing w:lineRule="auto" w:line="240"/>
        <w:ind w:left="0" w:right="0" w:firstLine="708"/>
        <w:jc w:val="both"/>
        <w:rPr>
          <w:rFonts w:ascii="Times New Roman" w:hAnsi="Times New Roman"/>
          <w:sz w:val="24"/>
          <w:szCs w:val="24"/>
        </w:rPr>
      </w:pPr>
      <w:r>
        <w:rPr>
          <w:sz w:val="24"/>
          <w:szCs w:val="24"/>
        </w:rPr>
        <w:t>По итогам устранения замечаний и доработки комплекта ИД Подрядчик направляет Техническому заказчику (см. сноску 5) уведомление о необходимости осуществления проверки откорректированного комплекта ИД на сетевом ресурсе.</w:t>
      </w:r>
    </w:p>
    <w:p>
      <w:pPr>
        <w:pStyle w:val="Normal"/>
        <w:spacing w:lineRule="auto" w:line="240"/>
        <w:ind w:left="0" w:right="0" w:firstLine="708"/>
        <w:jc w:val="both"/>
        <w:rPr>
          <w:rFonts w:ascii="Times New Roman" w:hAnsi="Times New Roman"/>
          <w:sz w:val="24"/>
          <w:szCs w:val="24"/>
        </w:rPr>
      </w:pPr>
      <w:r>
        <w:rPr>
          <w:sz w:val="24"/>
          <w:szCs w:val="24"/>
        </w:rPr>
        <w:t>В случае отсутствия замечаний Технический заказчик (см. сноску 5) извещает Подрядчика о согласовании комплекта ИД, делает соответствующую отметку об этом в Реестре на сетевом ресурсе и при необходимости организует мероприятия по включению согласованного комплекта ИД в состав сдаточного комплекта.</w:t>
      </w:r>
    </w:p>
    <w:p>
      <w:pPr>
        <w:pStyle w:val="Normal"/>
        <w:spacing w:lineRule="auto" w:line="240"/>
        <w:ind w:left="0" w:right="0" w:firstLine="708"/>
        <w:jc w:val="both"/>
        <w:rPr>
          <w:rFonts w:ascii="Times New Roman" w:hAnsi="Times New Roman"/>
          <w:sz w:val="24"/>
          <w:szCs w:val="24"/>
        </w:rPr>
      </w:pPr>
      <w:r>
        <w:rPr>
          <w:sz w:val="24"/>
          <w:szCs w:val="24"/>
        </w:rPr>
        <w:t>После получения письменного извещения от Заказчика о согласовании сдаточного комплекта ИД Технический заказчик (а в случае отсутствия Технического заказчика – Подрядчик) в течение 5 (пяти) рабочих дней организует мероприятия по формированию согласованного комплекта ИД из оригинальных экземпляров документов или их надлежащим образом заверенных копий, организует брошюрование получившегося комплекта и направляет его Заказчику. При этом ответственность за полноту и качество содержания сброшюрованных в комплекты документов несет Технический заказчик (а в случае отсутствия Технического заказчика – Подрядчик).</w:t>
      </w:r>
    </w:p>
    <w:p>
      <w:pPr>
        <w:pStyle w:val="Normal"/>
        <w:spacing w:lineRule="auto" w:line="240"/>
        <w:ind w:left="0" w:right="0" w:firstLine="708"/>
        <w:jc w:val="both"/>
        <w:rPr>
          <w:rFonts w:ascii="Times New Roman" w:hAnsi="Times New Roman"/>
          <w:sz w:val="24"/>
          <w:szCs w:val="24"/>
        </w:rPr>
      </w:pPr>
      <w:r>
        <w:rPr>
          <w:sz w:val="24"/>
          <w:szCs w:val="24"/>
        </w:rPr>
        <w:t>Заказчик проверяет полноту комплекта сброшюрованных документов, в случае отсутствия замечаний осуществляет его приемку для последующей передачи в архив, по результатам которой не позднее 3 (трех) рабочих дней Заказчик делает отметку в соответствующем Реестре о приемке такого комплекта ИД.</w:t>
      </w:r>
    </w:p>
    <w:p>
      <w:pPr>
        <w:pStyle w:val="Normal"/>
        <w:spacing w:lineRule="auto" w:line="240"/>
        <w:ind w:left="0" w:right="0" w:firstLine="708"/>
        <w:jc w:val="both"/>
        <w:rPr>
          <w:rFonts w:ascii="Times New Roman" w:hAnsi="Times New Roman"/>
          <w:sz w:val="24"/>
          <w:szCs w:val="24"/>
        </w:rPr>
      </w:pPr>
      <w:r>
        <w:rPr>
          <w:sz w:val="24"/>
          <w:szCs w:val="24"/>
        </w:rPr>
      </w:r>
    </w:p>
    <w:p>
      <w:pPr>
        <w:pStyle w:val="Normal"/>
        <w:spacing w:lineRule="auto" w:line="240"/>
        <w:ind w:left="0" w:right="0" w:firstLine="709"/>
        <w:jc w:val="center"/>
        <w:rPr>
          <w:rFonts w:ascii="Times New Roman" w:hAnsi="Times New Roman"/>
          <w:i w:val="false"/>
          <w:i w:val="false"/>
          <w:iCs w:val="false"/>
          <w:sz w:val="24"/>
          <w:szCs w:val="24"/>
          <w:u w:val="single"/>
        </w:rPr>
      </w:pPr>
      <w:r>
        <w:rPr>
          <w:i w:val="false"/>
          <w:iCs w:val="false"/>
          <w:sz w:val="24"/>
          <w:szCs w:val="24"/>
          <w:u w:val="single"/>
        </w:rPr>
        <w:t>Требования к организации структуры массива ИД на сетевом ресурсе, срокам первичного размещения комплектов ИД, а также к срокам передачи заводской сопроводительной документации на оборудование и иной документации, относящейся к ИД</w:t>
      </w:r>
    </w:p>
    <w:p>
      <w:pPr>
        <w:pStyle w:val="Normal"/>
        <w:spacing w:lineRule="auto" w:line="240"/>
        <w:ind w:left="0" w:right="0" w:firstLine="709"/>
        <w:jc w:val="both"/>
        <w:rPr>
          <w:rFonts w:ascii="Times New Roman" w:hAnsi="Times New Roman"/>
          <w:b/>
          <w:i/>
          <w:i/>
          <w:iCs/>
          <w:sz w:val="24"/>
          <w:szCs w:val="24"/>
        </w:rPr>
      </w:pPr>
      <w:r>
        <w:rPr>
          <w:b/>
          <w:i/>
          <w:iCs/>
          <w:sz w:val="24"/>
          <w:szCs w:val="24"/>
        </w:rPr>
      </w:r>
    </w:p>
    <w:p>
      <w:pPr>
        <w:pStyle w:val="Normal"/>
        <w:spacing w:lineRule="auto" w:line="240"/>
        <w:ind w:left="0" w:right="0" w:firstLine="709"/>
        <w:jc w:val="both"/>
        <w:rPr>
          <w:rFonts w:ascii="Times New Roman" w:hAnsi="Times New Roman"/>
          <w:sz w:val="24"/>
          <w:szCs w:val="24"/>
        </w:rPr>
      </w:pPr>
      <w:r>
        <w:rPr>
          <w:sz w:val="24"/>
          <w:szCs w:val="24"/>
        </w:rPr>
        <w:t>На сетевом ресурсе Группы РусГидро по каждому инвестиционному проекту строительства, реконструкции, технического перевооружения создаются отдельные разделы для размещения и контроля полноты и качества оформляемой ИД для следующих типов (видов) комплектов ИД:</w:t>
      </w:r>
    </w:p>
    <w:p>
      <w:pPr>
        <w:pStyle w:val="Normal"/>
        <w:spacing w:lineRule="auto" w:line="240"/>
        <w:ind w:left="0" w:right="0" w:firstLine="709"/>
        <w:jc w:val="both"/>
        <w:rPr>
          <w:rFonts w:ascii="Times New Roman" w:hAnsi="Times New Roman"/>
          <w:sz w:val="24"/>
          <w:szCs w:val="24"/>
        </w:rPr>
      </w:pPr>
      <w:r>
        <w:rPr>
          <w:sz w:val="24"/>
          <w:szCs w:val="24"/>
        </w:rPr>
        <w:t>- Р-1 для комплектов ИД, оформляемых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w:t>
      </w:r>
    </w:p>
    <w:p>
      <w:pPr>
        <w:pStyle w:val="Normal"/>
        <w:spacing w:lineRule="auto" w:line="240"/>
        <w:ind w:left="0" w:right="0" w:firstLine="709"/>
        <w:jc w:val="both"/>
        <w:rPr>
          <w:rFonts w:ascii="Times New Roman" w:hAnsi="Times New Roman"/>
          <w:sz w:val="24"/>
          <w:szCs w:val="24"/>
        </w:rPr>
      </w:pPr>
      <w:r>
        <w:rPr>
          <w:sz w:val="24"/>
          <w:szCs w:val="24"/>
        </w:rPr>
        <w:t>- Р-2 для комплектов ИД, оформляемых для приемки выполненных работ по актам КС-2 или по актам приемки объемов фактически выполненных работ за отчетный период (календарный месяц);</w:t>
      </w:r>
    </w:p>
    <w:p>
      <w:pPr>
        <w:pStyle w:val="Normal"/>
        <w:spacing w:lineRule="auto" w:line="240"/>
        <w:ind w:left="0" w:right="0" w:firstLine="709"/>
        <w:jc w:val="both"/>
        <w:rPr>
          <w:rFonts w:ascii="Times New Roman" w:hAnsi="Times New Roman"/>
          <w:sz w:val="24"/>
          <w:szCs w:val="24"/>
        </w:rPr>
      </w:pPr>
      <w:r>
        <w:rPr>
          <w:sz w:val="24"/>
          <w:szCs w:val="24"/>
        </w:rPr>
        <w:t>- Р3 для сводных (сдаточных) комплектов ИД по каждому полностью готовому строительному конструктиву или функционально-технологическому узлу (системе) и сдаточных пакетов, группируемых из нескольких таких сдаточных комплектов ИД;</w:t>
      </w:r>
    </w:p>
    <w:p>
      <w:pPr>
        <w:pStyle w:val="Normal"/>
        <w:spacing w:lineRule="auto" w:line="240"/>
        <w:ind w:left="0" w:right="0" w:firstLine="709"/>
        <w:jc w:val="both"/>
        <w:rPr>
          <w:rFonts w:ascii="Times New Roman" w:hAnsi="Times New Roman"/>
          <w:sz w:val="24"/>
          <w:szCs w:val="24"/>
        </w:rPr>
      </w:pPr>
      <w:r>
        <w:rPr>
          <w:sz w:val="24"/>
          <w:szCs w:val="24"/>
        </w:rPr>
        <w:t>- Р-4, для комплектов ИД, оформляемых по результатам пусконаладочных работ и испытаний оборудования или функционально-технологического узла (системы), а также сдаточных пакетов, группируемых из нескольких таких комплектов ИД.</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ind w:left="0" w:right="0" w:firstLine="709"/>
        <w:jc w:val="both"/>
        <w:rPr>
          <w:rFonts w:ascii="Times New Roman" w:hAnsi="Times New Roman"/>
          <w:sz w:val="24"/>
          <w:szCs w:val="24"/>
        </w:rPr>
      </w:pPr>
      <w:r>
        <w:rPr>
          <w:sz w:val="24"/>
          <w:szCs w:val="24"/>
        </w:rPr>
        <w:t>В каждом из разделов размещаются:</w:t>
      </w:r>
    </w:p>
    <w:p>
      <w:pPr>
        <w:pStyle w:val="Normal"/>
        <w:spacing w:lineRule="auto" w:line="240"/>
        <w:ind w:left="0" w:right="0" w:firstLine="709"/>
        <w:jc w:val="both"/>
        <w:rPr>
          <w:rFonts w:ascii="Times New Roman" w:hAnsi="Times New Roman"/>
          <w:sz w:val="24"/>
          <w:szCs w:val="24"/>
        </w:rPr>
      </w:pPr>
      <w:r>
        <w:rPr>
          <w:sz w:val="24"/>
          <w:szCs w:val="24"/>
        </w:rPr>
        <w:t>- файл Реестра для данного раздела (например, в формате таблицы Excel, в которой по строкам будет формироваться перечень комплектов и документов ИД, оформляемых в ходе строительства, а в столбцах будет отражаться информация о состоянии полноты комплекта, замечаниях по результатам проверки, отметки об устранении замечаний, отметки о согласовании комплекта ИД генеральным подрядчиком, Техническим заказчиком (агентом), Заказчиком, отметки о передаче комплекта ИД для архива Заказчика, а также прочая необходимая информация);</w:t>
      </w:r>
    </w:p>
    <w:p>
      <w:pPr>
        <w:pStyle w:val="Normal"/>
        <w:spacing w:lineRule="auto" w:line="240"/>
        <w:ind w:left="0" w:right="0" w:firstLine="709"/>
        <w:jc w:val="both"/>
        <w:rPr>
          <w:rFonts w:ascii="Times New Roman" w:hAnsi="Times New Roman"/>
          <w:sz w:val="24"/>
          <w:szCs w:val="24"/>
        </w:rPr>
      </w:pPr>
      <w:r>
        <w:rPr>
          <w:sz w:val="24"/>
          <w:szCs w:val="24"/>
        </w:rPr>
        <w:t>- отдельные папки для каждого комплекта ИД, в которых размещаются файлы отсканированных документов данного комплекта.</w:t>
      </w:r>
    </w:p>
    <w:p>
      <w:pPr>
        <w:pStyle w:val="Normal"/>
        <w:spacing w:lineRule="auto" w:line="240"/>
        <w:ind w:left="0" w:right="0" w:firstLine="709"/>
        <w:jc w:val="both"/>
        <w:rPr>
          <w:rFonts w:ascii="Times New Roman" w:hAnsi="Times New Roman"/>
          <w:sz w:val="24"/>
          <w:szCs w:val="24"/>
        </w:rPr>
      </w:pPr>
      <w:r>
        <w:rPr>
          <w:sz w:val="24"/>
          <w:szCs w:val="24"/>
        </w:rPr>
        <w:t>Основным идентификатором (признаком) наименования комплекта ИД в Реестре и элементом названия для соответствующей папки с файлами документов ИД следует принять номер чертежа рабочей документации.</w:t>
      </w:r>
    </w:p>
    <w:p>
      <w:pPr>
        <w:pStyle w:val="Normal"/>
        <w:spacing w:lineRule="auto" w:line="240"/>
        <w:ind w:left="0" w:right="0" w:firstLine="709"/>
        <w:jc w:val="both"/>
        <w:rPr>
          <w:rFonts w:ascii="Times New Roman" w:hAnsi="Times New Roman"/>
          <w:sz w:val="24"/>
          <w:szCs w:val="24"/>
        </w:rPr>
      </w:pPr>
      <w:r>
        <w:rPr>
          <w:sz w:val="24"/>
          <w:szCs w:val="24"/>
        </w:rPr>
        <w:t>В случае если в одном комплекте рабочих чертежей (за одним номером) на листах предусмотрено выполнение разных строительных конструктивов, то в папке с наименованием, соответствующим этому номеру комплекта рабочих чертежей, создаются подпапки для размещения соответствующих пакетов ИД. При наименовании указанных подпапок (и имен пакетов, записываемых в Реестре) дополнительно к номеру комплекта рабочих чертежей добавляется номер/номера соответствующих листов и сокращенное название строительного конструктива.</w:t>
      </w:r>
    </w:p>
    <w:p>
      <w:pPr>
        <w:pStyle w:val="Normal"/>
        <w:spacing w:lineRule="auto" w:line="240"/>
        <w:ind w:left="0" w:right="0" w:firstLine="709"/>
        <w:jc w:val="both"/>
        <w:rPr>
          <w:rFonts w:ascii="Times New Roman" w:hAnsi="Times New Roman"/>
          <w:sz w:val="24"/>
          <w:szCs w:val="24"/>
        </w:rPr>
      </w:pPr>
      <w:r>
        <w:rPr>
          <w:sz w:val="24"/>
          <w:szCs w:val="24"/>
        </w:rPr>
        <w:t>Требуемые сроки подготовки и размещения на сетевом ресурсе комплекта ИД в электронном виде для проверки и согласования:</w:t>
      </w:r>
    </w:p>
    <w:p>
      <w:pPr>
        <w:pStyle w:val="Normal"/>
        <w:spacing w:lineRule="auto" w:line="240"/>
        <w:ind w:left="0" w:right="0" w:firstLine="709"/>
        <w:jc w:val="both"/>
        <w:rPr>
          <w:rFonts w:ascii="Times New Roman" w:hAnsi="Times New Roman"/>
          <w:sz w:val="24"/>
          <w:szCs w:val="24"/>
        </w:rPr>
      </w:pPr>
      <w:r>
        <w:rPr>
          <w:sz w:val="24"/>
          <w:szCs w:val="24"/>
        </w:rPr>
        <w:t>- для ИД, оформляемой для освидетельствования (приемки) работ, оказывающих влияние на безопасность объекта (скрытые работы, ответственные конструкции, участки сетей инженерно-технического обеспечения), – за 3 (три) рабочих дня до даты освидетельствования;</w:t>
      </w:r>
    </w:p>
    <w:p>
      <w:pPr>
        <w:pStyle w:val="Normal"/>
        <w:spacing w:lineRule="auto" w:line="240"/>
        <w:ind w:left="0" w:right="0" w:firstLine="709"/>
        <w:jc w:val="both"/>
        <w:rPr>
          <w:rFonts w:ascii="Times New Roman" w:hAnsi="Times New Roman"/>
          <w:sz w:val="24"/>
          <w:szCs w:val="24"/>
        </w:rPr>
      </w:pPr>
      <w:r>
        <w:rPr>
          <w:sz w:val="24"/>
          <w:szCs w:val="24"/>
        </w:rPr>
        <w:t>- по ИД, оформляемой для приемки работ по актам КС-2 или по актам приемки объемов фактически выполненных работ за отчетный период (календарный месяц), – за 3 (три) рабочих дня до даты предъявления указанных актов;</w:t>
      </w:r>
    </w:p>
    <w:p>
      <w:pPr>
        <w:pStyle w:val="Normal"/>
        <w:spacing w:lineRule="auto" w:line="240"/>
        <w:ind w:left="0" w:right="0" w:firstLine="709"/>
        <w:jc w:val="both"/>
        <w:rPr>
          <w:rFonts w:ascii="Times New Roman" w:hAnsi="Times New Roman"/>
          <w:sz w:val="24"/>
          <w:szCs w:val="24"/>
        </w:rPr>
      </w:pPr>
      <w:r>
        <w:rPr>
          <w:sz w:val="24"/>
          <w:szCs w:val="24"/>
        </w:rPr>
        <w:t>- для сводной (сдаточной) ИД по полностью готовым строительным конструктивам или функционально-технологическим узлам (системам) – не позднее 5 (пяти) рабочих дней со дня сдачи-приемки полностью готового строительного конструктива и не позднее 3 (трех) рабочих дней до дня сдачи-приемки тех строительных конструктивов, завершенного монтажом оборудования или функционально-технологического узла (системы), приемка которых должна осуществляться специализированными подкомиссиями (далее – СПК);</w:t>
      </w:r>
    </w:p>
    <w:p>
      <w:pPr>
        <w:pStyle w:val="Normal"/>
        <w:spacing w:lineRule="auto" w:line="240"/>
        <w:ind w:left="0" w:right="0" w:firstLine="709"/>
        <w:jc w:val="both"/>
        <w:rPr>
          <w:rFonts w:ascii="Times New Roman" w:hAnsi="Times New Roman"/>
          <w:sz w:val="24"/>
          <w:szCs w:val="24"/>
        </w:rPr>
      </w:pPr>
      <w:r>
        <w:rPr>
          <w:sz w:val="24"/>
          <w:szCs w:val="24"/>
        </w:rPr>
        <w:t>- для ИД по результатам пусконаладочных работ – не позднее 5 (пяти) рабочих дней после индивидуальных испытаний оборудования или функционально-технологического узла.</w:t>
      </w:r>
    </w:p>
    <w:p>
      <w:pPr>
        <w:pStyle w:val="Normal"/>
        <w:spacing w:lineRule="auto" w:line="240"/>
        <w:ind w:left="0" w:right="0" w:firstLine="709"/>
        <w:jc w:val="both"/>
        <w:rPr>
          <w:rFonts w:ascii="Times New Roman" w:hAnsi="Times New Roman"/>
          <w:sz w:val="24"/>
          <w:szCs w:val="24"/>
        </w:rPr>
      </w:pPr>
      <w:r>
        <w:rPr>
          <w:sz w:val="24"/>
          <w:szCs w:val="24"/>
        </w:rPr>
        <w:t>Относящаяся к оборудованию заводская сопроводительная документация в бумажном виде, представляемая поставщиком вместе с оборудованием, не подлежит сканированию для перевода в электронный формат, но наименование каждого отдельного документа из состава такой документации должно быть отражено в Реестре соответствующего комплекта ИД на сетевом ресурсе.</w:t>
      </w:r>
    </w:p>
    <w:p>
      <w:pPr>
        <w:pStyle w:val="Normal"/>
        <w:spacing w:lineRule="auto" w:line="240"/>
        <w:ind w:left="0" w:right="0" w:firstLine="709"/>
        <w:jc w:val="both"/>
        <w:rPr>
          <w:rFonts w:ascii="Times New Roman" w:hAnsi="Times New Roman"/>
          <w:sz w:val="24"/>
          <w:szCs w:val="24"/>
        </w:rPr>
      </w:pPr>
      <w:r>
        <w:rPr>
          <w:sz w:val="24"/>
          <w:szCs w:val="24"/>
        </w:rPr>
        <w:t>Передача указанной документации в адрес Заказчика должна осуществляться не позднее 3 (трех) рабочих дней до дня сдачи-приемки (проведения СПК) завершенного монтажом оборудования или функционально-технологического узла (системы).</w:t>
      </w:r>
    </w:p>
    <w:p>
      <w:pPr>
        <w:pStyle w:val="Normal"/>
        <w:spacing w:lineRule="auto" w:line="240"/>
        <w:ind w:left="0" w:right="0" w:firstLine="709"/>
        <w:jc w:val="both"/>
        <w:rPr>
          <w:rFonts w:ascii="Times New Roman" w:hAnsi="Times New Roman"/>
          <w:sz w:val="24"/>
          <w:szCs w:val="24"/>
        </w:rPr>
      </w:pPr>
      <w:r>
        <w:rPr>
          <w:sz w:val="24"/>
          <w:szCs w:val="24"/>
        </w:rPr>
        <w:t>ИД (с соответствующим Реестром), не относящаяся к каким-то конкретным рабочим чертежам, которая ведется в течение всего периода строительства, а именно:</w:t>
      </w:r>
    </w:p>
    <w:p>
      <w:pPr>
        <w:pStyle w:val="Normal"/>
        <w:spacing w:lineRule="auto" w:line="240"/>
        <w:ind w:left="0" w:right="0" w:firstLine="709"/>
        <w:jc w:val="both"/>
        <w:rPr>
          <w:rFonts w:ascii="Times New Roman" w:hAnsi="Times New Roman"/>
          <w:sz w:val="24"/>
          <w:szCs w:val="24"/>
        </w:rPr>
      </w:pPr>
      <w:r>
        <w:rPr>
          <w:sz w:val="24"/>
          <w:szCs w:val="24"/>
        </w:rPr>
        <w:t>- документация пооперационного строительного контроля – журналы работ (общий, специальные, авторского надзора, входного контроля);</w:t>
      </w:r>
    </w:p>
    <w:p>
      <w:pPr>
        <w:pStyle w:val="Normal"/>
        <w:spacing w:lineRule="auto" w:line="240"/>
        <w:ind w:left="0" w:right="0" w:firstLine="709"/>
        <w:jc w:val="both"/>
        <w:rPr>
          <w:rFonts w:ascii="Times New Roman" w:hAnsi="Times New Roman"/>
          <w:sz w:val="24"/>
          <w:szCs w:val="24"/>
        </w:rPr>
      </w:pPr>
      <w:r>
        <w:rPr>
          <w:sz w:val="24"/>
          <w:szCs w:val="24"/>
        </w:rPr>
        <w:t>- ИД по геодезии – акты освидетельствования геодезической разбивочной основы для строительства, разбивки осей объекта капитального строительства на местности, Протоколы (или журнал) регистрации и переноса монтажных знаков, марок, ориентиров и реперов для геодезического контроля;</w:t>
      </w:r>
    </w:p>
    <w:p>
      <w:pPr>
        <w:pStyle w:val="Normal"/>
        <w:spacing w:lineRule="auto" w:line="240"/>
        <w:ind w:left="0" w:right="0" w:firstLine="709"/>
        <w:jc w:val="both"/>
        <w:rPr>
          <w:rFonts w:ascii="Times New Roman" w:hAnsi="Times New Roman"/>
          <w:sz w:val="24"/>
          <w:szCs w:val="24"/>
        </w:rPr>
      </w:pPr>
      <w:r>
        <w:rPr>
          <w:sz w:val="24"/>
          <w:szCs w:val="24"/>
        </w:rPr>
        <w:t xml:space="preserve">- ИД по мониторингу за деформациями, осадками и кренами возводимых зданий и сооружений в период строительства; </w:t>
      </w:r>
    </w:p>
    <w:p>
      <w:pPr>
        <w:pStyle w:val="Normal"/>
        <w:spacing w:lineRule="auto" w:line="240"/>
        <w:ind w:left="0" w:right="0" w:firstLine="709"/>
        <w:jc w:val="both"/>
        <w:rPr>
          <w:rFonts w:ascii="Times New Roman" w:hAnsi="Times New Roman"/>
          <w:sz w:val="24"/>
          <w:szCs w:val="24"/>
        </w:rPr>
      </w:pPr>
      <w:r>
        <w:rPr>
          <w:sz w:val="24"/>
          <w:szCs w:val="24"/>
        </w:rPr>
        <w:t>- ИД по геотехническому мониторингу земляных масс, грунтовых оснований, пластов, насыпей, склонов, инклинометрии скважин, сейсмометрии,</w:t>
      </w:r>
    </w:p>
    <w:p>
      <w:pPr>
        <w:pStyle w:val="Normal"/>
        <w:spacing w:lineRule="auto" w:line="240"/>
        <w:ind w:left="0" w:right="0" w:firstLine="709"/>
        <w:jc w:val="both"/>
        <w:rPr>
          <w:sz w:val="22"/>
          <w:szCs w:val="22"/>
        </w:rPr>
      </w:pPr>
      <w:r>
        <w:rPr>
          <w:sz w:val="24"/>
          <w:szCs w:val="24"/>
        </w:rPr>
        <w:t>будет подлежать передаче от Технического заказчика (а в случае отсутствия Технического заказчика – от Подрядчика) в адрес Заказчика единым комплектом в бумажном виде на стадии завершения строительства (реконструкции, технического перевооружения) не позднее 5 (пяти) рабочих дней после получения по результатам проверки органом государственного строительного надзора заключения</w:t>
      </w:r>
      <w:r>
        <w:rPr>
          <w:rStyle w:val="FootnoteReference"/>
          <w:sz w:val="24"/>
          <w:szCs w:val="24"/>
        </w:rPr>
        <w:footnoteReference w:id="13"/>
      </w:r>
      <w:r>
        <w:rPr>
          <w:sz w:val="24"/>
          <w:szCs w:val="24"/>
        </w:rPr>
        <w:t xml:space="preserve"> о соответствии законченного строительством, реконструкцией объекта капитального строительства требованиям технических регламентов, иных нормативных правовых актов и проектной документации, в том числе требованиям в отношении энергетической эффективности и требованиям в отношении оснащенности объектов капитального строительства приборами учета используемых энергетических ресурсов.</w:t>
      </w:r>
    </w:p>
    <w:p>
      <w:pPr>
        <w:pStyle w:val="Normal"/>
        <w:spacing w:lineRule="auto" w:line="240"/>
        <w:ind w:left="0" w:right="0" w:firstLine="709"/>
        <w:jc w:val="both"/>
        <w:rPr>
          <w:rFonts w:ascii="Times New Roman" w:hAnsi="Times New Roman"/>
          <w:sz w:val="24"/>
          <w:szCs w:val="24"/>
        </w:rPr>
      </w:pPr>
      <w:r>
        <w:rPr>
          <w:sz w:val="24"/>
          <w:szCs w:val="24"/>
        </w:rPr>
        <w:t>Требования к ведению исполнительной документации в форме электронных документов по пунктам 4, 5, 9 приложения № 2 к приказу Минстроя России от 16.05.2023 № 344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будут применяются после реализации соответствующего функционала в информационных системах Группы РусГидро, а также размещения новой xml-схемы на официальном сайте Министерства строительства и жилищно-коммунального хозяйства Российской Федерации в сети Интернет.</w:t>
      </w:r>
    </w:p>
    <w:p>
      <w:pPr>
        <w:pStyle w:val="Normal"/>
        <w:spacing w:lineRule="auto" w:line="240"/>
        <w:ind w:left="0" w:right="0" w:firstLine="709"/>
        <w:jc w:val="both"/>
        <w:rPr>
          <w:rFonts w:ascii="Times New Roman" w:hAnsi="Times New Roman"/>
          <w:sz w:val="24"/>
          <w:szCs w:val="24"/>
        </w:rPr>
      </w:pPr>
      <w:r>
        <w:rPr>
          <w:sz w:val="24"/>
          <w:szCs w:val="24"/>
        </w:rPr>
      </w:r>
    </w:p>
    <w:p>
      <w:pPr>
        <w:pStyle w:val="Normal"/>
        <w:spacing w:lineRule="auto" w:line="240"/>
        <w:jc w:val="both"/>
        <w:rPr>
          <w:rFonts w:ascii="Times New Roman" w:hAnsi="Times New Roman"/>
          <w:sz w:val="24"/>
          <w:szCs w:val="24"/>
        </w:rPr>
      </w:pPr>
      <w:r>
        <w:rPr>
          <w:sz w:val="24"/>
          <w:szCs w:val="24"/>
        </w:rPr>
        <w:t>Приложение: формы Реестров исполнительной документации для разделов Р-1, Р-2, Р-3, Р-4 в электронном виде.</w:t>
      </w:r>
      <w:r>
        <w:rPr>
          <w:rStyle w:val="FootnoteReference"/>
          <w:sz w:val="24"/>
          <w:szCs w:val="24"/>
        </w:rPr>
        <w:footnoteReference w:id="14"/>
      </w:r>
    </w:p>
    <w:p>
      <w:pPr>
        <w:pStyle w:val="Normal"/>
        <w:spacing w:lineRule="auto" w:line="240" w:before="0" w:after="0"/>
        <w:ind w:left="5103" w:right="0" w:hanging="0"/>
        <w:rPr>
          <w:rFonts w:ascii="Times New Roman" w:hAnsi="Times New Roman"/>
          <w:sz w:val="24"/>
          <w:szCs w:val="24"/>
        </w:rPr>
      </w:pPr>
      <w:r>
        <w:rPr>
          <w:sz w:val="24"/>
          <w:szCs w:val="24"/>
        </w:rPr>
      </w:r>
    </w:p>
    <w:p>
      <w:pPr>
        <w:pStyle w:val="Normal"/>
        <w:spacing w:lineRule="auto" w:line="240" w:before="0" w:after="0"/>
        <w:rPr>
          <w:rFonts w:ascii="Times New Roman" w:hAnsi="Times New Roman"/>
          <w:sz w:val="24"/>
          <w:szCs w:val="24"/>
        </w:rPr>
      </w:pPr>
      <w:r>
        <w:rPr>
          <w:sz w:val="24"/>
          <w:szCs w:val="24"/>
        </w:rPr>
      </w:r>
    </w:p>
    <w:tbl>
      <w:tblPr>
        <w:tblW w:w="9571" w:type="dxa"/>
        <w:jc w:val="left"/>
        <w:tblInd w:w="108" w:type="dxa"/>
        <w:tblLayout w:type="fixed"/>
        <w:tblCellMar>
          <w:top w:w="0" w:type="dxa"/>
          <w:left w:w="108" w:type="dxa"/>
          <w:bottom w:w="0" w:type="dxa"/>
          <w:right w:w="108" w:type="dxa"/>
        </w:tblCellMar>
      </w:tblPr>
      <w:tblGrid>
        <w:gridCol w:w="4785"/>
        <w:gridCol w:w="4785"/>
      </w:tblGrid>
      <w:tr>
        <w:trPr/>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Заказчик:</w:t>
            </w:r>
          </w:p>
        </w:tc>
        <w:tc>
          <w:tcPr>
            <w:tcW w:w="4785" w:type="dxa"/>
            <w:tcBorders/>
            <w:shd w:fill="auto" w:val="clear"/>
          </w:tcPr>
          <w:p>
            <w:pPr>
              <w:pStyle w:val="Normal"/>
              <w:widowControl w:val="false"/>
              <w:spacing w:lineRule="auto" w:line="240" w:before="0" w:after="0"/>
              <w:rPr>
                <w:rFonts w:ascii="Times New Roman" w:hAnsi="Times New Roman"/>
                <w:b/>
                <w:sz w:val="24"/>
                <w:szCs w:val="24"/>
              </w:rPr>
            </w:pPr>
            <w:r>
              <w:rPr>
                <w:b/>
                <w:sz w:val="24"/>
                <w:szCs w:val="24"/>
              </w:rPr>
              <w:t>Подрядчик:</w:t>
            </w:r>
          </w:p>
        </w:tc>
      </w:tr>
      <w:tr>
        <w:trPr/>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_______________ / _______________</w:t>
            </w:r>
          </w:p>
        </w:tc>
        <w:tc>
          <w:tcPr>
            <w:tcW w:w="4785" w:type="dxa"/>
            <w:tcBorders/>
            <w:shd w:fill="auto" w:val="clear"/>
          </w:tcPr>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r>
          </w:p>
          <w:p>
            <w:pPr>
              <w:pStyle w:val="Normal"/>
              <w:widowControl w:val="false"/>
              <w:spacing w:lineRule="auto" w:line="240" w:before="0" w:after="0"/>
              <w:rPr>
                <w:rFonts w:ascii="Times New Roman" w:hAnsi="Times New Roman"/>
                <w:sz w:val="24"/>
                <w:szCs w:val="24"/>
              </w:rPr>
            </w:pPr>
            <w:r>
              <w:rPr>
                <w:sz w:val="24"/>
                <w:szCs w:val="24"/>
              </w:rPr>
              <w:t>_______________ / _______________</w:t>
            </w:r>
          </w:p>
          <w:p>
            <w:pPr>
              <w:pStyle w:val="Normal"/>
              <w:widowControl w:val="false"/>
              <w:spacing w:lineRule="auto" w:line="240" w:before="0" w:after="0"/>
              <w:rPr>
                <w:rFonts w:ascii="Times New Roman" w:hAnsi="Times New Roman"/>
                <w:sz w:val="24"/>
                <w:szCs w:val="24"/>
              </w:rPr>
            </w:pPr>
            <w:r>
              <w:rPr>
                <w:sz w:val="24"/>
                <w:szCs w:val="24"/>
              </w:rPr>
            </w:r>
          </w:p>
        </w:tc>
      </w:tr>
    </w:tbl>
    <w:p>
      <w:pPr>
        <w:pStyle w:val="Normal"/>
        <w:spacing w:lineRule="auto" w:line="240" w:before="0" w:after="0"/>
        <w:ind w:left="5103" w:right="0" w:hanging="0"/>
        <w:rPr/>
      </w:pPr>
      <w:r>
        <w:rPr/>
      </w:r>
    </w:p>
    <w:p>
      <w:pPr>
        <w:pStyle w:val="Normal"/>
        <w:spacing w:lineRule="auto" w:line="240" w:before="0" w:after="0"/>
        <w:ind w:left="5103" w:right="0" w:hanging="0"/>
        <w:rPr/>
      </w:pPr>
      <w:r>
        <w:rPr/>
      </w:r>
    </w:p>
    <w:p>
      <w:pPr>
        <w:pStyle w:val="Normal"/>
        <w:spacing w:lineRule="auto" w:line="240" w:before="0" w:after="0"/>
        <w:ind w:left="5103" w:right="0" w:hanging="0"/>
        <w:rPr/>
      </w:pPr>
      <w:r>
        <w:rPr/>
      </w:r>
    </w:p>
    <w:p>
      <w:pPr>
        <w:pStyle w:val="Normal"/>
        <w:spacing w:lineRule="auto" w:line="240" w:before="0" w:after="0"/>
        <w:ind w:hanging="0"/>
        <w:jc w:val="right"/>
        <w:rPr>
          <w:rFonts w:ascii="Times New Roman" w:hAnsi="Times New Roman"/>
          <w:sz w:val="24"/>
          <w:szCs w:val="24"/>
        </w:rPr>
      </w:pPr>
      <w:r>
        <w:rPr>
          <w:sz w:val="24"/>
          <w:szCs w:val="24"/>
        </w:rPr>
        <w:t>Приложение №14</w:t>
      </w:r>
    </w:p>
    <w:p>
      <w:pPr>
        <w:pStyle w:val="Normal"/>
        <w:spacing w:lineRule="auto" w:line="240" w:before="0" w:after="0"/>
        <w:jc w:val="right"/>
        <w:rPr>
          <w:rFonts w:ascii="Times New Roman" w:hAnsi="Times New Roman"/>
          <w:sz w:val="24"/>
          <w:szCs w:val="24"/>
        </w:rPr>
      </w:pPr>
      <w:r>
        <w:rPr>
          <w:sz w:val="24"/>
          <w:szCs w:val="24"/>
        </w:rPr>
        <w:t xml:space="preserve">к договору подряда </w:t>
      </w:r>
    </w:p>
    <w:p>
      <w:pPr>
        <w:pStyle w:val="Normal"/>
        <w:spacing w:lineRule="auto" w:line="240" w:before="0" w:after="0"/>
        <w:jc w:val="right"/>
        <w:rPr>
          <w:rFonts w:ascii="Times New Roman" w:hAnsi="Times New Roman"/>
          <w:sz w:val="24"/>
          <w:szCs w:val="24"/>
        </w:rPr>
      </w:pPr>
      <w:r>
        <w:rPr>
          <w:sz w:val="24"/>
          <w:szCs w:val="24"/>
        </w:rPr>
        <w:t>№</w:t>
      </w:r>
      <w:r>
        <w:rPr>
          <w:sz w:val="24"/>
          <w:szCs w:val="24"/>
        </w:rPr>
        <w:t>__ от __.__.20__</w:t>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t>Регламент взаимодействия в ходе исполнения процессов управления проектом</w:t>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center"/>
        <w:rPr>
          <w:bCs/>
        </w:rPr>
      </w:pPr>
      <w:r>
        <w:rPr>
          <w:bCs/>
        </w:rPr>
      </w:r>
    </w:p>
    <w:tbl>
      <w:tblPr>
        <w:tblW w:w="9637"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642"/>
        <w:gridCol w:w="4994"/>
      </w:tblGrid>
      <w:tr>
        <w:trPr/>
        <w:tc>
          <w:tcPr>
            <w:tcW w:w="4642"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4"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2"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c>
          <w:tcPr>
            <w:tcW w:w="4994"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_______________ / _______________</w:t>
            </w:r>
          </w:p>
          <w:p>
            <w:pPr>
              <w:pStyle w:val="Normal"/>
              <w:widowControl w:val="false"/>
              <w:spacing w:lineRule="auto" w:line="240"/>
              <w:ind w:hanging="0"/>
              <w:jc w:val="left"/>
              <w:rPr>
                <w:sz w:val="24"/>
                <w:szCs w:val="24"/>
              </w:rPr>
            </w:pPr>
            <w:r>
              <w:rPr>
                <w:sz w:val="24"/>
                <w:szCs w:val="24"/>
              </w:rPr>
            </w:r>
          </w:p>
        </w:tc>
      </w:tr>
    </w:tbl>
    <w:p>
      <w:pPr>
        <w:pStyle w:val="Normal"/>
        <w:shd w:val="clear" w:color="auto" w:fill="FFFFFF"/>
        <w:ind w:left="0" w:hanging="0"/>
        <w:jc w:val="center"/>
        <w:rPr>
          <w:bCs/>
        </w:rPr>
      </w:pPr>
      <w:r>
        <w:rPr/>
      </w:r>
    </w:p>
    <w:sectPr>
      <w:headerReference w:type="default" r:id="rId8"/>
      <w:headerReference w:type="first" r:id="rId9"/>
      <w:footerReference w:type="default" r:id="rId10"/>
      <w:footnotePr>
        <w:numFmt w:val="decimal"/>
      </w:footnotePr>
      <w:type w:val="nextPage"/>
      <w:pgSz w:w="11906" w:h="16838"/>
      <w:pgMar w:left="1418" w:right="851" w:gutter="0" w:header="709" w:top="1134" w:footer="709"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Style w:val="Style6"/>
        </w:rPr>
        <w:tab/>
      </w:r>
      <w:r>
        <w:rPr>
          <w:shd w:fill="FFFFFF" w:val="clear"/>
        </w:rPr>
        <w:t xml:space="preserve"> Указывается размер тендерного коэффициента, установленный в заявке победителя закупки, с которым заключен договор.</w:t>
      </w:r>
    </w:p>
  </w:footnote>
  <w:footnote w:id="3">
    <w:p>
      <w:pPr>
        <w:pStyle w:val="FootnoteText"/>
        <w:jc w:val="both"/>
        <w:rPr/>
      </w:pPr>
      <w:r>
        <w:rPr>
          <w:rStyle w:val="Style6"/>
        </w:rPr>
        <w:footnoteRef/>
      </w:r>
      <w:r>
        <w:rPr>
          <w:rStyle w:val="Style6"/>
        </w:rPr>
        <w:tab/>
      </w:r>
      <w:r>
        <w:rPr/>
        <w:t xml:space="preserve"> В случае если членство в СРО требуется в соответствии с законодательством Российской Федерации </w:t>
      </w:r>
    </w:p>
  </w:footnote>
  <w:footnote w:id="4">
    <w:p>
      <w:pPr>
        <w:pStyle w:val="FootnoteText"/>
        <w:jc w:val="both"/>
        <w:rPr/>
      </w:pPr>
      <w:r>
        <w:rPr>
          <w:rStyle w:val="Style6"/>
        </w:rPr>
        <w:footnoteRef/>
      </w:r>
      <w:r>
        <w:rPr>
          <w:rStyle w:val="Style6"/>
        </w:rPr>
        <w:tab/>
      </w:r>
      <w:r>
        <w:rPr/>
        <w:t xml:space="preserve"> В случае если членство в СРО требуется в соответствии с законодательством Российской Федерации</w:t>
      </w:r>
    </w:p>
  </w:footnote>
  <w:footnote w:id="5">
    <w:p>
      <w:pPr>
        <w:pStyle w:val="FootnoteText"/>
        <w:rPr/>
      </w:pPr>
      <w:r>
        <w:rPr>
          <w:rStyle w:val="Style6"/>
        </w:rPr>
        <w:footnoteRef/>
      </w:r>
      <w:r>
        <w:rPr>
          <w:rStyle w:val="Style6"/>
        </w:rPr>
        <w:tab/>
      </w:r>
      <w:r>
        <w:rPr/>
        <w:t xml:space="preserve"> Абзацы второй и третий включаются в текст договора в случае заключения договора в электронной форме.</w:t>
      </w:r>
    </w:p>
  </w:footnote>
  <w:footnote w:id="6">
    <w:p>
      <w:pPr>
        <w:pStyle w:val="FootnoteText"/>
        <w:rPr/>
      </w:pPr>
      <w:r>
        <w:rPr>
          <w:rStyle w:val="Style6"/>
        </w:rPr>
        <w:footnoteRef/>
      </w:r>
      <w:r>
        <w:rPr>
          <w:rStyle w:val="Style6"/>
        </w:rPr>
        <w:tab/>
      </w:r>
      <w:r>
        <w:rPr/>
        <w:t xml:space="preserve"> Составляются филиалом в произвольной форме с обязательным указанием наименования материалов/оборудования, их количества, марки, протяженности, веса и других необходимых характеристик, указанных в паспорте на объект (ВЛ, ПС, ТП и др.), и включаются в ТЗ к договору как объём работ по демонтажу</w:t>
      </w:r>
    </w:p>
  </w:footnote>
  <w:footnote w:id="7">
    <w:p>
      <w:pPr>
        <w:pStyle w:val="FootnoteText"/>
        <w:rPr/>
      </w:pPr>
      <w:r>
        <w:rPr>
          <w:rStyle w:val="Style6"/>
        </w:rPr>
        <w:footnoteRef/>
      </w:r>
      <w:r>
        <w:rPr>
          <w:rStyle w:val="Style6"/>
        </w:rPr>
        <w:tab/>
      </w:r>
      <w:r>
        <w:rPr/>
        <w:t xml:space="preserve"> В случае отсутствия в ТЗ указанных сведений, объемы и номенклатура материалов и оборудования перечисляются в Порядке. </w:t>
      </w:r>
    </w:p>
  </w:footnote>
  <w:footnote w:id="8">
    <w:p>
      <w:pPr>
        <w:pStyle w:val="FootnoteText"/>
        <w:rPr/>
      </w:pPr>
      <w:r>
        <w:rPr>
          <w:rStyle w:val="Style6"/>
        </w:rPr>
        <w:footnoteRef/>
      </w:r>
      <w:r>
        <w:rPr>
          <w:rStyle w:val="Style6"/>
        </w:rPr>
        <w:tab/>
      </w:r>
      <w:r>
        <w:rPr>
          <w:rFonts w:ascii="Liberation Serif" w:hAnsi="Liberation Serif"/>
          <w:sz w:val="18"/>
          <w:szCs w:val="18"/>
        </w:rPr>
        <w:t xml:space="preserve"> Далее – ПО.</w:t>
      </w:r>
    </w:p>
  </w:footnote>
  <w:footnote w:id="9">
    <w:p>
      <w:pPr>
        <w:pStyle w:val="FootnoteText"/>
        <w:rPr/>
      </w:pPr>
      <w:r>
        <w:rPr>
          <w:rStyle w:val="Style6"/>
        </w:rPr>
        <w:footnoteRef/>
      </w:r>
      <w:r>
        <w:rPr>
          <w:rStyle w:val="Style6"/>
        </w:rPr>
        <w:tab/>
      </w:r>
      <w:r>
        <w:rPr/>
        <w:t xml:space="preserve"> </w:t>
      </w:r>
      <w:r>
        <w:rPr>
          <w:rFonts w:ascii="Liberation Serif" w:hAnsi="Liberation Serif"/>
          <w:sz w:val="18"/>
          <w:szCs w:val="18"/>
        </w:rPr>
        <w:t>Далее соответственно Заказчик, Технический заказчик и Подрядчик.</w:t>
      </w:r>
    </w:p>
  </w:footnote>
  <w:footnote w:id="10">
    <w:p>
      <w:pPr>
        <w:pStyle w:val="FootnoteText"/>
        <w:jc w:val="both"/>
        <w:rPr/>
      </w:pPr>
      <w:r>
        <w:rPr>
          <w:rStyle w:val="Style6"/>
        </w:rPr>
        <w:footnoteRef/>
      </w:r>
      <w:r>
        <w:rPr>
          <w:rStyle w:val="Style6"/>
        </w:rPr>
        <w:tab/>
      </w:r>
      <w:r>
        <w:rPr/>
        <w:t xml:space="preserve"> </w:t>
      </w:r>
      <w:r>
        <w:rPr>
          <w:rFonts w:ascii="Liberation Serif" w:hAnsi="Liberation Serif"/>
          <w:sz w:val="18"/>
          <w:szCs w:val="18"/>
        </w:rPr>
        <w:t>Далее также ИД. Состав исполнительной документации должен соответствовать Требованиям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утвержденным приказом Ростехнадзора от 26.12.2006 № 1128, и перечню ИД, указанному в проектной и рабочей документации на реконструкцию и техническое перевооружение объекта капитального строительства, а также требованиям федеральных норм и правил (ФНП), правил, руководящих документов (РД), сводов правил (СП), строительных норм и правил (СНиП), технических регламентов (ТР), национальных стандартов (ГОСТ Р), иных нормативно-правовых и нормативно-технических документов Российской Федерации, как непосредственно указанных в проектной и рабочей документации, так и не указанных, но применимых в отношении выполняемых работ.</w:t>
      </w:r>
    </w:p>
  </w:footnote>
  <w:footnote w:id="11">
    <w:p>
      <w:pPr>
        <w:pStyle w:val="FootnoteText"/>
        <w:rPr>
          <w:sz w:val="18"/>
          <w:szCs w:val="18"/>
        </w:rPr>
      </w:pPr>
      <w:r>
        <w:rPr>
          <w:rStyle w:val="Style6"/>
        </w:rPr>
        <w:footnoteRef/>
      </w:r>
      <w:r>
        <w:rPr>
          <w:rStyle w:val="Style6"/>
        </w:rPr>
        <w:tab/>
      </w:r>
      <w:r>
        <w:rPr>
          <w:sz w:val="18"/>
          <w:szCs w:val="18"/>
        </w:rPr>
        <w:t xml:space="preserve"> </w:t>
      </w:r>
      <w:r>
        <w:rPr>
          <w:rFonts w:ascii="Liberation Serif" w:hAnsi="Liberation Serif"/>
          <w:sz w:val="18"/>
          <w:szCs w:val="18"/>
        </w:rPr>
        <w:t>К формату размещения на сетевом ресурсе исполнительной документации относятся:</w:t>
      </w:r>
    </w:p>
    <w:p>
      <w:pPr>
        <w:pStyle w:val="FootnoteText"/>
        <w:widowControl/>
        <w:numPr>
          <w:ilvl w:val="0"/>
          <w:numId w:val="20"/>
        </w:numPr>
        <w:tabs>
          <w:tab w:val="clear" w:pos="708"/>
          <w:tab w:val="left" w:pos="338" w:leader="none"/>
        </w:tabs>
        <w:bidi w:val="0"/>
        <w:spacing w:lineRule="auto" w:line="240" w:before="0" w:after="0"/>
        <w:ind w:left="0" w:right="0" w:firstLine="227"/>
        <w:jc w:val="both"/>
        <w:rPr>
          <w:rFonts w:ascii="Liberation Serif" w:hAnsi="Liberation Serif"/>
          <w:sz w:val="18"/>
          <w:szCs w:val="18"/>
        </w:rPr>
      </w:pPr>
      <w:r>
        <w:rPr>
          <w:rFonts w:ascii="Liberation Serif" w:hAnsi="Liberation Serif"/>
          <w:sz w:val="18"/>
          <w:szCs w:val="18"/>
        </w:rPr>
        <w:tab/>
        <w:t>электронные копии бумажной версии документации с использованием программно-технических средств;</w:t>
      </w:r>
    </w:p>
    <w:p>
      <w:pPr>
        <w:pStyle w:val="FootnoteText"/>
        <w:widowControl/>
        <w:numPr>
          <w:ilvl w:val="0"/>
          <w:numId w:val="20"/>
        </w:numPr>
        <w:tabs>
          <w:tab w:val="clear" w:pos="708"/>
          <w:tab w:val="left" w:pos="338" w:leader="none"/>
        </w:tabs>
        <w:bidi w:val="0"/>
        <w:spacing w:lineRule="auto" w:line="240" w:before="0" w:after="0"/>
        <w:ind w:left="0" w:right="0" w:firstLine="227"/>
        <w:jc w:val="both"/>
        <w:rPr/>
      </w:pPr>
      <w:r>
        <w:rPr>
          <w:rFonts w:ascii="Liberation Serif" w:hAnsi="Liberation Serif"/>
          <w:sz w:val="18"/>
          <w:szCs w:val="18"/>
        </w:rPr>
        <w:tab/>
        <w:t>копии в электронной форме в стандартных форматах, предусматривающих хранение графических изображений в виде векторной графики, допускающих редактирование с применением программного обеспечения; в электронной форме должны быть отражены все изменения и корректировки, выполненные в процессе проведения работ и соответствующие выполненному монтажу на оборудовании и устройствах, согласованные и заверенные проектировщиком. Обязанность по формированию электронных копий возлагается на Подрядчика.</w:t>
      </w:r>
    </w:p>
  </w:footnote>
  <w:footnote w:id="12">
    <w:p>
      <w:pPr>
        <w:pStyle w:val="FootnoteText"/>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Подрядчик уведомляет Заказчика в случае реализации инвестиционного проекта без участия Технического заказчика </w:t>
        <w:br/>
        <w:t>в качестве стороны. Для данных инвестиционных проектов (при наличии ссылки на эту сноску далее по тексту) действия Технического заказчика выполняет Заказчик.</w:t>
      </w:r>
    </w:p>
  </w:footnote>
  <w:footnote w:id="13">
    <w:p>
      <w:pPr>
        <w:pStyle w:val="FootnoteText"/>
        <w:jc w:val="both"/>
        <w:rPr/>
      </w:pPr>
      <w:r>
        <w:rPr>
          <w:rStyle w:val="Style6"/>
        </w:rPr>
        <w:footnoteRef/>
      </w:r>
      <w:r>
        <w:rPr>
          <w:rStyle w:val="Style6"/>
        </w:rPr>
        <w:tab/>
      </w:r>
      <w:r>
        <w:rPr>
          <w:rFonts w:ascii="Liberation Serif" w:hAnsi="Liberation Serif"/>
        </w:rPr>
        <w:t xml:space="preserve"> </w:t>
      </w:r>
      <w:r>
        <w:rPr>
          <w:rFonts w:ascii="Liberation Serif" w:hAnsi="Liberation Serif"/>
          <w:sz w:val="18"/>
          <w:szCs w:val="18"/>
        </w:rPr>
        <w:t xml:space="preserve">В случае если предусмотрено осуществление государственного строительного надзора в соответствии </w:t>
        <w:br/>
        <w:t>с «Градостроительным кодексом Российской Федерации» от 29.12.2004 № 190-ФЗ и постановлением Правительства Российской Федерации от 01.12.2021 № 2161 (ред. от 30.03.2023) «Об утверждении общих требований к организации и осуществлению регионального государственного строительного надзора».</w:t>
      </w:r>
    </w:p>
  </w:footnote>
  <w:footnote w:id="14">
    <w:p>
      <w:pPr>
        <w:pStyle w:val="FootnoteText"/>
        <w:jc w:val="both"/>
        <w:rPr/>
      </w:pPr>
      <w:r>
        <w:rPr>
          <w:rStyle w:val="Style6"/>
        </w:rPr>
        <w:footnoteRef/>
      </w:r>
      <w:r>
        <w:rPr>
          <w:rStyle w:val="Style6"/>
        </w:rPr>
        <w:tab/>
      </w:r>
      <w:r>
        <w:rPr>
          <w:rFonts w:ascii="Liberation Serif" w:hAnsi="Liberation Serif"/>
          <w:sz w:val="18"/>
          <w:szCs w:val="18"/>
          <w:shd w:fill="FFFFFF" w:val="clear"/>
        </w:rPr>
        <w:t xml:space="preserve"> Прикладываются реестры, утвержденные приказом АО «ДРСК» от 16.10.2023 №451 </w:t>
      </w:r>
      <w:r>
        <w:rPr>
          <w:rFonts w:ascii="Liberation Serif" w:hAnsi="Liberation Serif"/>
          <w:b w:val="false"/>
          <w:bCs w:val="false"/>
          <w:i w:val="false"/>
          <w:iCs w:val="false"/>
          <w:sz w:val="18"/>
          <w:szCs w:val="18"/>
          <w:shd w:fill="FFFFFF" w:val="clear"/>
        </w:rPr>
        <w:t>«</w:t>
      </w:r>
      <w:r>
        <w:rPr>
          <w:rFonts w:eastAsia="Times New Roman" w:cs="Times New Roman" w:ascii="Liberation Serif" w:hAnsi="Liberation Serif"/>
          <w:b w:val="false"/>
          <w:bCs w:val="false"/>
          <w:i w:val="false"/>
          <w:iCs w:val="false"/>
          <w:sz w:val="18"/>
          <w:szCs w:val="18"/>
          <w:shd w:fill="FFFFFF" w:val="clear"/>
        </w:rPr>
        <w:t>О принятии к исполнению порядка представления и согласования исполнительной документации»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i/>
        <w:i/>
        <w:color w:val="000000"/>
        <w:sz w:val="18"/>
        <w:szCs w:val="22"/>
      </w:rPr>
    </w:pPr>
    <w:r>
      <w:rPr>
        <w:bCs/>
        <w:i/>
        <w:color w:val="000000"/>
        <w:sz w:val="18"/>
        <w:szCs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rPr>
    </w:lvl>
    <w:lvl w:ilvl="2">
      <w:start w:val="1"/>
      <w:numFmt w:val="decimal"/>
      <w:lvlText w:val="%1.%2.%3."/>
      <w:lvlJc w:val="left"/>
      <w:pPr>
        <w:tabs>
          <w:tab w:val="num" w:pos="0"/>
        </w:tabs>
        <w:ind w:left="3907"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5">
    <w:lvl w:ilvl="0">
      <w:start w:val="1"/>
      <w:numFmt w:val="bullet"/>
      <w:lvlText w:val=""/>
      <w:lvlJc w:val="left"/>
      <w:pPr>
        <w:tabs>
          <w:tab w:val="num" w:pos="0"/>
        </w:tabs>
        <w:ind w:left="163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decimal"/>
      <w:lvlText w:val="11.%1."/>
      <w:lvlJc w:val="left"/>
      <w:pPr>
        <w:tabs>
          <w:tab w:val="num" w:pos="0"/>
        </w:tabs>
        <w:ind w:left="1070" w:hanging="360"/>
      </w:pPr>
      <w:rPr/>
    </w:lvl>
    <w:lvl w:ilvl="1">
      <w:start w:val="1"/>
      <w:numFmt w:val="decimal"/>
      <w:lvlText w:val="11.7.%2."/>
      <w:lvlJc w:val="left"/>
      <w:pPr>
        <w:tabs>
          <w:tab w:val="num" w:pos="0"/>
        </w:tabs>
        <w:ind w:left="1429" w:hanging="360"/>
      </w:pPr>
      <w:rPr/>
    </w:lvl>
    <w:lvl w:ilvl="2">
      <w:start w:val="1"/>
      <w:numFmt w:val="decimal"/>
      <w:lvlText w:val="%1.%2.%3."/>
      <w:lvlJc w:val="left"/>
      <w:pPr>
        <w:tabs>
          <w:tab w:val="num" w:pos="0"/>
        </w:tabs>
        <w:ind w:left="1789" w:hanging="720"/>
      </w:pPr>
      <w:rPr/>
    </w:lvl>
    <w:lvl w:ilvl="3">
      <w:start w:val="1"/>
      <w:numFmt w:val="decimal"/>
      <w:lvlText w:val="%1.%2.%3.%4."/>
      <w:lvlJc w:val="left"/>
      <w:pPr>
        <w:tabs>
          <w:tab w:val="num" w:pos="0"/>
        </w:tabs>
        <w:ind w:left="1789" w:hanging="720"/>
      </w:pPr>
      <w:rPr/>
    </w:lvl>
    <w:lvl w:ilvl="4">
      <w:start w:val="1"/>
      <w:numFmt w:val="decimal"/>
      <w:lvlText w:val="%1.%2.%3.%4.%5."/>
      <w:lvlJc w:val="left"/>
      <w:pPr>
        <w:tabs>
          <w:tab w:val="num" w:pos="0"/>
        </w:tabs>
        <w:ind w:left="2149" w:hanging="1080"/>
      </w:pPr>
      <w:rPr/>
    </w:lvl>
    <w:lvl w:ilvl="5">
      <w:start w:val="1"/>
      <w:numFmt w:val="decimal"/>
      <w:lvlText w:val="%1.%2.%3.%4.%5.%6."/>
      <w:lvlJc w:val="left"/>
      <w:pPr>
        <w:tabs>
          <w:tab w:val="num" w:pos="0"/>
        </w:tabs>
        <w:ind w:left="2149" w:hanging="1080"/>
      </w:pPr>
      <w:rPr/>
    </w:lvl>
    <w:lvl w:ilvl="6">
      <w:start w:val="1"/>
      <w:numFmt w:val="decimal"/>
      <w:lvlText w:val="%1.%2.%3.%4.%5.%6.%7."/>
      <w:lvlJc w:val="left"/>
      <w:pPr>
        <w:tabs>
          <w:tab w:val="num" w:pos="0"/>
        </w:tabs>
        <w:ind w:left="2509" w:hanging="1440"/>
      </w:pPr>
      <w:rPr/>
    </w:lvl>
    <w:lvl w:ilvl="7">
      <w:start w:val="1"/>
      <w:numFmt w:val="decimal"/>
      <w:lvlText w:val="%1.%2.%3.%4.%5.%6.%7.%8."/>
      <w:lvlJc w:val="left"/>
      <w:pPr>
        <w:tabs>
          <w:tab w:val="num" w:pos="0"/>
        </w:tabs>
        <w:ind w:left="2509" w:hanging="1440"/>
      </w:pPr>
      <w:rPr/>
    </w:lvl>
    <w:lvl w:ilvl="8">
      <w:start w:val="1"/>
      <w:numFmt w:val="decimal"/>
      <w:lvlText w:val="%1.%2.%3.%4.%5.%6.%7.%8.%9."/>
      <w:lvlJc w:val="left"/>
      <w:pPr>
        <w:tabs>
          <w:tab w:val="num" w:pos="0"/>
        </w:tabs>
        <w:ind w:left="2869" w:hanging="1800"/>
      </w:pPr>
      <w:rPr/>
    </w:lvl>
  </w:abstractNum>
  <w:abstractNum w:abstractNumId="19">
    <w:lvl w:ilvl="0">
      <w:start w:val="4"/>
      <w:numFmt w:val="decimal"/>
      <w:lvlText w:val="%1"/>
      <w:lvlJc w:val="left"/>
      <w:pPr>
        <w:tabs>
          <w:tab w:val="num" w:pos="0"/>
        </w:tabs>
        <w:ind w:left="360" w:hanging="360"/>
      </w:pPr>
      <w:rPr>
        <w:sz w:val="24"/>
        <w:b/>
        <w:szCs w:val="24"/>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0">
    <w:lvl w:ilvl="0">
      <w:start w:val="1"/>
      <w:numFmt w:val="bullet"/>
      <w:lvlText w:val="-"/>
      <w:lvlJc w:val="left"/>
      <w:pPr>
        <w:tabs>
          <w:tab w:val="num" w:pos="0"/>
        </w:tabs>
        <w:ind w:left="720" w:hanging="360"/>
      </w:pPr>
      <w:rPr>
        <w:rFonts w:ascii="Times New Roman" w:hAnsi="Times New Roman" w:cs="Times New Roman" w:hint="default"/>
        <w:sz w:val="18"/>
        <w:szCs w:val="1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22">
    <w:lvl w:ilvl="0">
      <w:start w:val="1"/>
      <w:numFmt w:val="decimal"/>
      <w:lvlText w:val="%1."/>
      <w:lvlJc w:val="left"/>
      <w:pPr>
        <w:tabs>
          <w:tab w:val="num" w:pos="720"/>
        </w:tabs>
        <w:ind w:left="720" w:hanging="360"/>
      </w:pPr>
      <w:rPr>
        <w:sz w:val="22"/>
        <w:szCs w:val="24"/>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rPr>
        <w:sz w:val="24"/>
        <w:szCs w:val="24"/>
      </w:rPr>
    </w:lvl>
    <w:lvl w:ilvl="4">
      <w:start w:val="1"/>
      <w:numFmt w:val="decimal"/>
      <w:lvlText w:val="%5."/>
      <w:lvlJc w:val="left"/>
      <w:pPr>
        <w:tabs>
          <w:tab w:val="num" w:pos="2160"/>
        </w:tabs>
        <w:ind w:left="2160" w:hanging="360"/>
      </w:pPr>
      <w:rPr>
        <w:sz w:val="24"/>
        <w:szCs w:val="24"/>
      </w:rPr>
    </w:lvl>
    <w:lvl w:ilvl="5">
      <w:start w:val="1"/>
      <w:numFmt w:val="decimal"/>
      <w:lvlText w:val="%6."/>
      <w:lvlJc w:val="left"/>
      <w:pPr>
        <w:tabs>
          <w:tab w:val="num" w:pos="2520"/>
        </w:tabs>
        <w:ind w:left="2520" w:hanging="360"/>
      </w:pPr>
      <w:rPr>
        <w:sz w:val="24"/>
        <w:szCs w:val="24"/>
      </w:rPr>
    </w:lvl>
    <w:lvl w:ilvl="6">
      <w:start w:val="1"/>
      <w:numFmt w:val="decimal"/>
      <w:lvlText w:val="%7."/>
      <w:lvlJc w:val="left"/>
      <w:pPr>
        <w:tabs>
          <w:tab w:val="num" w:pos="2880"/>
        </w:tabs>
        <w:ind w:left="2880" w:hanging="360"/>
      </w:pPr>
      <w:rPr>
        <w:sz w:val="24"/>
        <w:szCs w:val="24"/>
      </w:rPr>
    </w:lvl>
    <w:lvl w:ilvl="7">
      <w:start w:val="1"/>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rPr>
        <w:sz w:val="24"/>
        <w:szCs w:val="24"/>
      </w:rPr>
    </w:lvl>
  </w:abstractNum>
  <w:abstractNum w:abstractNumId="23">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4">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5">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6">
    <w:lvl w:ilvl="0">
      <w:start w:val="1"/>
      <w:numFmt w:val="decimal"/>
      <w:lvlText w:val="%1."/>
      <w:lvlJc w:val="left"/>
      <w:pPr>
        <w:tabs>
          <w:tab w:val="num" w:pos="0"/>
        </w:tabs>
        <w:ind w:left="720" w:hanging="360"/>
      </w:pPr>
      <w:rPr>
        <w:sz w:val="24"/>
        <w:rFonts w:cs="Symbol"/>
      </w:rPr>
    </w:lvl>
    <w:lvl w:ilvl="1">
      <w:start w:val="1"/>
      <w:numFmt w:val="lowerLetter"/>
      <w:lvlText w:val="%2."/>
      <w:lvlJc w:val="left"/>
      <w:pPr>
        <w:tabs>
          <w:tab w:val="num" w:pos="0"/>
        </w:tabs>
        <w:ind w:left="1440" w:hanging="360"/>
      </w:pPr>
      <w:rPr>
        <w:rFonts w:cs="Courier New"/>
      </w:rPr>
    </w:lvl>
    <w:lvl w:ilvl="2">
      <w:start w:val="1"/>
      <w:numFmt w:val="lowerRoman"/>
      <w:lvlText w:val="%3."/>
      <w:lvlJc w:val="right"/>
      <w:pPr>
        <w:tabs>
          <w:tab w:val="num" w:pos="0"/>
        </w:tabs>
        <w:ind w:left="2160" w:hanging="180"/>
      </w:pPr>
      <w:rPr>
        <w:rFonts w:cs="Wingdings"/>
      </w:rPr>
    </w:lvl>
    <w:lvl w:ilvl="3">
      <w:start w:val="1"/>
      <w:numFmt w:val="decimal"/>
      <w:lvlText w:val="%4."/>
      <w:lvlJc w:val="left"/>
      <w:pPr>
        <w:tabs>
          <w:tab w:val="num" w:pos="0"/>
        </w:tabs>
        <w:ind w:left="2880" w:hanging="360"/>
      </w:pPr>
      <w:rPr>
        <w:rFonts w:cs="Symbol"/>
      </w:rPr>
    </w:lvl>
    <w:lvl w:ilvl="4">
      <w:start w:val="1"/>
      <w:numFmt w:val="lowerLetter"/>
      <w:lvlText w:val="%5."/>
      <w:lvlJc w:val="left"/>
      <w:pPr>
        <w:tabs>
          <w:tab w:val="num" w:pos="0"/>
        </w:tabs>
        <w:ind w:left="3600" w:hanging="360"/>
      </w:pPr>
      <w:rPr>
        <w:rFonts w:cs="Courier New"/>
      </w:rPr>
    </w:lvl>
    <w:lvl w:ilvl="5">
      <w:start w:val="1"/>
      <w:numFmt w:val="lowerRoman"/>
      <w:lvlText w:val="%6."/>
      <w:lvlJc w:val="right"/>
      <w:pPr>
        <w:tabs>
          <w:tab w:val="num" w:pos="0"/>
        </w:tabs>
        <w:ind w:left="4320" w:hanging="180"/>
      </w:pPr>
      <w:rPr>
        <w:rFonts w:cs="Wingdings"/>
      </w:rPr>
    </w:lvl>
    <w:lvl w:ilvl="6">
      <w:start w:val="1"/>
      <w:numFmt w:val="decimal"/>
      <w:lvlText w:val="%7."/>
      <w:lvlJc w:val="left"/>
      <w:pPr>
        <w:tabs>
          <w:tab w:val="num" w:pos="0"/>
        </w:tabs>
        <w:ind w:left="5040" w:hanging="360"/>
      </w:pPr>
      <w:rPr>
        <w:rFonts w:cs="Symbol"/>
      </w:rPr>
    </w:lvl>
    <w:lvl w:ilvl="7">
      <w:start w:val="1"/>
      <w:numFmt w:val="lowerLetter"/>
      <w:lvlText w:val="%8."/>
      <w:lvlJc w:val="left"/>
      <w:pPr>
        <w:tabs>
          <w:tab w:val="num" w:pos="0"/>
        </w:tabs>
        <w:ind w:left="5760" w:hanging="360"/>
      </w:pPr>
      <w:rPr>
        <w:rFonts w:cs="Courier New"/>
      </w:rPr>
    </w:lvl>
    <w:lvl w:ilvl="8">
      <w:start w:val="1"/>
      <w:numFmt w:val="lowerRoman"/>
      <w:lvlText w:val="%9."/>
      <w:lvlJc w:val="right"/>
      <w:pPr>
        <w:tabs>
          <w:tab w:val="num" w:pos="0"/>
        </w:tabs>
        <w:ind w:left="6480" w:hanging="180"/>
      </w:pPr>
      <w:rPr>
        <w:rFonts w:cs="Wingdings"/>
      </w:rPr>
    </w:lvl>
  </w:abstractNum>
  <w:abstractNum w:abstractNumId="27">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3">
    <w:lvl w:ilvl="0">
      <w:start w:val="1"/>
      <w:numFmt w:val="decimal"/>
      <w:lvlText w:val="%1."/>
      <w:lvlJc w:val="left"/>
      <w:pPr>
        <w:tabs>
          <w:tab w:val="num" w:pos="0"/>
        </w:tabs>
        <w:ind w:left="927" w:hanging="360"/>
      </w:pPr>
      <w:rPr>
        <w:b/>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4">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5">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6">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7">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8">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49">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50">
    <w:lvl w:ilvl="0">
      <w:start w:val="1"/>
      <w:numFmt w:val="decimal"/>
      <w:lvlText w:val="%1."/>
      <w:lvlJc w:val="left"/>
      <w:pPr>
        <w:tabs>
          <w:tab w:val="num" w:pos="0"/>
        </w:tabs>
        <w:ind w:left="927" w:hanging="360"/>
      </w:pPr>
      <w:rPr>
        <w:sz w:val="24"/>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5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47622f"/>
    <w:rPr>
      <w:sz w:val="24"/>
      <w:szCs w:val="24"/>
    </w:rPr>
  </w:style>
  <w:style w:type="character" w:styleId="FontStyle17" w:customStyle="1">
    <w:name w:val="Font Style17"/>
    <w:qFormat/>
    <w:rsid w:val="005b1188"/>
    <w:rPr>
      <w:rFonts w:ascii="Times New Roman" w:hAnsi="Times New Roman" w:cs="Times New Roman"/>
      <w:b/>
      <w:bCs/>
      <w:sz w:val="30"/>
      <w:szCs w:val="30"/>
    </w:rPr>
  </w:style>
  <w:style w:type="character" w:styleId="WW8Num1z0">
    <w:name w:val="WW8Num1z0"/>
    <w:qFormat/>
    <w:rPr>
      <w:rFonts w:ascii="Times New Roman" w:hAnsi="Times New Roman" w:cs="Times New Roman"/>
      <w:sz w:val="18"/>
      <w:szCs w:val="18"/>
    </w:rPr>
  </w:style>
  <w:style w:type="character" w:styleId="Style17">
    <w:name w:val="Символ нумерации"/>
    <w:qFormat/>
    <w:rPr>
      <w:sz w:val="24"/>
      <w:szCs w:val="24"/>
    </w:rPr>
  </w:style>
  <w:style w:type="character" w:styleId="Style18">
    <w:name w:val="Маркеры"/>
    <w:qFormat/>
    <w:rPr>
      <w:rFonts w:ascii="OpenSymbol" w:hAnsi="OpenSymbol" w:eastAsia="OpenSymbol" w:cs="OpenSymbol"/>
    </w:rPr>
  </w:style>
  <w:style w:type="character" w:styleId="Style19">
    <w:name w:val="Символы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2">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3"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4"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5"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6"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7"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1"/>
    <w:qFormat/>
    <w:rsid w:val="00ae674d"/>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2e3213"/>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NormalWeb">
    <w:name w:val="Normal (Web)"/>
    <w:basedOn w:val="Normal"/>
    <w:uiPriority w:val="99"/>
    <w:qFormat/>
    <w:rsid w:val="00c12baf"/>
    <w:pPr>
      <w:spacing w:lineRule="auto" w:line="240" w:beforeAutospacing="1" w:afterAutospacing="1"/>
      <w:ind w:hanging="0"/>
      <w:jc w:val="left"/>
    </w:pPr>
    <w:rPr>
      <w:sz w:val="24"/>
      <w:szCs w:val="24"/>
    </w:rPr>
  </w:style>
  <w:style w:type="paragraph" w:styleId="14" w:customStyle="1">
    <w:name w:val="Обычный1"/>
    <w:qFormat/>
    <w:rsid w:val="005b1188"/>
    <w:pPr>
      <w:widowControl w:val="false"/>
      <w:suppressAutoHyphens w:val="true"/>
      <w:bidi w:val="0"/>
      <w:spacing w:before="120" w:after="120"/>
      <w:ind w:firstLine="567"/>
      <w:jc w:val="both"/>
    </w:pPr>
    <w:rPr>
      <w:rFonts w:ascii="Times New Roman" w:hAnsi="Times New Roman" w:eastAsia="Times New Roman" w:cs="Times New Roman"/>
      <w:color w:val="00000A"/>
      <w:kern w:val="0"/>
      <w:sz w:val="20"/>
      <w:szCs w:val="20"/>
      <w:lang w:val="ru-RU" w:eastAsia="ru-RU" w:bidi="ar-SA"/>
    </w:rPr>
  </w:style>
  <w:style w:type="paragraph" w:styleId="Style28">
    <w:name w:val="Обычный"/>
    <w:qFormat/>
    <w:pPr>
      <w:widowControl/>
      <w:suppressAutoHyphens w:val="true"/>
      <w:bidi w:val="0"/>
      <w:spacing w:before="0" w:after="0"/>
      <w:jc w:val="both"/>
    </w:pPr>
    <w:rPr>
      <w:rFonts w:ascii="Times New Roman" w:hAnsi="Times New Roman" w:eastAsia="Calibri" w:cs="Times New Roman"/>
      <w:color w:val="00000A"/>
      <w:kern w:val="0"/>
      <w:sz w:val="26"/>
      <w:szCs w:val="26"/>
      <w:lang w:val="ru-RU" w:eastAsia="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64119-F3FD-41A7-9ED7-E3B2FBC1EEDE}">
  <ds:schemaRefs>
    <ds:schemaRef ds:uri="http://schemas.openxmlformats.org/officeDocument/2006/bibliography"/>
  </ds:schemaRefs>
</ds:datastoreItem>
</file>

<file path=customXml/itemProps2.xml><?xml version="1.0" encoding="utf-8"?>
<ds:datastoreItem xmlns:ds="http://schemas.openxmlformats.org/officeDocument/2006/customXml" ds:itemID="{8BD712BC-AA30-4432-ACA1-84EF0438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Application>AlterOffice/2025.3.1.0$Linux_X86_64 LibreOffice_project/431cd1b79110582f53535c95ed0a2449aadc8bf9</Application>
  <AppVersion>15.0000</AppVersion>
  <Pages>62</Pages>
  <Words>22148</Words>
  <Characters>160225</Characters>
  <CharactersWithSpaces>182363</CharactersWithSpaces>
  <Paragraphs>1147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2022-11-01T06:53:00Z</dcterms:created>
  <dc:creator>UK VoHEC</dc:creator>
  <dc:description/>
  <dc:language>ru-RU</dc:language>
  <cp:lastModifiedBy>dmitryachkova_ea</cp:lastModifiedBy>
  <cp:lastPrinted>2026-03-02T14:34:23Z</cp:lastPrinted>
  <dcterms:modified xsi:type="dcterms:W3CDTF">2026-07-08T15:56:59Z</dcterms:modified>
  <cp:revision>126</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