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auto"/>
          <w:sz w:val="26"/>
          <w:szCs w:val="26"/>
        </w:rPr>
        <w:t>Обоснование начальной (максимальной) цены договора/цены единицы товара, работы, услуги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информация</w:t>
      </w:r>
    </w:p>
    <w:tbl>
      <w:tblPr>
        <w:tblStyle w:val="af2"/>
        <w:tblW w:w="94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3720"/>
        <w:gridCol w:w="4981"/>
      </w:tblGrid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п/п</w:t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Наименование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Информация по лоту</w:t>
            </w:r>
          </w:p>
        </w:tc>
      </w:tr>
      <w:tr>
        <w:trPr>
          <w:trHeight w:val="1201" w:hRule="atLeast"/>
        </w:trPr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Наименование лота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0"/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eastAsia="Times New Roman" w:cs="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en-US" w:bidi="ar-SA"/>
              </w:rPr>
              <w:t>О</w:t>
            </w:r>
            <w:r>
              <w:rPr>
                <w:rFonts w:eastAsia="Times New Roman" w:cs="" w:ascii="Liberation Serif" w:hAnsi="Liberation Serif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6"/>
                <w:szCs w:val="26"/>
                <w:u w:val="none"/>
                <w:shd w:fill="auto" w:val="clear"/>
                <w:em w:val="none"/>
                <w:lang w:val="ru-RU" w:eastAsia="ru-RU" w:bidi="ar-SA"/>
              </w:rPr>
              <w:t>КПД2 43.21.10 Мероприятия по подключению новых потребителей для нужд филиала "Хабаровские электрические сети" ЮРЭС, СРЭС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Номер лота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0" w:right="0" w:hanging="0"/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6"/>
                <w:szCs w:val="26"/>
                <w:u w:val="none"/>
                <w:shd w:fill="auto" w:val="clear"/>
                <w:em w:val="none"/>
                <w:lang w:eastAsia="en-US"/>
              </w:rPr>
              <w:t>302401-КС ПИР СМР-2026-ДРСК-ХЭС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372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rFonts w:ascii="Times New Roman" w:hAnsi="Times New Roman"/>
                <w:i w:val="false"/>
                <w:iCs w:val="false"/>
                <w:kern w:val="0"/>
                <w:sz w:val="26"/>
                <w:szCs w:val="26"/>
                <w:lang w:val="ru-RU" w:bidi="ar-SA"/>
              </w:rPr>
              <w:t>НМЦ</w:t>
            </w:r>
          </w:p>
        </w:tc>
        <w:tc>
          <w:tcPr>
            <w:tcW w:w="49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rFonts w:cs="Calibri" w:ascii="Times New Roman" w:hAnsi="Times New Roman" w:cstheme="minorHAnsi"/>
                <w:i w:val="false"/>
                <w:iCs w:val="false"/>
                <w:kern w:val="0"/>
                <w:sz w:val="26"/>
                <w:szCs w:val="26"/>
                <w:lang w:val="ru-RU" w:bidi="ar-SA"/>
              </w:rPr>
              <w:t>34 500 000,00 руб. без НДС</w:t>
            </w:r>
          </w:p>
        </w:tc>
      </w:tr>
    </w:tbl>
    <w:p>
      <w:pPr>
        <w:pStyle w:val="ListParagrap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2"/>
        </w:numPr>
        <w:spacing w:before="119" w:after="119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119" w:after="119"/>
        <w:ind w:left="714" w:hanging="357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прилагаем метод укрупненных сметных расчетов </w:t>
      </w:r>
    </w:p>
    <w:p>
      <w:pPr>
        <w:pStyle w:val="Normal"/>
        <w:spacing w:before="119" w:after="240"/>
        <w:ind w:left="714" w:hanging="357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before="119" w:after="119"/>
        <w:ind w:left="714" w:hanging="357"/>
        <w:rPr>
          <w:rFonts w:ascii="Times New Roman" w:hAnsi="Times New Roman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Обоснование расчета НМЦ: приложение 1 к ТТ</w:t>
      </w:r>
    </w:p>
    <w:p>
      <w:pPr>
        <w:pStyle w:val="Normal"/>
        <w:spacing w:beforeAutospacing="1" w:after="240"/>
        <w:ind w:left="720" w:hanging="0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726f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2597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Абзац списка Знак"/>
    <w:basedOn w:val="DefaultParagraphFont"/>
    <w:link w:val="ListParagraph"/>
    <w:uiPriority w:val="34"/>
    <w:qFormat/>
    <w:rsid w:val="00ef726f"/>
    <w:rPr>
      <w:rFonts w:ascii="Calibri" w:hAnsi="Calibri" w:eastAsia="Times New Roman" w:cs="Times New Roman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f791f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3f791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3f791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3f791f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Символ нумерации"/>
    <w:qFormat/>
    <w:rPr/>
  </w:style>
  <w:style w:type="character" w:styleId="1" w:customStyle="1">
    <w:name w:val="Заголовок 1 Знак"/>
    <w:basedOn w:val="DefaultParagraphFont"/>
    <w:uiPriority w:val="9"/>
    <w:qFormat/>
    <w:rsid w:val="0082597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link w:val="Style6"/>
    <w:uiPriority w:val="34"/>
    <w:qFormat/>
    <w:rsid w:val="00ef726f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3f791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3f791f"/>
    <w:pPr/>
    <w:rPr>
      <w:b/>
      <w:bCs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3f791f"/>
    <w:pPr/>
    <w:rPr>
      <w:rFonts w:ascii="Segoe UI" w:hAnsi="Segoe UI" w:cs="Segoe UI"/>
      <w:sz w:val="18"/>
      <w:szCs w:val="18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37904918651" w:customStyle="1">
    <w:name w:val="3790491865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ef72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AlterOffice/3.3.1.3$Linux_X86_64 LibreOffice_project/90d829a0d92d6015ad4fa014ce4f460a7fe6c0ba</Application>
  <AppVersion>15.0000</AppVersion>
  <Pages>1</Pages>
  <Words>74</Words>
  <Characters>466</Characters>
  <CharactersWithSpaces>522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2025-08-11T07:45:00Z</dcterms:created>
  <dc:creator>Мешков Станислав Юрьевич</dc:creator>
  <dc:description/>
  <dc:language>ru-RU</dc:language>
  <cp:lastModifiedBy>chuyasova_eg</cp:lastModifiedBy>
  <dcterms:modified xsi:type="dcterms:W3CDTF">2026-07-10T14:48:49Z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-1431150333</vt:i4>
  </property>
  <property fmtid="{D5CDD505-2E9C-101B-9397-08002B2CF9AE}" pid="3" name="_AuthorEmail">
    <vt:lpwstr>Meshkov-SYU@amur.drsk.ru</vt:lpwstr>
  </property>
  <property fmtid="{D5CDD505-2E9C-101B-9397-08002B2CF9AE}" pid="4" name="_AuthorEmailDisplayName">
    <vt:lpwstr>Мешков С.Ю.</vt:lpwstr>
  </property>
  <property fmtid="{D5CDD505-2E9C-101B-9397-08002B2CF9AE}" pid="5" name="_EmailSubject">
    <vt:lpwstr/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