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jc w:val="right"/>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____________________, действующего на основании ______________, с одной стороны, и ,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неконкурентной процедуры по лоту №_________</w:t>
      </w:r>
      <w:r>
        <w:rPr>
          <w:bCs/>
          <w:sz w:val="24"/>
          <w:szCs w:val="24"/>
          <w:highlight w:val="lightGray"/>
          <w:lang w:val="ru-RU"/>
        </w:rPr>
        <w:t>,</w:t>
      </w:r>
      <w:r>
        <w:rPr>
          <w:sz w:val="24"/>
          <w:szCs w:val="24"/>
          <w:highlight w:val="lightGray"/>
          <w:lang w:val="ru-RU"/>
        </w:rPr>
        <w:t xml:space="preserve"> </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spacing w:before="0" w:after="0"/>
        <w:ind w:firstLine="708"/>
        <w:jc w:val="both"/>
        <w:textAlignment w:val="baseline"/>
        <w:rPr>
          <w:lang w:val="ru-RU"/>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false"/>
          <w:color w:val="000000"/>
          <w:lang w:val="ru-RU" w:eastAsia="en-US"/>
        </w:rPr>
        <w:t>–</w:t>
      </w:r>
      <w:r>
        <w:rPr>
          <w:rFonts w:ascii="Times New Roman" w:hAnsi="Times New Roman"/>
          <w:color w:val="000000"/>
          <w:lang w:val="ru-RU" w:eastAsia="en-US"/>
        </w:rPr>
        <w:t xml:space="preserve"> </w:t>
      </w:r>
      <w:r>
        <w:rPr>
          <w:rFonts w:ascii="Times New Roman" w:hAnsi="Times New Roman"/>
          <w:b w:val="false"/>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lang w:val="ru-RU" w:eastAsia="en-US"/>
        </w:rPr>
        <w:t>.</w:t>
      </w:r>
    </w:p>
    <w:p>
      <w:pPr>
        <w:pStyle w:val="Heading3"/>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568"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экскаватором с удлиненной стрелой для  нужд Загорского строительного участка Центрального филиала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Место оказания Услуг: Московская область, Сергиево-Посадский городской округ,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lang w:val="ru-RU"/>
        </w:rPr>
      </w:pPr>
      <w:r>
        <w:rPr>
          <w:bCs/>
          <w:lang w:val="ru-RU"/>
        </w:rPr>
        <w:t xml:space="preserve">Начало оказания Услуг: с даты подписания договора </w:t>
      </w:r>
    </w:p>
    <w:p>
      <w:pPr>
        <w:pStyle w:val="Normal"/>
        <w:widowControl w:val="false"/>
        <w:numPr>
          <w:ilvl w:val="2"/>
          <w:numId w:val="3"/>
        </w:numPr>
        <w:tabs>
          <w:tab w:val="clear" w:pos="709"/>
          <w:tab w:val="left" w:pos="1134" w:leader="none"/>
          <w:tab w:val="left" w:pos="1276" w:leader="none"/>
        </w:tabs>
        <w:ind w:left="0" w:firstLine="709"/>
        <w:jc w:val="both"/>
        <w:rPr>
          <w:bCs/>
          <w:lang w:val="ru-RU"/>
        </w:rPr>
      </w:pPr>
      <w:r>
        <w:rPr>
          <w:bCs/>
          <w:lang w:val="ru-RU"/>
        </w:rPr>
        <w:t>Окончание оказания Услуг: «31»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9"/>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r>
        <w:rPr>
          <w:bCs/>
          <w:highlight w:val="lightGray"/>
        </w:rPr>
        <w:t xml:space="preserve"> </w:t>
      </w:r>
    </w:p>
    <w:p>
      <w:pPr>
        <w:pStyle w:val="ListParagraph"/>
        <w:numPr>
          <w:ilvl w:val="2"/>
          <w:numId w:val="13"/>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1418" w:leader="none"/>
        </w:tabs>
        <w:ind w:left="0" w:firstLine="709"/>
        <w:jc w:val="both"/>
        <w:rPr/>
      </w:pPr>
      <w:r>
        <w:rPr/>
        <w:t>Предоставить Заказчику Независимые гарантии в соответствии с разделом 5 Договора.</w:t>
      </w:r>
    </w:p>
    <w:p>
      <w:pPr>
        <w:pStyle w:val="ListParagraph"/>
        <w:numPr>
          <w:ilvl w:val="2"/>
          <w:numId w:val="13"/>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3"/>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24"/>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4"/>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4"/>
        </w:numPr>
        <w:shd w:val="clear" w:color="auto" w:fill="FFFFFF"/>
        <w:tabs>
          <w:tab w:val="left" w:pos="709" w:leader="none"/>
          <w:tab w:val="left" w:pos="1134" w:leader="none"/>
        </w:tabs>
        <w:ind w:left="0" w:firstLine="710"/>
        <w:jc w:val="both"/>
        <w:rPr>
          <w:bCs/>
          <w:highlight w:val="lightGray"/>
        </w:rPr>
      </w:pPr>
      <w:r>
        <w:rPr>
          <w:bCs/>
          <w:highlight w:val="lightGray"/>
        </w:rPr>
        <w:t>При необходимости по предварительному письменному согласованию</w:t>
      </w:r>
      <w:r>
        <w:rPr>
          <w:bCs/>
        </w:rPr>
        <w:t xml:space="preserve"> </w:t>
        <w:br/>
      </w:r>
      <w:r>
        <w:rPr>
          <w:bCs/>
          <w:highlight w:val="lightGray"/>
        </w:rPr>
        <w:t xml:space="preserve">с Заказчиком заключать договоры с Субисполнителями в совокупности не более чем на 30 (тридцать)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0"/>
        </w:numPr>
        <w:ind w:left="0" w:firstLine="709"/>
        <w:jc w:val="both"/>
        <w:rPr/>
      </w:pPr>
      <w:r>
        <w:rPr/>
        <w:t>подтверждает Исполнителю согласие с Расчетом стоимости;</w:t>
      </w:r>
    </w:p>
    <w:p>
      <w:pPr>
        <w:pStyle w:val="ListParagraph"/>
        <w:numPr>
          <w:ilvl w:val="0"/>
          <w:numId w:val="20"/>
        </w:numPr>
        <w:ind w:left="0" w:firstLine="709"/>
        <w:jc w:val="both"/>
        <w:rPr/>
      </w:pPr>
      <w:r>
        <w:rPr/>
        <w:t>направляет Исполнителю свои возражения (замечания) к Расчету стоимости;</w:t>
      </w:r>
    </w:p>
    <w:p>
      <w:pPr>
        <w:pStyle w:val="ListParagraph"/>
        <w:numPr>
          <w:ilvl w:val="0"/>
          <w:numId w:val="20"/>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______________@rushydro.ru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1"/>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1"/>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1"/>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1"/>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Style6"/>
          <w:highlight w:val="lightGray"/>
        </w:rPr>
        <w:t xml:space="preserve"> </w:t>
      </w:r>
      <w:r>
        <w:rPr>
          <w:rStyle w:val="FootnoteReference"/>
          <w:highlight w:val="lightGray"/>
        </w:rPr>
        <w:footnoteReference w:id="2"/>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22"/>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2"/>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2"/>
        </w:numPr>
        <w:shd w:val="clear" w:color="auto" w:fill="FFFFFF"/>
        <w:tabs>
          <w:tab w:val="clear" w:pos="709"/>
          <w:tab w:val="left" w:pos="1134"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pPr>
        <w:pStyle w:val="ListParagraph"/>
        <w:shd w:val="clear" w:color="auto" w:fill="FFFFFF"/>
        <w:tabs>
          <w:tab w:val="clear" w:pos="709"/>
          <w:tab w:val="left" w:pos="1418" w:leader="none"/>
        </w:tabs>
        <w:ind w:left="0" w:firstLine="709"/>
        <w:jc w:val="both"/>
        <w:rPr/>
      </w:pPr>
      <w:r>
        <w:rPr/>
        <w:t xml:space="preserve">4.5.2. </w:t>
      </w: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pPr>
      <w:r>
        <w:rP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rPr/>
        <w:t xml:space="preserve"> </w:t>
      </w:r>
      <w:r>
        <w:rPr>
          <w:rFonts w:eastAsia="Calibri"/>
          <w:color w:val="000000"/>
          <w:lang w:eastAsia="en-US"/>
        </w:rPr>
        <w:t xml:space="preserve">и ранее выплаченной суммой авансового платежа, </w:t>
      </w:r>
      <w:r>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pPr>
      <w:r>
        <w:rP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7"/>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ind w:left="0" w:hanging="0"/>
        <w:jc w:val="center"/>
        <w:rPr>
          <w:b/>
        </w:rPr>
      </w:pPr>
      <w:r>
        <w:rPr>
          <w:b/>
        </w:rPr>
        <w:t>Независимая гарантия</w:t>
      </w:r>
    </w:p>
    <w:p>
      <w:pPr>
        <w:pStyle w:val="ListParagraph"/>
        <w:numPr>
          <w:ilvl w:val="1"/>
          <w:numId w:val="28"/>
        </w:numPr>
        <w:ind w:left="0" w:firstLine="709"/>
        <w:jc w:val="both"/>
        <w:rPr>
          <w:bCs/>
        </w:rPr>
      </w:pPr>
      <w:r>
        <w:rPr>
          <w:bCs/>
        </w:rPr>
        <w:t>Независимая гарантия должна соответствовать следующим требованиям:</w:t>
      </w:r>
    </w:p>
    <w:p>
      <w:pPr>
        <w:pStyle w:val="Normal"/>
        <w:numPr>
          <w:ilvl w:val="0"/>
          <w:numId w:val="25"/>
        </w:numPr>
        <w:tabs>
          <w:tab w:val="clear" w:pos="709"/>
          <w:tab w:val="left" w:pos="1134" w:leader="none"/>
        </w:tabs>
        <w:ind w:left="0" w:firstLine="709"/>
        <w:jc w:val="both"/>
        <w:rPr>
          <w:bCs/>
          <w:lang w:val="ru-RU"/>
        </w:rPr>
      </w:pPr>
      <w:r>
        <w:rPr>
          <w:bCs/>
          <w:lang w:val="ru-RU"/>
        </w:rPr>
        <w:t>Независимая гарантия не может быть отозвана выдавшим ее гарантом;</w:t>
      </w:r>
    </w:p>
    <w:p>
      <w:pPr>
        <w:pStyle w:val="Normal"/>
        <w:numPr>
          <w:ilvl w:val="0"/>
          <w:numId w:val="25"/>
        </w:numPr>
        <w:tabs>
          <w:tab w:val="clear" w:pos="709"/>
          <w:tab w:val="left" w:pos="1134" w:leader="none"/>
        </w:tabs>
        <w:ind w:left="0" w:firstLine="709"/>
        <w:jc w:val="both"/>
        <w:rPr>
          <w:bCs/>
          <w:lang w:val="ru-RU"/>
        </w:rPr>
      </w:pPr>
      <w:r>
        <w:rPr>
          <w:bCs/>
          <w:lang w:val="ru-RU"/>
        </w:rPr>
        <w:t>Бенефициар по Независимой гарантии – Заказчик, принципал – Исполнитель;</w:t>
      </w:r>
    </w:p>
    <w:p>
      <w:pPr>
        <w:pStyle w:val="Normal"/>
        <w:numPr>
          <w:ilvl w:val="0"/>
          <w:numId w:val="25"/>
        </w:numPr>
        <w:tabs>
          <w:tab w:val="clear" w:pos="709"/>
          <w:tab w:val="left" w:pos="1134" w:leader="none"/>
        </w:tabs>
        <w:ind w:left="0" w:firstLine="709"/>
        <w:jc w:val="both"/>
        <w:rPr>
          <w:bCs/>
          <w:lang w:val="ru-RU"/>
        </w:rPr>
      </w:pPr>
      <w:r>
        <w:rPr>
          <w:bCs/>
          <w:lang w:val="ru-RU"/>
        </w:rPr>
        <w:t>сумма Независимой гарантии должна быть выражена в валюте расчетов по Договору;</w:t>
      </w:r>
    </w:p>
    <w:p>
      <w:pPr>
        <w:pStyle w:val="Normal"/>
        <w:numPr>
          <w:ilvl w:val="0"/>
          <w:numId w:val="25"/>
        </w:numPr>
        <w:tabs>
          <w:tab w:val="clear" w:pos="709"/>
          <w:tab w:val="left" w:pos="1134" w:leader="none"/>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5"/>
        </w:numPr>
        <w:shd w:val="clear" w:color="auto" w:fill="FFFFFF"/>
        <w:tabs>
          <w:tab w:val="clear" w:pos="709"/>
          <w:tab w:val="left" w:pos="1134" w:leader="none"/>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pPr>
        <w:pStyle w:val="Normal"/>
        <w:jc w:val="both"/>
        <w:rPr>
          <w:bCs/>
          <w:lang w:val="ru-RU"/>
        </w:rPr>
      </w:pPr>
      <w:r>
        <w:rPr>
          <w:bCs/>
          <w:lang w:val="ru-RU"/>
        </w:rPr>
        <w:t xml:space="preserve">             </w:t>
      </w:r>
      <w:r>
        <w:rPr>
          <w:bCs/>
          <w:lang w:val="ru-RU"/>
        </w:rPr>
        <w:t>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jc w:val="both"/>
        <w:rPr>
          <w:bCs/>
          <w:lang w:val="ru-RU"/>
        </w:rPr>
      </w:pPr>
      <w:r>
        <w:rPr>
          <w:bCs/>
          <w:lang w:val="ru-RU"/>
        </w:rPr>
        <w:t xml:space="preserve">              </w:t>
      </w:r>
      <w:r>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8"/>
        </w:numPr>
        <w:tabs>
          <w:tab w:val="clear" w:pos="709"/>
          <w:tab w:val="left" w:pos="1134" w:leader="none"/>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134" w:leader="none"/>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8"/>
        </w:numPr>
        <w:shd w:val="clear" w:color="auto" w:fill="FFFFFF"/>
        <w:tabs>
          <w:tab w:val="clear" w:pos="709"/>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8"/>
        </w:numPr>
        <w:tabs>
          <w:tab w:val="clear" w:pos="709"/>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5"/>
        </w:numPr>
        <w:tabs>
          <w:tab w:val="clear" w:pos="709"/>
          <w:tab w:val="left" w:pos="1134" w:leader="none"/>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pPr>
        <w:pStyle w:val="Normal"/>
        <w:numPr>
          <w:ilvl w:val="0"/>
          <w:numId w:val="25"/>
        </w:numPr>
        <w:tabs>
          <w:tab w:val="clear" w:pos="709"/>
          <w:tab w:val="left" w:pos="1134" w:leader="none"/>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pPr>
        <w:pStyle w:val="ListParagraph"/>
        <w:numPr>
          <w:ilvl w:val="0"/>
          <w:numId w:val="25"/>
        </w:numPr>
        <w:shd w:val="clear" w:color="auto" w:fill="FFFFFF"/>
        <w:tabs>
          <w:tab w:val="clear" w:pos="709"/>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8"/>
        </w:numPr>
        <w:shd w:val="clear" w:color="auto" w:fill="FFFFFF"/>
        <w:tabs>
          <w:tab w:val="clear" w:pos="709"/>
          <w:tab w:val="left" w:pos="1134" w:leader="none"/>
        </w:tabs>
        <w:ind w:left="0" w:firstLine="709"/>
        <w:jc w:val="both"/>
        <w:rPr>
          <w:b/>
          <w:bCs/>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8"/>
        </w:numPr>
        <w:shd w:val="clear" w:color="auto" w:fill="FFFFFF"/>
        <w:tabs>
          <w:tab w:val="clear" w:pos="709"/>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8"/>
        </w:numPr>
        <w:tabs>
          <w:tab w:val="clear" w:pos="709"/>
          <w:tab w:val="left" w:pos="1134" w:leader="none"/>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pPr>
        <w:pStyle w:val="ListParagraph"/>
        <w:numPr>
          <w:ilvl w:val="0"/>
          <w:numId w:val="26"/>
        </w:numPr>
        <w:tabs>
          <w:tab w:val="clear" w:pos="709"/>
          <w:tab w:val="left" w:pos="1134" w:leader="none"/>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pPr>
        <w:pStyle w:val="ListParagraph"/>
        <w:numPr>
          <w:ilvl w:val="0"/>
          <w:numId w:val="26"/>
        </w:numPr>
        <w:tabs>
          <w:tab w:val="clear" w:pos="709"/>
          <w:tab w:val="left" w:pos="1134" w:leader="none"/>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6"/>
        </w:numPr>
        <w:tabs>
          <w:tab w:val="clear" w:pos="709"/>
          <w:tab w:val="left" w:pos="1134" w:leader="none"/>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6"/>
        </w:numPr>
        <w:tabs>
          <w:tab w:val="clear" w:pos="709"/>
          <w:tab w:val="left" w:pos="1134" w:leader="none"/>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6"/>
        </w:numPr>
        <w:tabs>
          <w:tab w:val="clear" w:pos="709"/>
          <w:tab w:val="left" w:pos="1134" w:leader="none"/>
        </w:tabs>
        <w:ind w:left="0" w:firstLine="709"/>
        <w:jc w:val="both"/>
        <w:rPr>
          <w:bCs/>
        </w:rPr>
      </w:pPr>
      <w:r>
        <w:rPr>
          <w:bCs/>
        </w:rPr>
        <w:t>введения арбитражным судом процедуры несостоятельности (банкротства) в отношении Исполнителя;</w:t>
      </w:r>
    </w:p>
    <w:p>
      <w:pPr>
        <w:pStyle w:val="ListParagraph"/>
        <w:numPr>
          <w:ilvl w:val="0"/>
          <w:numId w:val="26"/>
        </w:numPr>
        <w:tabs>
          <w:tab w:val="clear" w:pos="709"/>
          <w:tab w:val="left" w:pos="1134" w:leader="none"/>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6"/>
        </w:numPr>
        <w:tabs>
          <w:tab w:val="clear" w:pos="709"/>
          <w:tab w:val="left" w:pos="1134" w:leader="none"/>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6"/>
        </w:numPr>
        <w:shd w:val="clear" w:color="auto" w:fill="FFFFFF"/>
        <w:tabs>
          <w:tab w:val="clear" w:pos="709"/>
          <w:tab w:val="left" w:pos="1134" w:leader="none"/>
        </w:tabs>
        <w:ind w:left="0" w:firstLine="709"/>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8"/>
        </w:numPr>
        <w:shd w:val="clear" w:color="auto" w:fill="FFFFFF"/>
        <w:tabs>
          <w:tab w:val="clear" w:pos="709"/>
          <w:tab w:val="left" w:pos="1134" w:leader="none"/>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8"/>
        </w:numPr>
        <w:shd w:val="clear" w:color="auto" w:fill="FFFFFF"/>
        <w:tabs>
          <w:tab w:val="clear" w:pos="709"/>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8"/>
        </w:numPr>
        <w:ind w:left="0" w:firstLine="709"/>
        <w:jc w:val="both"/>
        <w:rPr/>
      </w:pPr>
      <w:r>
        <w:rPr/>
        <w:t>Текст Независимой гарантии должен содержать следующие дополнительные условия:</w:t>
      </w:r>
    </w:p>
    <w:p>
      <w:pPr>
        <w:pStyle w:val="ListParagraph"/>
        <w:numPr>
          <w:ilvl w:val="2"/>
          <w:numId w:val="28"/>
        </w:numPr>
        <w:shd w:val="clear" w:color="auto" w:fill="FFFFFF"/>
        <w:tabs>
          <w:tab w:val="clear" w:pos="709"/>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8"/>
        </w:numPr>
        <w:shd w:val="clear" w:color="auto" w:fill="FFFFFF"/>
        <w:tabs>
          <w:tab w:val="clear" w:pos="709"/>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8"/>
        </w:numPr>
        <w:shd w:val="clear" w:color="auto" w:fill="FFFFFF"/>
        <w:tabs>
          <w:tab w:val="clear" w:pos="709"/>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8"/>
        </w:numPr>
        <w:shd w:val="clear" w:color="auto" w:fill="FFFFFF"/>
        <w:tabs>
          <w:tab w:val="clear" w:pos="709"/>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8"/>
        </w:numPr>
        <w:shd w:val="clear" w:color="auto" w:fill="FFFFFF"/>
        <w:tabs>
          <w:tab w:val="clear" w:pos="709"/>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28"/>
        </w:numPr>
        <w:shd w:val="clear" w:color="auto" w:fill="FFFFFF"/>
        <w:tabs>
          <w:tab w:val="clear" w:pos="709"/>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8"/>
        </w:numPr>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8"/>
        </w:numPr>
        <w:tabs>
          <w:tab w:val="clear" w:pos="709"/>
          <w:tab w:val="left" w:pos="1134" w:leader="none"/>
        </w:tabs>
        <w:ind w:left="0" w:firstLine="709"/>
        <w:jc w:val="both"/>
        <w:rPr>
          <w:bCs/>
        </w:rPr>
      </w:pPr>
      <w:r>
        <w:rPr>
          <w:bCs/>
        </w:rPr>
        <w:t>Независимая гарантия не должна содержать условия:</w:t>
      </w:r>
    </w:p>
    <w:p>
      <w:pPr>
        <w:pStyle w:val="ListParagraph"/>
        <w:numPr>
          <w:ilvl w:val="0"/>
          <w:numId w:val="27"/>
        </w:numPr>
        <w:tabs>
          <w:tab w:val="clear" w:pos="709"/>
          <w:tab w:val="left" w:pos="1134" w:leader="none"/>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7"/>
        </w:numPr>
        <w:tabs>
          <w:tab w:val="clear" w:pos="709"/>
          <w:tab w:val="left" w:pos="1134" w:leader="none"/>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7"/>
        </w:numPr>
        <w:tabs>
          <w:tab w:val="clear" w:pos="709"/>
          <w:tab w:val="left" w:pos="1134" w:leader="none"/>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7"/>
        </w:numPr>
        <w:shd w:val="clear" w:color="auto" w:fill="FFFFFF"/>
        <w:tabs>
          <w:tab w:val="clear" w:pos="709"/>
          <w:tab w:val="left" w:pos="1134" w:leader="none"/>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8"/>
        </w:numPr>
        <w:shd w:val="clear" w:color="auto" w:fill="FFFFFF"/>
        <w:tabs>
          <w:tab w:val="clear" w:pos="709"/>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8"/>
        </w:numPr>
        <w:shd w:val="clear" w:color="auto" w:fill="FFFFFF"/>
        <w:tabs>
          <w:tab w:val="clear" w:pos="709"/>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8"/>
        </w:numPr>
        <w:shd w:val="clear" w:color="auto" w:fill="FFFFFF"/>
        <w:tabs>
          <w:tab w:val="clear" w:pos="709"/>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8"/>
        </w:numPr>
        <w:shd w:val="clear" w:color="auto" w:fill="FFFFFF"/>
        <w:tabs>
          <w:tab w:val="clear" w:pos="709"/>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8"/>
        </w:numPr>
        <w:tabs>
          <w:tab w:val="clear" w:pos="709"/>
          <w:tab w:val="left" w:pos="1134" w:leader="none"/>
        </w:tabs>
        <w:ind w:left="0" w:firstLine="709"/>
        <w:jc w:val="both"/>
        <w:rPr/>
      </w:pPr>
      <w:r>
        <w:rPr/>
        <w:t>Независимая гарантия предоставляется:</w:t>
      </w:r>
    </w:p>
    <w:p>
      <w:pPr>
        <w:pStyle w:val="ListParagraph"/>
        <w:widowControl w:val="false"/>
        <w:tabs>
          <w:tab w:val="clear" w:pos="709"/>
          <w:tab w:val="left" w:pos="740" w:leader="none"/>
        </w:tabs>
        <w:ind w:left="0" w:firstLine="737"/>
        <w:jc w:val="both"/>
        <w:rPr/>
      </w:pPr>
      <w:r>
        <w:rPr>
          <w:bCs/>
          <w:color w:val="000000"/>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shd w:val="clear" w:color="auto" w:fill="FFFFFF"/>
        <w:tabs>
          <w:tab w:val="clear" w:pos="709"/>
          <w:tab w:val="left" w:pos="1134" w:leader="none"/>
        </w:tabs>
        <w:ind w:left="0" w:firstLine="737"/>
        <w:jc w:val="both"/>
        <w:rPr/>
      </w:pPr>
      <w:r>
        <w:rPr>
          <w:bCs/>
          <w:color w:val="000000"/>
        </w:rPr>
        <w:t>- в оригинале на бумажном носителе.</w:t>
      </w:r>
    </w:p>
    <w:p>
      <w:pPr>
        <w:pStyle w:val="ListParagraph"/>
        <w:numPr>
          <w:ilvl w:val="1"/>
          <w:numId w:val="28"/>
        </w:numPr>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shd w:val="clear" w:color="auto" w:fill="FFFFFF"/>
        <w:tabs>
          <w:tab w:val="clear" w:pos="709"/>
          <w:tab w:val="left" w:pos="1134" w:leader="none"/>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pPr>
        <w:pStyle w:val="ListParagraph"/>
        <w:numPr>
          <w:ilvl w:val="1"/>
          <w:numId w:val="28"/>
        </w:numPr>
        <w:shd w:val="clear" w:color="auto" w:fill="FFFFFF"/>
        <w:tabs>
          <w:tab w:val="clear" w:pos="709"/>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1"/>
          <w:numId w:val="28"/>
        </w:numPr>
        <w:shd w:val="clear" w:color="auto" w:fill="FFFFFF"/>
        <w:tabs>
          <w:tab w:val="clear" w:pos="709"/>
          <w:tab w:val="left" w:pos="1134" w:leader="none"/>
        </w:tabs>
        <w:ind w:left="0" w:firstLine="709"/>
        <w:jc w:val="both"/>
        <w:rPr/>
      </w:pPr>
      <w:r>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23"/>
        </w:numPr>
        <w:shd w:val="clear" w:color="auto" w:fill="FFFFFF"/>
        <w:tabs>
          <w:tab w:val="clear" w:pos="709"/>
          <w:tab w:val="left" w:pos="284" w:leader="none"/>
        </w:tabs>
        <w:jc w:val="center"/>
        <w:rPr>
          <w:bCs/>
        </w:rPr>
      </w:pPr>
      <w:r>
        <w:rPr>
          <w:b/>
        </w:rPr>
        <w:t>Ответственность Сторон</w:t>
      </w:r>
    </w:p>
    <w:p>
      <w:pPr>
        <w:pStyle w:val="ListParagraph"/>
        <w:numPr>
          <w:ilvl w:val="1"/>
          <w:numId w:val="23"/>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3"/>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3"/>
        </w:numPr>
        <w:tabs>
          <w:tab w:val="clear" w:pos="709"/>
          <w:tab w:val="left" w:pos="1134" w:leader="none"/>
        </w:tabs>
        <w:ind w:left="0" w:firstLine="709"/>
        <w:jc w:val="both"/>
        <w:rPr>
          <w:bCs/>
          <w:lang w:val="ru-RU"/>
        </w:rPr>
      </w:pPr>
      <w:r>
        <w:rPr>
          <w:bCs/>
          <w:lang w:val="ru-RU"/>
        </w:rPr>
        <w:t xml:space="preserve"> </w:t>
      </w:r>
      <w:r>
        <w:rPr>
          <w:bCs/>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23"/>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3"/>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3"/>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3"/>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3"/>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3"/>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3"/>
        </w:numPr>
        <w:shd w:val="clear" w:color="auto" w:fill="FFFFFF"/>
        <w:tabs>
          <w:tab w:val="clear" w:pos="709"/>
          <w:tab w:val="left" w:pos="-284" w:leader="none"/>
        </w:tabs>
        <w:ind w:left="-357" w:hanging="0"/>
        <w:jc w:val="center"/>
        <w:rPr>
          <w:b/>
        </w:rPr>
      </w:pPr>
      <w:r>
        <w:rPr>
          <w:b/>
        </w:rPr>
        <w:t>Исключительные права и патенты</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left" w:pos="709" w:leader="none"/>
          <w:tab w:val="left" w:pos="1134" w:leader="none"/>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7"/>
      <w:r>
        <w:rPr>
          <w:bCs/>
        </w:rPr>
        <w:t xml:space="preserve">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left" w:pos="709" w:leader="none"/>
          <w:tab w:val="left" w:pos="1134" w:leader="none"/>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pPr>
        <w:pStyle w:val="ListParagraph"/>
        <w:numPr>
          <w:ilvl w:val="1"/>
          <w:numId w:val="16"/>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6"/>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16"/>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6"/>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6"/>
        </w:numPr>
        <w:shd w:val="clear" w:color="auto" w:fill="FFFFFF"/>
        <w:tabs>
          <w:tab w:val="clear" w:pos="709"/>
          <w:tab w:val="left" w:pos="1134" w:leader="none"/>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pPr>
        <w:pStyle w:val="ListParagraph"/>
        <w:numPr>
          <w:ilvl w:val="1"/>
          <w:numId w:val="16"/>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6"/>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6"/>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6"/>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6"/>
        </w:numPr>
        <w:snapToGrid w:val="false"/>
        <w:ind w:left="0" w:firstLine="709"/>
        <w:jc w:val="both"/>
        <w:rPr>
          <w:highlight w:val="lightGray"/>
          <w:lang w:val="ru-RU"/>
        </w:rPr>
      </w:pPr>
      <w:r>
        <w:rPr>
          <w:highlight w:val="lightGray"/>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ind w:left="0" w:firstLine="709"/>
        <w:jc w:val="both"/>
        <w:rPr>
          <w:lang w:eastAsia="en-US"/>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numPr>
          <w:ilvl w:val="1"/>
          <w:numId w:val="16"/>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pPr>
        <w:pStyle w:val="ListParagraph"/>
        <w:numPr>
          <w:ilvl w:val="1"/>
          <w:numId w:val="16"/>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16"/>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15.7.2.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15.7.3.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9"/>
          <w:tab w:val="left" w:pos="1134" w:leader="none"/>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16"/>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ind w:left="709" w:hanging="0"/>
        <w:jc w:val="both"/>
        <w:rPr>
          <w:lang w:val="ru-RU" w:eastAsia="en-US"/>
        </w:rPr>
      </w:pPr>
      <w:r>
        <w:rPr>
          <w:lang w:val="ru-RU" w:eastAsia="en-US"/>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4"/>
        <w:gridCol w:w="4641"/>
      </w:tblGrid>
      <w:tr>
        <w:trPr/>
        <w:tc>
          <w:tcPr>
            <w:tcW w:w="4964" w:type="dxa"/>
            <w:tcBorders/>
            <w:shd w:color="auto" w:fill="auto" w:val="clear"/>
          </w:tcPr>
          <w:p>
            <w:pPr>
              <w:pStyle w:val="Normal"/>
              <w:widowControl w:val="false"/>
              <w:rPr/>
            </w:pPr>
            <w:r>
              <w:rPr/>
              <w:t>ЗАКАЗЧИК:</w:t>
            </w:r>
          </w:p>
        </w:tc>
        <w:tc>
          <w:tcPr>
            <w:tcW w:w="4641" w:type="dxa"/>
            <w:tcBorders/>
            <w:shd w:color="auto" w:fill="auto" w:val="clear"/>
          </w:tcPr>
          <w:p>
            <w:pPr>
              <w:pStyle w:val="Normal"/>
              <w:widowControl w:val="false"/>
              <w:rPr/>
            </w:pPr>
            <w:r>
              <w:rPr>
                <w:lang w:val="ru-RU"/>
              </w:rPr>
              <w:t>ИСПОЛНИТЕЛЬ</w:t>
            </w:r>
            <w:r>
              <w:rPr/>
              <w:t>:</w:t>
            </w:r>
          </w:p>
        </w:tc>
      </w:tr>
      <w:tr>
        <w:trPr/>
        <w:tc>
          <w:tcPr>
            <w:tcW w:w="4964" w:type="dxa"/>
            <w:tcBorders/>
            <w:shd w:color="auto" w:fill="auto" w:val="clear"/>
          </w:tcPr>
          <w:p>
            <w:pPr>
              <w:pStyle w:val="Normal"/>
              <w:widowControl w:val="false"/>
              <w:rPr>
                <w:lang w:val="ru-RU"/>
              </w:rPr>
            </w:pPr>
            <w:r>
              <w:rPr>
                <w:lang w:val="ru-RU"/>
              </w:rPr>
              <w:t>АО «ТК РусГидро»</w:t>
            </w:r>
          </w:p>
          <w:p>
            <w:pPr>
              <w:pStyle w:val="Normal"/>
              <w:widowControl w:val="false"/>
              <w:rPr>
                <w:lang w:val="ru-RU"/>
              </w:rPr>
            </w:pPr>
            <w:r>
              <w:rPr>
                <w:lang w:val="ru-RU"/>
              </w:rPr>
              <w:t>Место нахождения: 655619, Российская Федерация, Республика Хакасия, г. Саяногорск, рп. Черемушки, дом № 101</w:t>
            </w:r>
          </w:p>
          <w:p>
            <w:pPr>
              <w:pStyle w:val="Normal"/>
              <w:widowControl w:val="false"/>
              <w:rPr>
                <w:lang w:val="ru-RU"/>
              </w:rPr>
            </w:pPr>
            <w:r>
              <w:rPr>
                <w:lang w:val="ru-RU"/>
              </w:rPr>
              <w:t>Центральный филиал АО «ТК РусГидро»</w:t>
            </w:r>
          </w:p>
          <w:p>
            <w:pPr>
              <w:pStyle w:val="Normal"/>
              <w:widowControl w:val="false"/>
              <w:rPr>
                <w:lang w:val="ru-RU"/>
              </w:rPr>
            </w:pPr>
            <w:r>
              <w:rPr>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lang w:val="ru-RU"/>
              </w:rPr>
            </w:pPr>
            <w:r>
              <w:rPr>
                <w:lang w:val="ru-RU"/>
              </w:rPr>
              <w:t>Р\с 40702810940020015572</w:t>
            </w:r>
          </w:p>
          <w:p>
            <w:pPr>
              <w:pStyle w:val="Normal"/>
              <w:widowControl w:val="false"/>
              <w:rPr>
                <w:lang w:val="ru-RU"/>
              </w:rPr>
            </w:pPr>
            <w:r>
              <w:rPr>
                <w:lang w:val="ru-RU"/>
              </w:rPr>
              <w:t>в ПАО «Сбербанк России», г. Москва</w:t>
            </w:r>
          </w:p>
          <w:p>
            <w:pPr>
              <w:pStyle w:val="Normal"/>
              <w:widowControl w:val="false"/>
              <w:rPr>
                <w:lang w:val="ru-RU"/>
              </w:rPr>
            </w:pPr>
            <w:r>
              <w:rPr>
                <w:lang w:val="ru-RU"/>
              </w:rPr>
              <w:t>к/с 30101810400000000225</w:t>
            </w:r>
          </w:p>
          <w:p>
            <w:pPr>
              <w:pStyle w:val="Normal"/>
              <w:widowControl w:val="false"/>
              <w:rPr>
                <w:lang w:val="ru-RU"/>
              </w:rPr>
            </w:pPr>
            <w:r>
              <w:rPr>
                <w:lang w:val="ru-RU"/>
              </w:rPr>
              <w:t>БИК 044525225</w:t>
            </w:r>
          </w:p>
          <w:p>
            <w:pPr>
              <w:pStyle w:val="Normal"/>
              <w:widowControl w:val="false"/>
              <w:rPr>
                <w:lang w:val="ru-RU"/>
              </w:rPr>
            </w:pPr>
            <w:r>
              <w:rPr>
                <w:lang w:val="ru-RU"/>
              </w:rPr>
              <w:t>ИНН: 1902018248</w:t>
            </w:r>
          </w:p>
          <w:p>
            <w:pPr>
              <w:pStyle w:val="Normal"/>
              <w:widowControl w:val="false"/>
              <w:rPr>
                <w:lang w:val="ru-RU"/>
              </w:rPr>
            </w:pPr>
            <w:r>
              <w:rPr>
                <w:lang w:val="ru-RU"/>
              </w:rPr>
              <w:t>КПП: 504 243 001</w:t>
            </w:r>
          </w:p>
          <w:p>
            <w:pPr>
              <w:pStyle w:val="Normal"/>
              <w:widowControl w:val="false"/>
              <w:rPr>
                <w:lang w:val="ru-RU"/>
              </w:rPr>
            </w:pPr>
            <w:r>
              <w:rPr>
                <w:lang w:val="ru-RU"/>
              </w:rPr>
              <w:t xml:space="preserve">ОГРН:1031900676356 </w:t>
            </w:r>
          </w:p>
        </w:tc>
        <w:tc>
          <w:tcPr>
            <w:tcW w:w="4641"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4" w:type="dxa"/>
            <w:tcBorders/>
            <w:shd w:color="auto" w:fill="auto" w:val="clear"/>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641" w:type="dxa"/>
            <w:tcBorders/>
            <w:shd w:color="auto" w:fill="auto" w:val="clear"/>
          </w:tcPr>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ListParagraph"/>
        <w:ind w:left="0" w:hanging="0"/>
        <w:rPr/>
      </w:pPr>
      <w:r>
        <w:rPr/>
        <w:tab/>
        <w:tab/>
      </w:r>
    </w:p>
    <w:p>
      <w:pPr>
        <w:pStyle w:val="ListParagraph"/>
        <w:numPr>
          <w:ilvl w:val="0"/>
          <w:numId w:val="18"/>
        </w:numPr>
        <w:tabs>
          <w:tab w:val="clear" w:pos="709"/>
          <w:tab w:val="left" w:pos="1134" w:leader="none"/>
        </w:tabs>
        <w:ind w:left="0" w:firstLine="709"/>
        <w:rPr/>
      </w:pPr>
      <w:r>
        <w:rPr/>
        <w:t>Виды услуг:</w:t>
      </w:r>
    </w:p>
    <w:p>
      <w:pPr>
        <w:pStyle w:val="ListParagraph"/>
        <w:numPr>
          <w:ilvl w:val="0"/>
          <w:numId w:val="18"/>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8"/>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8"/>
        </w:numPr>
        <w:tabs>
          <w:tab w:val="clear" w:pos="709"/>
          <w:tab w:val="left" w:pos="1134" w:leader="none"/>
        </w:tabs>
        <w:ind w:left="0" w:firstLine="709"/>
        <w:rPr>
          <w:highlight w:val="lightGray"/>
        </w:rPr>
      </w:pPr>
      <w:r>
        <w:rPr>
          <w:highlight w:val="lightGray"/>
        </w:rPr>
        <w:t>Качество:</w:t>
      </w:r>
    </w:p>
    <w:p>
      <w:pPr>
        <w:pStyle w:val="ListParagraph"/>
        <w:numPr>
          <w:ilvl w:val="0"/>
          <w:numId w:val="18"/>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8"/>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2"/>
        <w:gridCol w:w="816"/>
        <w:gridCol w:w="738"/>
        <w:gridCol w:w="1388"/>
        <w:gridCol w:w="1559"/>
        <w:gridCol w:w="1461"/>
        <w:gridCol w:w="2647"/>
        <w:gridCol w:w="519"/>
      </w:tblGrid>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rHeight w:val="100" w:hRule="atLeast"/>
        </w:trPr>
        <w:tc>
          <w:tcPr>
            <w:tcW w:w="1112" w:type="dxa"/>
            <w:tcBorders>
              <w:top w:val="single" w:sz="4" w:space="0" w:color="000000"/>
            </w:tcBorders>
          </w:tcPr>
          <w:p>
            <w:pPr>
              <w:pStyle w:val="Normal"/>
              <w:widowControl w:val="false"/>
              <w:rPr>
                <w:b/>
                <w:lang w:val="ru-RU"/>
              </w:rPr>
            </w:pPr>
            <w:r>
              <w:rPr>
                <w:b/>
                <w:lang w:val="ru-RU"/>
              </w:rPr>
            </w:r>
          </w:p>
        </w:tc>
        <w:tc>
          <w:tcPr>
            <w:tcW w:w="1554"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ind w:left="57" w:right="-113" w:hanging="0"/>
        <w:jc w:val="both"/>
        <w:rPr>
          <w:sz w:val="20"/>
          <w:szCs w:val="20"/>
          <w:lang w:val="ru-RU"/>
        </w:rPr>
      </w:pPr>
      <w:r>
        <w:rPr>
          <w:i/>
          <w:iCs/>
          <w:sz w:val="20"/>
          <w:szCs w:val="20"/>
          <w:lang w:val="ru-RU"/>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jc w:val="right"/>
        <w:rPr>
          <w:sz w:val="22"/>
          <w:szCs w:val="22"/>
          <w:lang w:val="ru-RU"/>
        </w:rPr>
      </w:pPr>
      <w:r>
        <w:br w:type="page"/>
      </w: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12"/>
        <w:rPr>
          <w:iCs/>
        </w:rPr>
      </w:pPr>
      <w:r>
        <w:rPr>
          <w:iCs/>
        </w:rPr>
      </w:r>
    </w:p>
    <w:p>
      <w:pPr>
        <w:pStyle w:val="12"/>
        <w:rPr>
          <w:iCs/>
        </w:rPr>
      </w:pPr>
      <w:r>
        <w:rPr>
          <w:iCs/>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r>
        <w:rPr>
          <w:rStyle w:val="FootnoteReference"/>
          <w:iCs/>
          <w:szCs w:val="24"/>
        </w:rPr>
        <w:footnoteReference w:id="3"/>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bookmarkStart w:id="12" w:name="_GoBack"/>
            <w:bookmarkEnd w:id="12"/>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both"/>
              <w:rPr>
                <w:lang w:val="ru-RU"/>
              </w:rPr>
            </w:pPr>
            <w:r>
              <w:rPr>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ind w:firstLine="709"/>
        <w:jc w:val="right"/>
        <w:rPr>
          <w:i/>
          <w:i/>
          <w:color w:val="FF0000"/>
          <w:lang w:val="ru-RU"/>
        </w:rPr>
      </w:pPr>
      <w:r>
        <w:rPr>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lang w:val="ru-RU"/>
        </w:rPr>
      </w:pPr>
      <w:r>
        <w:rPr>
          <w:rStyle w:val="Style6"/>
        </w:rPr>
        <w:footnoteRef/>
      </w:r>
      <w:r>
        <w:rPr>
          <w:lang w:val="ru-RU"/>
        </w:rPr>
        <w:t xml:space="preserve"> </w:t>
      </w:r>
      <w:r>
        <w:rPr>
          <w:lang w:val="ru-RU"/>
        </w:rPr>
        <w:t>Применяется, если не используется УПД.</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Linenumber1" w:customStyle="1">
    <w:name w:val="line number1"/>
    <w:qFormat/>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d">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90A723-4AA0-4CDE-A8A6-47811E49D379}">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C3B3AB6B-E603-4499-86DB-808F41AE20AB}">
  <ds:schemaRefs>
    <ds:schemaRef ds:uri="http://schemas.openxmlformats.org/officeDocument/2006/bibliography"/>
  </ds:schemaRefs>
</ds:datastoreItem>
</file>

<file path=customXml/itemProps6.xml><?xml version="1.0" encoding="utf-8"?>
<ds:datastoreItem xmlns:ds="http://schemas.openxmlformats.org/officeDocument/2006/customXml" ds:itemID="{B4DA302E-78A8-43E5-B383-294F3A248D91}">
  <ds:schemaRefs>
    <ds:schemaRef ds:uri="http://schemas.openxmlformats.org/officeDocument/2006/bibliography"/>
  </ds:schemaRefs>
</ds:datastoreItem>
</file>

<file path=customXml/itemProps7.xml><?xml version="1.0" encoding="utf-8"?>
<ds:datastoreItem xmlns:ds="http://schemas.openxmlformats.org/officeDocument/2006/customXml" ds:itemID="{1F275A71-126C-470B-B1EB-B76CE86C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AlterOffice/3.4.0.9$Linux_X86_64 LibreOffice_project/b8daf9e823b1a5463a2f48435ddc2e8696e7d4fc</Application>
  <AppVersion>15.0000</AppVersion>
  <Pages>28</Pages>
  <Words>9556</Words>
  <Characters>67742</Characters>
  <CharactersWithSpaces>77097</CharactersWithSpaces>
  <Paragraphs>448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2026-07-08T08:06:00Z</dcterms:created>
  <dc:creator>Быстрова Дарья Андреевна</dc:creator>
  <dc:description/>
  <dc:language>ru-RU</dc:language>
  <cp:lastModifiedBy>tolpyginanv@corp.gidroogk.com</cp:lastModifiedBy>
  <cp:lastPrinted>2016-12-15T13:00:00Z</cp:lastPrinted>
  <dcterms:modified xsi:type="dcterms:W3CDTF">2026-07-09T08:48:25Z</dcterms:modified>
  <cp:revision>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