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/>
          <w:i/>
          <w:iCs/>
          <w:sz w:val="22"/>
          <w:szCs w:val="22"/>
        </w:rPr>
      </w:pPr>
      <w:r>
        <w:rPr>
          <w:rFonts w:eastAsia="Calibri"/>
          <w:b/>
          <w:bCs/>
          <w:i/>
          <w:iCs/>
          <w:sz w:val="22"/>
          <w:szCs w:val="22"/>
        </w:rPr>
      </w:r>
    </w:p>
    <w:p>
      <w:pPr>
        <w:pStyle w:val="Normal"/>
        <w:bidi w:val="0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ОКПД2 25.11.22.110 Поставка опор металлических в комплекте с фундаментами для нужд филиалов АО "ДРСК" "Амурские электрические сети", "Хабаровские электрические сети", "Электрические сети Еврейской автономной области" и "Южно-Якутские электрические сети", в рамках ремонтной и инвестиционной  программ</w:t>
      </w:r>
    </w:p>
    <w:p>
      <w:pPr>
        <w:pStyle w:val="Normal"/>
        <w:bidi w:val="0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0"/>
        <w:jc w:val="center"/>
        <w:rPr/>
      </w:pPr>
      <w:r>
        <w:rPr>
          <w:b/>
          <w:i/>
          <w:sz w:val="22"/>
          <w:szCs w:val="22"/>
        </w:rPr>
        <w:t xml:space="preserve">    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Calibri"/>
          <w:b/>
          <w:i/>
          <w:sz w:val="22"/>
          <w:szCs w:val="22"/>
        </w:rPr>
        <w:t xml:space="preserve">Лот № </w:t>
      </w:r>
    </w:p>
    <w:p>
      <w:pPr>
        <w:pStyle w:val="Normal"/>
        <w:jc w:val="center"/>
        <w:rPr>
          <w:rFonts w:eastAsia="Calibri"/>
          <w:b/>
          <w:bCs/>
          <w:i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</w:pPr>
      <w:r>
        <w:rPr>
          <w:rFonts w:eastAsia="Calibri"/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</w:r>
    </w:p>
    <w:p>
      <w:pPr>
        <w:pStyle w:val="Normal"/>
        <w:jc w:val="center"/>
        <w:rPr>
          <w:rFonts w:eastAsia="Calibri"/>
          <w:b/>
          <w:i/>
          <w:i/>
          <w:sz w:val="22"/>
          <w:szCs w:val="22"/>
          <w:lang w:eastAsia="en-US"/>
        </w:rPr>
      </w:pPr>
      <w:r>
        <w:rPr>
          <w:rFonts w:eastAsia="Calibri"/>
          <w:b/>
          <w:i/>
          <w:sz w:val="22"/>
          <w:szCs w:val="22"/>
          <w:lang w:eastAsia="en-US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2"/>
        </w:numPr>
        <w:spacing w:before="120" w:after="0"/>
        <w:ind w:left="357" w:hanging="357"/>
        <w:jc w:val="center"/>
        <w:rPr>
          <w:caps/>
          <w:sz w:val="22"/>
          <w:szCs w:val="22"/>
          <w:lang w:val="ru-RU"/>
        </w:rPr>
      </w:pPr>
      <w:bookmarkStart w:id="0" w:name="_Toc51339692"/>
      <w:bookmarkStart w:id="1" w:name="_Toc75446566"/>
      <w:bookmarkEnd w:id="0"/>
      <w:bookmarkEnd w:id="1"/>
      <w:r>
        <w:rPr>
          <w:sz w:val="22"/>
          <w:szCs w:val="22"/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spacing w:before="120" w:after="0"/>
        <w:rPr>
          <w:sz w:val="22"/>
          <w:szCs w:val="22"/>
        </w:rPr>
      </w:pPr>
      <w:bookmarkStart w:id="2" w:name="_Toc75446568"/>
      <w:bookmarkStart w:id="3" w:name="_Toc46743506"/>
      <w:bookmarkEnd w:id="2"/>
      <w:bookmarkEnd w:id="3"/>
      <w:r>
        <w:rPr>
          <w:sz w:val="22"/>
          <w:szCs w:val="22"/>
        </w:rPr>
        <w:t>Наименование закупаемой продукции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0"/>
        <w:jc w:val="both"/>
        <w:rPr/>
      </w:pPr>
      <w:r>
        <w:rPr>
          <w:b/>
          <w:i/>
          <w:sz w:val="22"/>
          <w:szCs w:val="22"/>
        </w:rPr>
        <w:t xml:space="preserve">Опоры металлические промежуточные в комплекте с фундаментами </w:t>
      </w:r>
    </w:p>
    <w:p>
      <w:pPr>
        <w:pStyle w:val="Heading1"/>
        <w:keepLines/>
        <w:numPr>
          <w:ilvl w:val="0"/>
          <w:numId w:val="2"/>
        </w:numPr>
        <w:spacing w:before="120" w:after="0"/>
        <w:ind w:left="357" w:hanging="357"/>
        <w:jc w:val="center"/>
        <w:rPr>
          <w:iCs/>
          <w:caps/>
          <w:sz w:val="22"/>
          <w:szCs w:val="22"/>
          <w:lang w:val="ru-RU"/>
        </w:rPr>
      </w:pPr>
      <w:bookmarkStart w:id="4" w:name="_Toc46743510"/>
      <w:bookmarkStart w:id="5" w:name="_Toc50125126"/>
      <w:bookmarkStart w:id="6" w:name="_Toc75446573"/>
      <w:bookmarkStart w:id="7" w:name="_Toc51339693"/>
      <w:bookmarkEnd w:id="4"/>
      <w:bookmarkEnd w:id="5"/>
      <w:bookmarkEnd w:id="6"/>
      <w:bookmarkEnd w:id="7"/>
      <w:r>
        <w:rPr>
          <w:iCs/>
          <w:sz w:val="22"/>
          <w:szCs w:val="22"/>
        </w:rPr>
        <w:t>Требования к продукции</w:t>
      </w:r>
    </w:p>
    <w:p>
      <w:pPr>
        <w:pStyle w:val="Heading4"/>
        <w:numPr>
          <w:ilvl w:val="1"/>
          <w:numId w:val="2"/>
        </w:numPr>
        <w:spacing w:before="120" w:after="0"/>
        <w:rPr>
          <w:sz w:val="22"/>
          <w:szCs w:val="22"/>
        </w:rPr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bookmarkEnd w:id="8"/>
      <w:r>
        <w:rPr>
          <w:sz w:val="22"/>
          <w:szCs w:val="22"/>
          <w:lang w:val="ru-RU"/>
        </w:rPr>
        <w:t>поставки</w:t>
      </w:r>
    </w:p>
    <w:p>
      <w:pPr>
        <w:pStyle w:val="Heading3"/>
        <w:numPr>
          <w:ilvl w:val="2"/>
          <w:numId w:val="2"/>
        </w:numPr>
        <w:spacing w:before="120" w:after="0"/>
        <w:rPr>
          <w:sz w:val="22"/>
          <w:szCs w:val="22"/>
        </w:rPr>
      </w:pPr>
      <w:bookmarkStart w:id="9" w:name="_Toc75446575"/>
      <w:bookmarkEnd w:id="9"/>
      <w:r>
        <w:rPr>
          <w:sz w:val="22"/>
          <w:szCs w:val="22"/>
          <w:lang w:val="ru-RU"/>
        </w:rPr>
        <w:t>Перечень и объем закупаемой продукции</w:t>
      </w:r>
    </w:p>
    <w:p>
      <w:pPr>
        <w:pStyle w:val="Heading1"/>
        <w:keepLines/>
        <w:numPr>
          <w:ilvl w:val="0"/>
          <w:numId w:val="0"/>
        </w:numPr>
        <w:spacing w:before="240" w:after="0"/>
        <w:ind w:left="0" w:hanging="0"/>
        <w:rPr>
          <w:sz w:val="22"/>
          <w:szCs w:val="22"/>
          <w:lang w:val="ru-RU"/>
        </w:rPr>
      </w:pPr>
      <w:bookmarkStart w:id="10" w:name="_Toc51339695"/>
      <w:bookmarkStart w:id="11" w:name="_Toc75446576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0"/>
      <w:bookmarkEnd w:id="11"/>
      <w:r>
        <w:rPr>
          <w:sz w:val="22"/>
          <w:szCs w:val="22"/>
          <w:lang w:val="ru-RU"/>
        </w:rPr>
        <w:t>и объем закупаемой продукции</w:t>
      </w:r>
    </w:p>
    <w:p>
      <w:pPr>
        <w:pStyle w:val="Heading1"/>
        <w:numPr>
          <w:ilvl w:val="0"/>
          <w:numId w:val="0"/>
        </w:numPr>
        <w:spacing w:before="240" w:after="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457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5"/>
        <w:gridCol w:w="11880"/>
        <w:gridCol w:w="1134"/>
        <w:gridCol w:w="992"/>
      </w:tblGrid>
      <w:tr>
        <w:trPr/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0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Заказчика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измер.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45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Филиал АО «ДРСК» «Амурские электрические сети»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Опора промежуточная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u w:val="none"/>
                <w:em w:val="none"/>
              </w:rPr>
              <w:t>металлическая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 ПС110П-5Т в комплекте с метизами, </w:t>
            </w:r>
            <w:r>
              <w:rPr>
                <w:b/>
                <w:bCs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согласно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/>
                <w:bCs/>
                <w:i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Приложению № 1 к техническим требованиям.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Фундамент стальной Ф 720.2 СТ 4000.10, </w:t>
            </w:r>
            <w:r>
              <w:rPr>
                <w:b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согласно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/>
                <w:i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Приложение № 1 к техническим требованиям.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u w:val="none"/>
                <w:em w:val="none"/>
              </w:rPr>
              <w:t xml:space="preserve">Опора промежуточная металлическая ПС35П-5ТМ в комплекте с метизами, </w:t>
            </w:r>
            <w:r>
              <w:rPr>
                <w:b/>
                <w:bCs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согласно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/>
                <w:bCs/>
                <w:i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Приложению № 1 к техническим требованиям.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Фундамент стальной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Ф530.1.СТ.4000.10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, </w:t>
            </w:r>
            <w:r>
              <w:rPr>
                <w:b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согласно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/>
                <w:i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Приложению № 1 к техническим требованиям.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u w:val="none"/>
                <w:em w:val="none"/>
              </w:rPr>
              <w:t xml:space="preserve">Опора промежуточная металлическая ПС35П-5М в комплекте с метизами, </w:t>
            </w:r>
            <w:r>
              <w:rPr>
                <w:b/>
                <w:bCs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согласно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/>
                <w:bCs/>
                <w:i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Приложению № 1 к техническим требованиям.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Фундамент стальной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Ф530.1.СТ.4000.10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, </w:t>
            </w:r>
            <w:r>
              <w:rPr>
                <w:b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согласно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/>
                <w:bCs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Приложению № 1</w:t>
            </w:r>
            <w:r>
              <w:rPr>
                <w:b/>
                <w:i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к техническим требованиям.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u w:val="none"/>
                <w:em w:val="none"/>
              </w:rPr>
              <w:t xml:space="preserve">Опора промежуточная металлическая ПГС110-3Т в комплекте с метизами, </w:t>
            </w:r>
            <w:r>
              <w:rPr>
                <w:b/>
                <w:bCs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согласно</w:t>
            </w: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/>
                <w:bCs/>
                <w:i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Приложение № 1 к техническим требованиям.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Фундамент стальной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0"/>
                <w:szCs w:val="20"/>
                <w:u w:val="none"/>
                <w:em w:val="none"/>
              </w:rPr>
              <w:t>ФСО.720.1.6000.10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u w:val="none"/>
                <w:em w:val="none"/>
              </w:rPr>
              <w:t xml:space="preserve">, </w:t>
            </w:r>
            <w:r>
              <w:rPr>
                <w:b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согласно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/>
                <w:bCs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Приложению № 1</w:t>
            </w:r>
            <w:r>
              <w:rPr>
                <w:b/>
                <w:i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 к техническим требованиям.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/>
        <w:tc>
          <w:tcPr>
            <w:tcW w:w="145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Филиал АО «ДРСК» «Хабаровские электрические сети»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Опора промежуточная ПС35/110ПУ-3.110ТМ в комплекте с метизами,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согласно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Приложению № 2 к техническим требованиям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A"/>
                <w:sz w:val="22"/>
                <w:szCs w:val="22"/>
              </w:rPr>
              <w:t>11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Фундамент стальной Ф720.5 СТ.6000.10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согласно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Приложению № 2 к техническим требованиям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A"/>
                <w:sz w:val="22"/>
                <w:szCs w:val="22"/>
              </w:rPr>
              <w:t>11</w:t>
            </w:r>
          </w:p>
        </w:tc>
      </w:tr>
      <w:tr>
        <w:trPr/>
        <w:tc>
          <w:tcPr>
            <w:tcW w:w="145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Филиал АО «ДРСК» «Электрические сети ЕАО»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промежуточная стальная 2П220-1  в комплекте с метизами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457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Филиал АО «ДРСК» «Южно-Якутские электрические сети»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16"/>
                <w:color w:val="000000"/>
                <w:sz w:val="22"/>
                <w:szCs w:val="22"/>
              </w:rPr>
              <w:t xml:space="preserve">Опора анкерно-угловая металлическая многогранная УМ10-1.10.0.2.2.09 в комплекте с метизами, </w:t>
            </w:r>
            <w:r>
              <w:rPr>
                <w:rStyle w:val="Style16"/>
                <w:b/>
                <w:i/>
                <w:color w:val="000000"/>
                <w:sz w:val="22"/>
                <w:szCs w:val="22"/>
              </w:rPr>
              <w:t>согласно</w:t>
            </w:r>
            <w:r>
              <w:rPr>
                <w:rStyle w:val="Style16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tyle16"/>
                <w:b/>
                <w:i/>
                <w:color w:val="000000"/>
                <w:sz w:val="22"/>
                <w:szCs w:val="22"/>
              </w:rPr>
              <w:t xml:space="preserve">Приложению № 4 </w:t>
            </w:r>
            <w:r>
              <w:rPr>
                <w:rStyle w:val="Style16"/>
                <w:b/>
                <w:i/>
                <w:sz w:val="22"/>
                <w:szCs w:val="22"/>
              </w:rPr>
              <w:t>к техническим требованиям.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16"/>
                <w:color w:val="000000"/>
                <w:sz w:val="22"/>
                <w:szCs w:val="22"/>
              </w:rPr>
              <w:t xml:space="preserve">Опора анкерно-угловая металлическая  УМ10-15.0.2.2.08 в комплекте с метизами, </w:t>
            </w:r>
            <w:r>
              <w:rPr>
                <w:rStyle w:val="Style16"/>
                <w:b/>
                <w:i/>
                <w:color w:val="000000"/>
                <w:sz w:val="22"/>
                <w:szCs w:val="22"/>
              </w:rPr>
              <w:t>согласно</w:t>
            </w:r>
            <w:r>
              <w:rPr>
                <w:rStyle w:val="Style16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tyle16"/>
                <w:b/>
                <w:i/>
                <w:color w:val="000000"/>
                <w:sz w:val="22"/>
                <w:szCs w:val="22"/>
              </w:rPr>
              <w:t xml:space="preserve">Приложению № 4-1 </w:t>
            </w:r>
            <w:r>
              <w:rPr>
                <w:rStyle w:val="Style16"/>
                <w:b/>
                <w:i/>
                <w:sz w:val="22"/>
                <w:szCs w:val="22"/>
              </w:rPr>
              <w:t>к техническим требованиям.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2"/>
                <w:szCs w:val="22"/>
              </w:rPr>
              <w:t>Фундамент стальной ФТГ720.8.5500.04</w:t>
            </w:r>
            <w:r>
              <w:rPr/>
              <w:t xml:space="preserve">, </w:t>
            </w:r>
            <w:r>
              <w:rPr>
                <w:rStyle w:val="Style16"/>
                <w:b/>
                <w:i/>
                <w:color w:val="000000"/>
                <w:sz w:val="22"/>
                <w:szCs w:val="22"/>
              </w:rPr>
              <w:t>согласно</w:t>
            </w:r>
            <w:r>
              <w:rPr>
                <w:rStyle w:val="Style16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tyle16"/>
                <w:b/>
                <w:i/>
                <w:color w:val="000000"/>
                <w:sz w:val="22"/>
                <w:szCs w:val="22"/>
              </w:rPr>
              <w:t xml:space="preserve">Приложению № 4 </w:t>
            </w:r>
            <w:r>
              <w:rPr>
                <w:rStyle w:val="Style16"/>
                <w:b/>
                <w:i/>
                <w:sz w:val="22"/>
                <w:szCs w:val="22"/>
              </w:rPr>
              <w:t>к техническим требованиям.</w:t>
            </w:r>
            <w:r>
              <w:rPr/>
              <w:t>﻿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2"/>
                <w:szCs w:val="22"/>
              </w:rPr>
              <w:t>Фундамент стальной ФТГ865.10.6500.01</w:t>
            </w:r>
            <w:r>
              <w:rPr/>
              <w:t xml:space="preserve">, </w:t>
            </w:r>
            <w:r>
              <w:rPr>
                <w:rStyle w:val="Style16"/>
                <w:b/>
                <w:i/>
                <w:color w:val="000000"/>
                <w:sz w:val="22"/>
                <w:szCs w:val="22"/>
              </w:rPr>
              <w:t>согласно</w:t>
            </w:r>
            <w:r>
              <w:rPr>
                <w:rStyle w:val="Style16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tyle16"/>
                <w:b/>
                <w:i/>
                <w:color w:val="000000"/>
                <w:sz w:val="22"/>
                <w:szCs w:val="22"/>
              </w:rPr>
              <w:t xml:space="preserve">Приложению № 4-1 </w:t>
            </w:r>
            <w:r>
              <w:rPr>
                <w:rStyle w:val="Style16"/>
                <w:b/>
                <w:i/>
                <w:sz w:val="22"/>
                <w:szCs w:val="22"/>
              </w:rPr>
              <w:t>к техническим требованиям.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>
      <w:pPr>
        <w:pStyle w:val="Heading3"/>
        <w:numPr>
          <w:ilvl w:val="2"/>
          <w:numId w:val="2"/>
        </w:numPr>
        <w:spacing w:before="120" w:after="0"/>
        <w:rPr>
          <w:sz w:val="22"/>
          <w:szCs w:val="22"/>
          <w:lang w:val="ru-RU"/>
        </w:rPr>
      </w:pPr>
      <w:bookmarkStart w:id="12" w:name="_Toc51339696"/>
      <w:bookmarkStart w:id="13" w:name="_Toc75446578"/>
      <w:r>
        <w:rPr>
          <w:sz w:val="22"/>
          <w:szCs w:val="22"/>
          <w:lang w:val="ru-RU"/>
        </w:rPr>
        <w:t xml:space="preserve">Требования </w:t>
      </w:r>
      <w:bookmarkEnd w:id="12"/>
      <w:bookmarkEnd w:id="13"/>
      <w:r>
        <w:rPr>
          <w:sz w:val="22"/>
          <w:szCs w:val="22"/>
          <w:lang w:val="ru-RU"/>
        </w:rPr>
        <w:t xml:space="preserve">к срокам поставки продукции </w:t>
      </w:r>
    </w:p>
    <w:p>
      <w:pPr>
        <w:pStyle w:val="Heading1"/>
        <w:keepLines/>
        <w:numPr>
          <w:ilvl w:val="0"/>
          <w:numId w:val="0"/>
        </w:numPr>
        <w:spacing w:before="240" w:after="0"/>
        <w:ind w:left="0" w:hanging="0"/>
        <w:rPr>
          <w:sz w:val="22"/>
          <w:szCs w:val="22"/>
          <w:lang w:val="ru-RU"/>
        </w:rPr>
      </w:pPr>
      <w:bookmarkStart w:id="14" w:name="_Toc75446579"/>
      <w:bookmarkStart w:id="15" w:name="_Toc51339697"/>
      <w:bookmarkStart w:id="16" w:name="_Toc50125127"/>
      <w:bookmarkStart w:id="17" w:name="_Toc50125126_Копия_1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1.2.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Heading4"/>
        <w:numPr>
          <w:ilvl w:val="0"/>
          <w:numId w:val="0"/>
        </w:numPr>
        <w:spacing w:before="120" w:after="0"/>
        <w:ind w:left="432" w:hanging="0"/>
        <w:rPr>
          <w:b w:val="false"/>
          <w:bCs w:val="false"/>
        </w:rPr>
      </w:pPr>
      <w:r>
        <w:rPr>
          <w:b w:val="false"/>
          <w:bCs w:val="false"/>
          <w:sz w:val="22"/>
          <w:szCs w:val="22"/>
          <w:lang w:val="ru-RU"/>
        </w:rPr>
        <w:t xml:space="preserve">Участник должен представить в составе заявки «Календарный график» </w:t>
      </w:r>
    </w:p>
    <w:tbl>
      <w:tblPr>
        <w:tblW w:w="14448" w:type="dxa"/>
        <w:jc w:val="left"/>
        <w:tblInd w:w="29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1"/>
        <w:gridCol w:w="2694"/>
        <w:gridCol w:w="3839"/>
        <w:gridCol w:w="7183"/>
      </w:tblGrid>
      <w:tr>
        <w:trPr>
          <w:trHeight w:val="495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Наименование продукции/ (партии продукции)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30"/>
              <w:keepNext w:val="false"/>
              <w:widowControl w:val="false"/>
              <w:spacing w:before="40" w:after="0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e30"/>
              <w:keepNext w:val="false"/>
              <w:widowControl w:val="false"/>
              <w:spacing w:before="40" w:after="0"/>
              <w:jc w:val="center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3</w:t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e30"/>
              <w:keepNext w:val="false"/>
              <w:widowControl w:val="false"/>
              <w:spacing w:before="40" w:after="0"/>
              <w:jc w:val="center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Позиции 1-15 Таблицы 1.1 настоящих Технических требований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партиями в течение 140 календарных дней с момента  подписания договора поставки в соответствии с Календарным графиком поставки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№1 Позиции 1-8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110 календарных дней с момента  подписания договора поставки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2 Позиции 9-15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140 календарных дней с момента  подписания договора поставки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orient="landscape" w:w="16838" w:h="11906"/>
          <w:pgMar w:left="1418" w:right="1103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2"/>
        </w:numPr>
        <w:spacing w:before="120" w:after="0"/>
        <w:rPr>
          <w:sz w:val="22"/>
          <w:szCs w:val="22"/>
        </w:rPr>
      </w:pPr>
      <w:bookmarkStart w:id="19" w:name="_Toc51339698"/>
      <w:bookmarkStart w:id="20" w:name="_Toc46743511"/>
      <w:bookmarkStart w:id="21" w:name="_Toc75446581"/>
      <w:r>
        <w:rPr>
          <w:sz w:val="22"/>
          <w:szCs w:val="22"/>
        </w:rPr>
        <w:t xml:space="preserve">Требования к </w:t>
      </w:r>
      <w:bookmarkEnd w:id="20"/>
      <w:bookmarkEnd w:id="21"/>
      <w:r>
        <w:rPr>
          <w:sz w:val="22"/>
          <w:szCs w:val="22"/>
          <w:lang w:val="ru-RU"/>
        </w:rPr>
        <w:t>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0"/>
        <w:ind w:left="0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22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2.</w:t>
      </w:r>
      <w:r>
        <w:rPr>
          <w:sz w:val="22"/>
          <w:szCs w:val="22"/>
        </w:rPr>
        <w:t xml:space="preserve"> Требования к </w:t>
      </w:r>
      <w:r>
        <w:rPr>
          <w:sz w:val="22"/>
          <w:szCs w:val="22"/>
          <w:lang w:val="ru-RU"/>
        </w:rPr>
        <w:t>продукции</w:t>
      </w:r>
      <w:bookmarkEnd w:id="19"/>
      <w:bookmarkEnd w:id="22"/>
      <w:r>
        <w:rPr>
          <w:sz w:val="22"/>
          <w:szCs w:val="22"/>
        </w:rPr>
        <w:t xml:space="preserve"> 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120" w:after="0"/>
        <w:jc w:val="both"/>
        <w:rPr/>
      </w:pPr>
      <w:r>
        <w:rPr>
          <w:b/>
          <w:bCs/>
          <w:i/>
          <w:iCs/>
          <w:sz w:val="22"/>
          <w:szCs w:val="22"/>
        </w:rPr>
        <w:t xml:space="preserve">Наименование продукции </w:t>
      </w:r>
      <w:r>
        <w:rPr>
          <w:rFonts w:eastAsia="Calibri"/>
          <w:i/>
          <w:sz w:val="22"/>
          <w:szCs w:val="22"/>
          <w:lang w:eastAsia="x-none"/>
        </w:rPr>
        <w:t>«</w:t>
      </w:r>
      <w:r>
        <w:rPr>
          <w:b/>
          <w:i/>
          <w:sz w:val="22"/>
          <w:szCs w:val="22"/>
        </w:rPr>
        <w:t>Опоры металлические промежуточные в комплекте с фундаментами</w:t>
      </w:r>
      <w:r>
        <w:rPr>
          <w:rFonts w:eastAsia="Calibri"/>
          <w:i/>
          <w:sz w:val="22"/>
          <w:szCs w:val="22"/>
          <w:lang w:eastAsia="x-none"/>
        </w:rPr>
        <w:t>»</w:t>
      </w:r>
    </w:p>
    <w:tbl>
      <w:tblPr>
        <w:tblStyle w:val="affff5"/>
        <w:tblW w:w="15451" w:type="dxa"/>
        <w:jc w:val="left"/>
        <w:tblInd w:w="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8"/>
        <w:gridCol w:w="3543"/>
        <w:gridCol w:w="3969"/>
        <w:gridCol w:w="2270"/>
        <w:gridCol w:w="2693"/>
        <w:gridCol w:w="2407"/>
      </w:tblGrid>
      <w:tr>
        <w:trPr/>
        <w:tc>
          <w:tcPr>
            <w:tcW w:w="56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54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96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0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6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0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5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82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характеристикам, к конструкции изделия, материалам</w:t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изготовлению опор металлических промежуточных в комплекте с фундаментами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2"/>
                <w:szCs w:val="22"/>
                <w:lang w:val="ru-RU" w:eastAsia="ru-RU" w:bidi="ar-SA"/>
              </w:rPr>
              <w:t xml:space="preserve">Опоры должны быть предназначены для применения в районах с диапазоном температуры от - 60˚ до +50˚ и изготовлены из стали марки 09Г2С по ГОСТ 19281-2014 (С345-3 по ГОСТ 27772-2021). Антикоррозионное покрытие опор нанесено методом горячего оцинкования согласно ГОСТ 9.307-2021.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Допускается производить замену марок стали на равнопрочную или более высокой прочности согласно расчетных листов.</w:t>
            </w:r>
          </w:p>
        </w:tc>
        <w:tc>
          <w:tcPr>
            <w:tcW w:w="22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требованием, указать марку стали для изготовления опор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Опоры должны быть выполнены в соответствии с ГОСТ 23118-2019 «Конструкции стальные строительные. Общие технические условия» актуальной версии.</w:t>
            </w:r>
          </w:p>
        </w:tc>
        <w:tc>
          <w:tcPr>
            <w:tcW w:w="22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Защита от коррозии металлических элементов опор, метизов должна быть выполнена методом горячего оцинкования в соответствии с требованиями ГОСТ 9.307-2021 «Покрытия цинковые горячие. Общие требования и методы контроля» или термодиффузионного оцинкования в соответствии с требованиями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 xml:space="preserve"> ГОСТ 9.316-2006 «Покрытия термодиффузионные цинковые. Общие требования и методы контроля»</w:t>
            </w:r>
            <w:r>
              <w:rPr>
                <w:rFonts w:eastAsia="Times New Roman" w:cs="Times New Roman"/>
                <w:color w:val="141412"/>
                <w:spacing w:val="12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.</w:t>
            </w:r>
          </w:p>
        </w:tc>
        <w:tc>
          <w:tcPr>
            <w:tcW w:w="22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Указать метод оцинкования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512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bookmarkStart w:id="23" w:name="_Hlk68806928"/>
            <w:r>
              <w:rPr>
                <w:rFonts w:eastAsia="Times New Roman" w:cs="Times New Roman"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Указанные в настоящем техническом требовании ссылки на марку (тип) продукции или типовой проект носят описательный, а не обязательный характер.</w:t>
            </w:r>
            <w:bookmarkEnd w:id="23"/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эквивалента.</w:t>
            </w:r>
          </w:p>
          <w:p>
            <w:pPr>
              <w:pStyle w:val="FootnoteText"/>
              <w:widowControl w:val="false"/>
              <w:suppressAutoHyphens w:val="true"/>
              <w:spacing w:before="0" w:after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</w:r>
          </w:p>
          <w:p>
            <w:pPr>
              <w:pStyle w:val="FootnoteText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Параметрами эквивалентности являются технические характеристики продукции, указанные в Таблице № 2.2 и Приложениях № 1, № 2, № 3, № 4, № 4-1 настоящих технических требований.</w:t>
            </w:r>
          </w:p>
          <w:p>
            <w:pPr>
              <w:pStyle w:val="FootnoteText"/>
              <w:widowControl w:val="false"/>
              <w:suppressAutoHyphens w:val="true"/>
              <w:spacing w:before="0" w:after="0"/>
              <w:jc w:val="both"/>
              <w:rPr>
                <w:iCs/>
              </w:rPr>
            </w:pPr>
            <w:r>
              <w:rPr>
                <w:iCs/>
              </w:rPr>
            </w:r>
          </w:p>
          <w:p>
            <w:pPr>
              <w:pStyle w:val="FootnoteText"/>
              <w:widowControl w:val="false"/>
              <w:suppressAutoHyphens w:val="true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  <w:bookmarkStart w:id="24" w:name="_GoBack"/>
            <w:bookmarkEnd w:id="24"/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1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82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</w:t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продукцию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не менее 5-ти лет.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Время начала исчисления гарантийного срока с момента подписания ТОРГ-12 или УПД.</w:t>
            </w:r>
          </w:p>
        </w:tc>
        <w:tc>
          <w:tcPr>
            <w:tcW w:w="22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Указать срок гарантии на предлагаемую продукцию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14882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Требование к доставке</w:t>
            </w:r>
          </w:p>
        </w:tc>
      </w:tr>
      <w:tr>
        <w:trPr>
          <w:trHeight w:val="646" w:hRule="atLeast"/>
        </w:trPr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 и количество продукции в адрес филиала АО «ДРСК» «Амурские электрические сети»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Arial" w:hAnsi="Arial"/>
                <w:b/>
                <w:color w:val="003366"/>
                <w:kern w:val="0"/>
                <w:sz w:val="17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Для отгрузки железнодорожным  транспортом: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Станция получения: Тыгда Заб. Ж.Д., код станции- 952709, код предприятия- 9533, ОКПО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78900638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Для отгрузки автомобильным транспортом: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 xml:space="preserve">676150, </w:t>
            </w:r>
            <w:r>
              <w:rPr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РФ, Амурская обл., г. Зея,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пер. Лаврушинский, д.3</w:t>
            </w:r>
          </w:p>
        </w:tc>
        <w:tc>
          <w:tcPr>
            <w:tcW w:w="22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требованием, указать способ доставки продукции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46" w:hRule="atLeast"/>
        </w:trPr>
        <w:tc>
          <w:tcPr>
            <w:tcW w:w="5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 и количество продукции в адрес филиала АО «ДРСК» «Хабаровские электрические сети»</w:t>
            </w:r>
          </w:p>
        </w:tc>
        <w:tc>
          <w:tcPr>
            <w:tcW w:w="39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Arial" w:hAnsi="Arial"/>
                <w:b/>
                <w:color w:val="003366"/>
                <w:kern w:val="0"/>
                <w:sz w:val="17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Для отгрузки железнодорожным  транспортом: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Станция получения: Хабаровск-2 ДВЖД, код станции- 970001, код предприятия- 9531, ОКПО- 78900638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Для отгрузки автомобильным транспортом: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680009, РФ, Хабаровский край, г. Хабаровск, ул. Промышленная, 13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требованием, указать способ доставки продукции</w:t>
            </w:r>
          </w:p>
        </w:tc>
        <w:tc>
          <w:tcPr>
            <w:tcW w:w="26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46" w:hRule="atLeast"/>
        </w:trPr>
        <w:tc>
          <w:tcPr>
            <w:tcW w:w="5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 и количество продукции в адрес филиала АО «ДРСК» «Электрические сети ЕАО»</w:t>
            </w:r>
          </w:p>
        </w:tc>
        <w:tc>
          <w:tcPr>
            <w:tcW w:w="39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Arial" w:hAnsi="Arial"/>
                <w:b/>
                <w:color w:val="003366"/>
                <w:kern w:val="0"/>
                <w:sz w:val="17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Для отгрузки железнодорожным  транспортом: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С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танция получения: Биробиджан-1 ДВЖД, код станции- 962804, код предприятия – 9532, ОКПО – 78900638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Для отгрузки автомобильным транспортом: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679011, РФ, Еврейская Автономная обл., г. Биробиджан, ул. Черноморская, 6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требованием, указать способ доставки продукции</w:t>
            </w:r>
          </w:p>
        </w:tc>
        <w:tc>
          <w:tcPr>
            <w:tcW w:w="26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46" w:hRule="atLeast"/>
        </w:trPr>
        <w:tc>
          <w:tcPr>
            <w:tcW w:w="5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 и количество продукции в адрес филиала АО «ДРСК» «Южно-Якутские электрические сети»</w:t>
            </w:r>
          </w:p>
        </w:tc>
        <w:tc>
          <w:tcPr>
            <w:tcW w:w="39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 w:ascii="Arial" w:hAnsi="Arial"/>
                <w:b/>
                <w:color w:val="003366"/>
                <w:kern w:val="0"/>
                <w:sz w:val="17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Для отгрузки железнодорожным  транспортом: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С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танция получения: Алдан НВСТР через Нерюнгри- Грузовая ДВЖД, код станции- 914001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Для отгрузки автомобильным транспортом: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678901, РФ, Республика Саха (Якутия),г. Алдан, ул. Тарабукина, 60А.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требованием, указать способ доставки продукции</w:t>
            </w:r>
          </w:p>
        </w:tc>
        <w:tc>
          <w:tcPr>
            <w:tcW w:w="26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0"/>
              <w:ind w:left="113" w:right="-113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14882" w:type="dxa"/>
            <w:gridSpan w:val="5"/>
            <w:tcBorders/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сроку выпуска продукции</w:t>
            </w:r>
          </w:p>
        </w:tc>
      </w:tr>
      <w:tr>
        <w:trPr/>
        <w:tc>
          <w:tcPr>
            <w:tcW w:w="5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3543" w:type="dxa"/>
            <w:tcBorders/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сроку изготовления закупаемой продукции</w:t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Год изготовления (выпуска) закупаемой продукции 2026-2027гг.</w:t>
            </w:r>
          </w:p>
        </w:tc>
        <w:tc>
          <w:tcPr>
            <w:tcW w:w="22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left="-76" w:hanging="142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4.2.</w:t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качеству закупаемой продукции</w:t>
            </w:r>
          </w:p>
        </w:tc>
        <w:tc>
          <w:tcPr>
            <w:tcW w:w="39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быть новой, ранее не используемой (Под новой следует понимать продукцию, которая не была в употреблении, не проходила ремонт, в том числе восстановление, замену составных частей, восстановление потребительских свойств)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 xml:space="preserve">                </w:t>
            </w:r>
            <w:r>
              <w:rPr>
                <w:rFonts w:eastAsia="Times New Roman" w:cs="Times New Roman" w:ascii="Liberation Serif" w:hAnsi="Liberation Serif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left="-76" w:hanging="142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14882" w:type="dxa"/>
            <w:gridSpan w:val="5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109" w:hanging="0"/>
              <w:jc w:val="left"/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left="-76" w:hanging="142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5.1</w:t>
            </w:r>
          </w:p>
        </w:tc>
        <w:tc>
          <w:tcPr>
            <w:tcW w:w="35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408"/>
                <w:tab w:val="left" w:pos="567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Требования к происхождению поставляемой продукции</w:t>
            </w:r>
          </w:p>
        </w:tc>
        <w:tc>
          <w:tcPr>
            <w:tcW w:w="396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составе Коммерческого предложения Поставщик указывает страну и производителя продукции.</w:t>
            </w:r>
          </w:p>
        </w:tc>
        <w:tc>
          <w:tcPr>
            <w:tcW w:w="227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left="0" w:right="39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Указать страну и производителя продукции.</w:t>
            </w:r>
          </w:p>
        </w:tc>
        <w:tc>
          <w:tcPr>
            <w:tcW w:w="240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567" w:right="567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2"/>
        </w:numPr>
        <w:tabs>
          <w:tab w:val="clear" w:pos="408"/>
          <w:tab w:val="left" w:pos="851" w:leader="none"/>
        </w:tabs>
        <w:spacing w:before="0" w:after="0"/>
        <w:ind w:left="0" w:firstLine="567"/>
        <w:rPr>
          <w:sz w:val="22"/>
          <w:szCs w:val="22"/>
          <w:lang w:val="ru-RU"/>
        </w:rPr>
      </w:pPr>
      <w:bookmarkStart w:id="25" w:name="_Toc53393312"/>
      <w:bookmarkStart w:id="26" w:name="_Toc75446583"/>
      <w:r>
        <w:rPr>
          <w:sz w:val="22"/>
          <w:szCs w:val="22"/>
          <w:lang w:val="ru-RU"/>
        </w:rPr>
        <w:t>Требования к документации по ценообразованию</w:t>
      </w:r>
      <w:bookmarkEnd w:id="25"/>
      <w:bookmarkEnd w:id="26"/>
      <w:r>
        <w:rPr>
          <w:sz w:val="22"/>
          <w:szCs w:val="22"/>
          <w:lang w:val="ru-RU"/>
        </w:rPr>
        <w:t xml:space="preserve"> на этапе закупки</w:t>
      </w:r>
    </w:p>
    <w:p>
      <w:pPr>
        <w:pStyle w:val="Normal"/>
        <w:tabs>
          <w:tab w:val="clear" w:pos="408"/>
          <w:tab w:val="left" w:pos="1134" w:leader="none"/>
        </w:tabs>
        <w:ind w:right="593" w:firstLine="567"/>
        <w:jc w:val="both"/>
        <w:rPr>
          <w:bCs/>
          <w:iCs/>
          <w:sz w:val="22"/>
          <w:szCs w:val="22"/>
          <w:lang w:eastAsia="x-none"/>
        </w:rPr>
      </w:pPr>
      <w:r>
        <w:rPr>
          <w:bCs/>
          <w:iCs/>
          <w:sz w:val="22"/>
          <w:szCs w:val="22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right="593" w:firstLine="567"/>
        <w:jc w:val="both"/>
        <w:rPr>
          <w:sz w:val="22"/>
          <w:szCs w:val="22"/>
        </w:rPr>
      </w:pPr>
      <w:r>
        <w:rPr>
          <w:bCs/>
          <w:iCs/>
          <w:sz w:val="22"/>
          <w:szCs w:val="22"/>
          <w:lang w:eastAsia="x-none"/>
        </w:rPr>
        <w:t>3.2.</w:t>
      </w:r>
      <w:bookmarkStart w:id="27" w:name="_Toc51339699"/>
      <w:bookmarkStart w:id="28" w:name="_Toc46743519"/>
      <w:bookmarkEnd w:id="27"/>
      <w:bookmarkEnd w:id="28"/>
      <w:r>
        <w:rPr>
          <w:sz w:val="22"/>
          <w:szCs w:val="22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widowControl w:val="false"/>
        <w:tabs>
          <w:tab w:val="clear" w:pos="408"/>
          <w:tab w:val="left" w:pos="426" w:leader="none"/>
        </w:tabs>
        <w:spacing w:before="60" w:after="0"/>
        <w:jc w:val="both"/>
        <w:rPr>
          <w:b/>
          <w:sz w:val="22"/>
          <w:szCs w:val="22"/>
          <w:lang w:val="x-none" w:eastAsia="x-none"/>
        </w:rPr>
      </w:pPr>
      <w:r>
        <w:rPr>
          <w:b/>
          <w:sz w:val="22"/>
          <w:szCs w:val="22"/>
          <w:lang w:val="x-none" w:eastAsia="x-none"/>
        </w:rPr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1 – </w:t>
      </w:r>
      <w:r>
        <w:rPr>
          <w:b/>
          <w:bCs/>
          <w:i/>
          <w:iCs/>
          <w:sz w:val="22"/>
          <w:szCs w:val="22"/>
        </w:rPr>
        <w:t>Чертежи опор и фундаментов металлических филиала АО «ДРСК» «Амурские электрические сети»</w:t>
      </w:r>
    </w:p>
    <w:p>
      <w:pPr>
        <w:pStyle w:val="Normal"/>
        <w:rPr>
          <w:i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Приложение № 2 –  </w:t>
      </w:r>
      <w:r>
        <w:rPr>
          <w:b/>
          <w:bCs/>
          <w:i/>
          <w:iCs/>
          <w:sz w:val="22"/>
          <w:szCs w:val="22"/>
        </w:rPr>
        <w:t>Чертеж опоры и фундамента металлических филиала АО «ДРСК» «Хабаровские электрические сети»</w:t>
      </w:r>
    </w:p>
    <w:p>
      <w:pPr>
        <w:pStyle w:val="Normal"/>
        <w:rPr>
          <w:i/>
          <w:i/>
          <w:iCs/>
        </w:rPr>
      </w:pPr>
      <w:r>
        <w:rPr>
          <w:b/>
          <w:i/>
          <w:iCs/>
          <w:sz w:val="22"/>
          <w:szCs w:val="22"/>
        </w:rPr>
        <w:t>Приложение № 3 –  Чертеж опоры и фундамента металлических филиала АО «ДРСК» «Электрические сети ЕАО»</w:t>
      </w:r>
    </w:p>
    <w:p>
      <w:pPr>
        <w:pStyle w:val="Normal"/>
        <w:rPr>
          <w:i/>
          <w:i/>
          <w:iCs/>
        </w:rPr>
      </w:pPr>
      <w:r>
        <w:rPr>
          <w:b/>
          <w:i/>
          <w:iCs/>
          <w:sz w:val="22"/>
          <w:szCs w:val="22"/>
        </w:rPr>
        <w:t>Приложение № 4, № 4-1 –  Чертежи опор и фундаментов металлических филиала АО «ДРСК» «Южно-Якутские электрические сети»</w:t>
      </w:r>
    </w:p>
    <w:p>
      <w:pPr>
        <w:pStyle w:val="Normal"/>
        <w:rPr>
          <w:bCs/>
          <w:i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</w:r>
    </w:p>
    <w:p>
      <w:pPr>
        <w:pStyle w:val="Normal"/>
        <w:rPr>
          <w:bCs/>
          <w:i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</w:r>
    </w:p>
    <w:p>
      <w:pPr>
        <w:pStyle w:val="Normal"/>
        <w:rPr>
          <w:bCs/>
          <w:i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</w:r>
    </w:p>
    <w:p>
      <w:pPr>
        <w:pStyle w:val="Normal"/>
        <w:rPr>
          <w:bCs/>
          <w:i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</w:r>
    </w:p>
    <w:p>
      <w:pPr>
        <w:pStyle w:val="ListParagraph"/>
        <w:widowControl w:val="false"/>
        <w:tabs>
          <w:tab w:val="clear" w:pos="408"/>
          <w:tab w:val="left" w:pos="426" w:leader="none"/>
        </w:tabs>
        <w:spacing w:before="60" w:after="0"/>
        <w:contextualSpacing/>
        <w:jc w:val="both"/>
        <w:rPr>
          <w:rStyle w:val="Style8"/>
          <w:bCs/>
          <w:i w:val="false"/>
          <w:i w:val="false"/>
          <w:iCs/>
          <w:sz w:val="22"/>
          <w:szCs w:val="22"/>
        </w:rPr>
      </w:pPr>
      <w:r>
        <w:rPr>
          <w:bCs/>
          <w:i w:val="false"/>
          <w:iCs/>
          <w:sz w:val="22"/>
          <w:szCs w:val="22"/>
        </w:rPr>
      </w:r>
    </w:p>
    <w:p>
      <w:pPr>
        <w:pStyle w:val="ListParagraph"/>
        <w:widowControl w:val="false"/>
        <w:tabs>
          <w:tab w:val="clear" w:pos="408"/>
          <w:tab w:val="left" w:pos="426" w:leader="none"/>
        </w:tabs>
        <w:spacing w:before="60" w:after="0"/>
        <w:contextualSpacing/>
        <w:jc w:val="both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effect w:val="none"/>
        <w:szCs w:val="22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effect w:val="none"/>
        <w:szCs w:val="22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numPr>
        <w:ilvl w:val="0"/>
        <w:numId w:val="0"/>
      </w:numPr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4" w:customStyle="1">
    <w:name w:val="Основной текст с отступом Знак"/>
    <w:basedOn w:val="DefaultParagraphFont"/>
    <w:qFormat/>
    <w:rsid w:val="00730aab"/>
    <w:rPr>
      <w:sz w:val="24"/>
      <w:szCs w:val="24"/>
    </w:rPr>
  </w:style>
  <w:style w:type="character" w:styleId="Style15" w:customStyle="1">
    <w:name w:val="Символы концевой сноски"/>
    <w:qFormat/>
    <w:rPr/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qFormat/>
    <w:rsid w:val="00d561d9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4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rsid w:val="0076353a"/>
    <w:pPr>
      <w:tabs>
        <w:tab w:val="clear" w:pos="4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4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4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4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AC46-7B11-4D52-915E-6AF83F0C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Application>AlterOffice/3.3.0.4$Linux_X86_64 LibreOffice_project/fa736b558560ebea8f92088bfd7720f4b3918f3f</Application>
  <AppVersion>15.0000</AppVersion>
  <Pages>7</Pages>
  <Words>1248</Words>
  <Characters>8218</Characters>
  <CharactersWithSpaces>9296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2023-06-04T22:23:00Z</dcterms:created>
  <dc:creator>Быстров Олег Геннадьевич</dc:creator>
  <dc:description/>
  <dc:language>ru-RU</dc:language>
  <cp:lastModifiedBy>veryutin_va</cp:lastModifiedBy>
  <cp:lastPrinted>2006-07-26T14:04:00Z</cp:lastPrinted>
  <dcterms:modified xsi:type="dcterms:W3CDTF">2026-07-13T16:08:54Z</dcterms:modified>
  <cp:revision>521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