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b/>
          <w:sz w:val="32"/>
        </w:rPr>
      </w:pPr>
      <w:r>
        <w:rPr>
          <w:rFonts w:eastAsia="Calibri"/>
          <w:b/>
        </w:rPr>
        <w:t xml:space="preserve">«ОКПД2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27.11</w:t>
      </w:r>
      <w:r>
        <w:rPr>
          <w:rFonts w:eastAsia="Calibri"/>
          <w:b/>
        </w:rPr>
        <w:t xml:space="preserve"> Поставка бензинового генератора для нужд Филиала ПАО "РусГидро" - "Карачаево-Черкесский филиал"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7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 xml:space="preserve">Цель использования закупаемой продукции 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поставки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8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lang w:val="en-US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</w:r>
            <w:r>
              <w:rPr>
                <w:rStyle w:val="Style14"/>
                <w:lang w:val="en-US"/>
              </w:rPr>
              <w:t>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</w:rPr>
              <w:tab/>
            </w:r>
            <w:r>
              <w:rPr>
                <w:rStyle w:val="Style14"/>
                <w:lang w:val="en-US"/>
              </w:rPr>
              <w:t>1</w:t>
            </w:r>
          </w:hyperlink>
          <w:r>
            <w:rPr/>
            <w:t>4</w:t>
          </w:r>
          <w:r>
            <w:rPr/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  <w:tab w:val="left" w:pos="707" w:leader="none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75446567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ТПиР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техническое перевооружение и ремонт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ГЭС-ГАЭС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гидроэлектростанция- гидроаккумулирующая 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НДС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налог на добавленную стоимость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46743506"/>
      <w:bookmarkStart w:id="5" w:name="_Toc75446568"/>
      <w:r>
        <w:rPr/>
        <w:t>Наименование закупаемой продукции</w:t>
      </w:r>
      <w:bookmarkEnd w:id="4"/>
      <w:bookmarkEnd w:id="5"/>
    </w:p>
    <w:p>
      <w:pPr>
        <w:pStyle w:val="Normal"/>
        <w:jc w:val="both"/>
        <w:rPr>
          <w:lang w:eastAsia="x-none"/>
        </w:rPr>
      </w:pPr>
      <w:bookmarkStart w:id="6" w:name="_Toc75446569"/>
      <w:r>
        <w:rPr>
          <w:lang w:eastAsia="x-none"/>
        </w:rPr>
        <w:t>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x-none" w:bidi="ar-SA"/>
        </w:rPr>
        <w:t>ОКПД2 27.11Поставка бензинового генератора</w:t>
      </w:r>
      <w:r>
        <w:rPr>
          <w:lang w:eastAsia="x-none"/>
        </w:rPr>
        <w:t xml:space="preserve"> для нужд Филиала ПАО "РусГидро" - "Карачаево-Черкесский филиал"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7" w:name="_Toc46743507"/>
      <w:r>
        <w:rPr/>
        <w:t xml:space="preserve">Цель </w:t>
      </w:r>
      <w:bookmarkEnd w:id="7"/>
      <w:r>
        <w:rPr>
          <w:lang w:val="ru-RU"/>
        </w:rPr>
        <w:t xml:space="preserve">использования закупаемой продукции </w:t>
      </w:r>
      <w:bookmarkEnd w:id="6"/>
    </w:p>
    <w:p>
      <w:pPr>
        <w:pStyle w:val="Normal"/>
        <w:jc w:val="both"/>
        <w:rPr>
          <w:lang w:val="x-none" w:eastAsia="x-none"/>
        </w:rPr>
      </w:pPr>
      <w:r>
        <w:rPr>
          <w:lang w:eastAsia="x-none"/>
        </w:rPr>
        <w:t>Бензиновый генератор закупается для Филиала ПАО «РусГидро» - «Карачаево-Черкесский филиал», обеспечивая улучшение качества электропитания собственных нужд.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51339693"/>
      <w:bookmarkStart w:id="9" w:name="_Toc75446573"/>
      <w:bookmarkStart w:id="10" w:name="_Toc46743510"/>
      <w:bookmarkStart w:id="11" w:name="_Toc50125126"/>
      <w:bookmarkEnd w:id="10"/>
      <w:bookmarkEnd w:id="11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ind w:left="1224" w:hanging="504"/>
        <w:rPr/>
      </w:pPr>
      <w:bookmarkStart w:id="13" w:name="_Toc75446575"/>
      <w:r>
        <w:rPr>
          <w:lang w:val="ru-RU"/>
        </w:rPr>
        <w:t>Перечень и объем закупаемой продукци</w:t>
      </w:r>
      <w:bookmarkEnd w:id="13"/>
      <w:r>
        <w:rPr>
          <w:lang w:val="ru-RU"/>
        </w:rPr>
        <w:t>и</w:t>
      </w:r>
    </w:p>
    <w:p>
      <w:pPr>
        <w:pStyle w:val="Heading3"/>
        <w:numPr>
          <w:ilvl w:val="0"/>
          <w:numId w:val="0"/>
        </w:numPr>
        <w:ind w:left="0" w:hanging="0"/>
        <w:rPr/>
      </w:pPr>
      <w:bookmarkStart w:id="14" w:name="_Toc75446576"/>
      <w:bookmarkStart w:id="15" w:name="_Toc51339695"/>
      <w:r>
        <w:rPr/>
        <w:t xml:space="preserve">Таблица </w:t>
      </w:r>
      <w:r>
        <w:rPr>
          <w:lang w:val="ru-RU"/>
        </w:rPr>
        <w:t>1.1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15"/>
      <w:r>
        <w:rPr>
          <w:lang w:val="ru-RU"/>
        </w:rPr>
        <w:t>и объем закупаемой продукции</w:t>
      </w:r>
      <w:bookmarkEnd w:id="14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ffff5"/>
        <w:tblW w:w="9949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1" w:val="04a0" w:noHBand="0" w:lastColumn="0" w:firstColumn="1" w:lastRow="0" w:firstRow="1"/>
      </w:tblPr>
      <w:tblGrid>
        <w:gridCol w:w="703"/>
        <w:gridCol w:w="6581"/>
        <w:gridCol w:w="2665"/>
      </w:tblGrid>
      <w:tr>
        <w:trPr/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п.п.</w:t>
            </w:r>
          </w:p>
        </w:tc>
        <w:tc>
          <w:tcPr>
            <w:tcW w:w="65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 xml:space="preserve">Наименование </w:t>
            </w:r>
          </w:p>
        </w:tc>
        <w:tc>
          <w:tcPr>
            <w:tcW w:w="26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Количество, шт</w:t>
            </w:r>
          </w:p>
        </w:tc>
      </w:tr>
      <w:tr>
        <w:trPr/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x-none" w:bidi="ar-SA"/>
              </w:rPr>
              <w:t>1</w:t>
            </w:r>
          </w:p>
        </w:tc>
        <w:tc>
          <w:tcPr>
            <w:tcW w:w="65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x-none" w:bidi="ar-SA"/>
              </w:rPr>
              <w:t>2</w:t>
            </w:r>
          </w:p>
        </w:tc>
        <w:tc>
          <w:tcPr>
            <w:tcW w:w="26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x-none" w:bidi="ar-SA"/>
              </w:rPr>
              <w:t>3</w:t>
            </w:r>
          </w:p>
        </w:tc>
      </w:tr>
      <w:tr>
        <w:trPr/>
        <w:tc>
          <w:tcPr>
            <w:tcW w:w="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1</w:t>
            </w:r>
          </w:p>
        </w:tc>
        <w:tc>
          <w:tcPr>
            <w:tcW w:w="6581" w:type="dxa"/>
            <w:tcBorders/>
            <w:vAlign w:val="cente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57" w:hanging="0"/>
              <w:jc w:val="center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en-US" w:eastAsia="x-none" w:bidi="ar-SA"/>
              </w:rPr>
              <w:t>Бензиновый генератор LIFAN 20000E3A 00-00160715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x-none" w:bidi="ar-SA"/>
              </w:rPr>
              <w:t>(или эквивалент)</w:t>
            </w:r>
          </w:p>
        </w:tc>
        <w:tc>
          <w:tcPr>
            <w:tcW w:w="26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1224" w:hanging="504"/>
        <w:rPr>
          <w:lang w:val="ru-RU"/>
        </w:rPr>
      </w:pPr>
      <w:bookmarkStart w:id="16" w:name="_Toc75446578"/>
      <w:bookmarkStart w:id="17" w:name="_Toc51339696"/>
      <w:r>
        <w:rPr>
          <w:lang w:val="ru-RU"/>
        </w:rPr>
        <w:t xml:space="preserve">Требования </w:t>
      </w:r>
      <w:bookmarkEnd w:id="17"/>
      <w:r>
        <w:rPr>
          <w:lang w:val="ru-RU"/>
        </w:rPr>
        <w:t xml:space="preserve">к срокам поставки продукции </w:t>
      </w:r>
      <w:bookmarkEnd w:id="1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bCs/>
          <w:i/>
          <w:i/>
          <w:iCs/>
          <w:sz w:val="24"/>
          <w:szCs w:val="24"/>
          <w:shd w:fill="FFFF99" w:val="clear"/>
        </w:rPr>
      </w:pPr>
      <w:bookmarkStart w:id="18" w:name="_Toc75446579"/>
      <w:bookmarkStart w:id="19" w:name="_Toc51339697"/>
      <w:bookmarkStart w:id="20" w:name="_Toc50125127"/>
      <w:bookmarkStart w:id="21" w:name="_Toc50125126_Копия_1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6"/>
        <w:gridCol w:w="3119"/>
        <w:gridCol w:w="2974"/>
        <w:gridCol w:w="3118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72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«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x-none" w:bidi="ar-SA"/>
              </w:rPr>
              <w:t>ОКПД2 27.11.32.120 Поставка бензинового генератора для нужд Филиала ПАО "РусГидро" - "Карачаево-Черкесский филиал"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4"/>
                <w:lang w:eastAsia="x-none"/>
              </w:rPr>
              <w:t>с даты заключения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x-none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x-none" w:bidi="ar-SA"/>
              </w:rPr>
              <w:t>До 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8"/>
                <w:shd w:fill="auto" w:val="clear"/>
                <w:lang w:val="ru-RU" w:eastAsia="x-none" w:bidi="ar-SA"/>
              </w:rPr>
              <w:t>0.09.2026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23" w:name="_Toc51339698"/>
      <w:bookmarkStart w:id="24" w:name="_Toc75446581"/>
      <w:bookmarkStart w:id="25" w:name="_Toc46743511"/>
      <w:bookmarkStart w:id="26" w:name="_Toc46743510_Копия_1"/>
      <w:bookmarkEnd w:id="26"/>
      <w:r>
        <w:rPr/>
        <w:t xml:space="preserve">Требования к </w:t>
      </w:r>
      <w:bookmarkEnd w:id="25"/>
      <w:r>
        <w:rPr>
          <w:lang w:val="ru-RU"/>
        </w:rPr>
        <w:t>качеству продукции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7"/>
      <w:r>
        <w:rPr>
          <w:sz w:val="24"/>
          <w:szCs w:val="24"/>
        </w:rPr>
        <w:t xml:space="preserve"> </w:t>
      </w:r>
      <w:bookmarkEnd w:id="23"/>
    </w:p>
    <w:p>
      <w:pPr>
        <w:pStyle w:val="Normal"/>
        <w:jc w:val="both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Times New Roman" w:cs="Times New Roman"/>
          <w:b/>
          <w:bCs/>
          <w:i/>
          <w:iCs/>
          <w:color w:val="auto"/>
          <w:kern w:val="0"/>
          <w:sz w:val="24"/>
          <w:szCs w:val="24"/>
          <w:lang w:val="ru-RU" w:eastAsia="x-none" w:bidi="ar-SA"/>
        </w:rPr>
        <w:t>ОКПД2 27.11.32.120 Поставка бензинового генератора для нужд Филиала ПАО "РусГидро" - "Карачаево-Черкесский филиал"</w:t>
      </w:r>
      <w:r>
        <w:rPr>
          <w:rStyle w:val="Style8"/>
          <w:b w:val="false"/>
          <w:iCs/>
          <w:sz w:val="24"/>
          <w:szCs w:val="24"/>
          <w:shd w:fill="auto" w:val="clear"/>
        </w:rPr>
        <w:t xml:space="preserve"> </w:t>
      </w:r>
    </w:p>
    <w:tbl>
      <w:tblPr>
        <w:tblStyle w:val="affff5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2"/>
        <w:gridCol w:w="2834"/>
        <w:gridCol w:w="3403"/>
        <w:gridCol w:w="3544"/>
        <w:gridCol w:w="2408"/>
        <w:gridCol w:w="2267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9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8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Состояние 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должен поставить все изделия новыми, не восстановленными, не бывшими в употреблении, ремонте, работоспособными, включив в комплект поставки все необходимые для выполнения данного требования компоненты. Поставляемый товар должен отвечать требованиям соответствующих стандартов, технических спецификаций (ТУ, ГОСТ и т.д.).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Мощность применяемого двигателя, л.с., не менее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Рабочий объем двигателя, см3, не менее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999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Обмотка альтернатора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медная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Альтернатор</w:t>
            </w:r>
          </w:p>
        </w:tc>
        <w:tc>
          <w:tcPr>
            <w:tcW w:w="3403" w:type="dxa"/>
            <w:tcBorders/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Синхронный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Расход топлива, г/кВт*ч, не более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390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Объем масла в двигателе, л, не менее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2.4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Двигатель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(или эквивалент)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Lifan 2V90F бензиновый 4-х тактный двухцилиндровый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Система запуска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Электростарт от аккумулятора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Автоматический регулятор напряжения (AVR)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компаундного типа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Вид топлива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бензин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Максимальная мощность генератора, кВт, не менее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19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Номинальная мощность генератора, кВт, не менее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17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Емкость топливного бака, л, не менее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Емкость картера двигателя, л., не менее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2,4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Время непрерывной работы, часов, не менее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Выходное напряжение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220В /380 В;</w:t>
            </w:r>
          </w:p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 В (пост.)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Сила тока розеток 380/220/12, А, не менее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32/77/8,3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Выходная частота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50 Гц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Уровень шума, дБ,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85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Эл. выходы 380/220/12, шт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1/3/1 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Наличие колес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Наличие ручек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конструкционно</w:t>
            </w:r>
          </w:p>
        </w:tc>
        <w:tc>
          <w:tcPr>
            <w:tcW w:w="35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1095" w:leader="none"/>
              </w:tabs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Количество фаз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Масса генератора, кг,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Габаритные размеры, мм, не более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1100х900х1000</w:t>
            </w:r>
          </w:p>
        </w:tc>
        <w:tc>
          <w:tcPr>
            <w:tcW w:w="35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n-US" w:eastAsia="ru-RU" w:bidi="ar-SA"/>
              </w:rPr>
              <w:t>Степень защиты, не менее</w:t>
            </w:r>
          </w:p>
        </w:tc>
        <w:tc>
          <w:tcPr>
            <w:tcW w:w="3403" w:type="dxa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suppressAutoHyphens w:val="true"/>
              <w:spacing w:lineRule="auto" w:line="252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IP23</w:t>
            </w:r>
          </w:p>
        </w:tc>
        <w:tc>
          <w:tcPr>
            <w:tcW w:w="35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Безопасность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Все поставляемые изделия должны быть безопасными в процессе эксплуатации, хранения, транспортировки.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Исполнение оборудования должно позволять эксплуатацию в условиях производственной среды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металлическая рама;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Демпферные подушки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 xml:space="preserve">Состав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комплекта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-80" w:hanging="0"/>
              <w:contextualSpacing/>
              <w:jc w:val="left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генератор в сборе, транспортировочный комплект, АКБ, свечной ключ, набор колес , инструкция на русском языке, гарантийный талон, упаковка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Конструкция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Конструкция изделий должна обеспечивать их полную работоспособность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en-US" w:eastAsia="ru-RU" w:bidi="ar-SA"/>
              </w:rPr>
              <w:t>Повреждения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следов механических повреждений, коррозии, окислов, деформации и иных повреждений не допускаются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Эквивалент</w:t>
            </w:r>
          </w:p>
        </w:tc>
        <w:tc>
          <w:tcPr>
            <w:tcW w:w="3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lineRule="auto" w:line="276"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В случае, если Участником предлагаются эквиваленты требуемого Заказчику оборудования или его составных частей в составе своего предложения, он должен, в обязательном порядке, предоставить подробное техническое описание предлагаемого к поставке эквивалента. Отсутствие в составе Заявки подробного технического описания эквивалента оборудования является причиной отклонения предложения Участника.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lineRule="auto" w:line="276"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Эквивалентное оборудование - это оборудование, которое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В случае предложения эквивалентов, Участнику необходимо обеспечить выполнение следующих условий: для оценки возможности использования предлагаемого эквивалентного оборудования, предложение Участника должно содержать подробную техническую информацию в объеме, соответствующем техническим требованиям, указанным Заказчиком.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lineRule="auto" w:line="276"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Параметрами эквивалентности являются технические характеристики оборудования, указанного к настоящим техническим требованиям. Для оценки возможности использования предлагаемого эквивалентного оборудования, предложение Участника должно содержать техническую информацию в объеме, соответствующем настоящим техническим требованиям.</w:t>
            </w:r>
          </w:p>
          <w:p>
            <w:pPr>
              <w:pStyle w:val="Standard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20" w:hanging="360"/>
              <w:jc w:val="both"/>
              <w:rPr>
                <w:kern w:val="0"/>
                <w:lang w:val="ru-RU" w:bidi="ar-SA"/>
              </w:rPr>
            </w:pPr>
            <w:r>
              <w:rPr>
                <w:rFonts w:ascii="Liberation Serif" w:hAnsi="Liberation Serif"/>
                <w:kern w:val="0"/>
                <w:sz w:val="24"/>
                <w:szCs w:val="24"/>
                <w:lang w:val="ru-RU" w:bidi="ar-SA"/>
              </w:rPr>
              <w:t>В случае предложения эквивалентов, на эквивалент должны быть предоставлены все полагающиеся документы согласно законодательству РФ.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пгт. Правокубанский, Карачаевский муниципальный район, Карачаево-Черкесская Республика, Российская Федерация, 369244.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качеству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Sylfaen" w:cs="Times New Roman" w:ascii="Liberation Serif" w:hAnsi="Liberation Serif"/>
                <w:kern w:val="0"/>
                <w:sz w:val="24"/>
                <w:szCs w:val="24"/>
                <w:lang w:val="ru-RU" w:eastAsia="ru-RU" w:bidi="ar-SA"/>
              </w:rPr>
              <w:t>Поставляемое Оборудование должно быть пригодными для использования, иметь действующие сертификаты безопасности, технические паспорта и протоколы и разрешено для использования на территории РФ.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 на поставленные изделия должен составлять не менее 12 месяцев с даты поставки (подписания Акта приемки)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Предложение по сроку гарантии 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23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оборудованием</w:t>
            </w:r>
          </w:p>
        </w:tc>
        <w:tc>
          <w:tcPr>
            <w:tcW w:w="340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 Поставщик обязан одновременно с передачей изделий передать Покупателю относящиеся к ним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сертификаты соответствия;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упаковочн</w:t>
            </w:r>
            <w:bookmarkStart w:id="28" w:name="_GoBack"/>
            <w:bookmarkEnd w:id="28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 или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в 2 экз. либо УПД;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* актуальный сертификат официального диллера/дистрибьютора или узкоспециализированного поставщика (если не производитель)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9" w:name="_Toc75446583"/>
      <w:bookmarkStart w:id="30" w:name="_Toc53393312"/>
      <w:r>
        <w:rPr>
          <w:lang w:val="ru-RU"/>
        </w:rPr>
        <w:t>Требования к документации по ценообразованию</w:t>
      </w:r>
      <w:bookmarkEnd w:id="30"/>
      <w:r>
        <w:rPr>
          <w:lang w:val="ru-RU"/>
        </w:rPr>
        <w:t xml:space="preserve"> на этапе закупки</w:t>
      </w:r>
      <w:bookmarkEnd w:id="29"/>
    </w:p>
    <w:p>
      <w:pPr>
        <w:pStyle w:val="Normal"/>
        <w:ind w:firstLine="851"/>
        <w:jc w:val="both"/>
        <w:rPr>
          <w:lang w:eastAsia="x-none"/>
        </w:rPr>
      </w:pPr>
      <w:r>
        <w:rPr>
          <w:lang w:eastAsia="x-none"/>
        </w:rPr>
        <w:t>3.1.</w:t>
        <w:tab/>
        <w:t>В обоснование стоимости своей заявки Участник предоставляет Коммерческое предложение по форме Спецификации, приведенной в Требованиях (Приложение № 1 к Техническим требованиям)</w:t>
      </w:r>
    </w:p>
    <w:p>
      <w:pPr>
        <w:pStyle w:val="Normal"/>
        <w:ind w:firstLine="851"/>
        <w:jc w:val="both"/>
        <w:rPr>
          <w:lang w:eastAsia="x-none"/>
        </w:rPr>
      </w:pPr>
      <w:r>
        <w:rPr>
          <w:lang w:eastAsia="x-none"/>
        </w:rPr>
        <w:t>3.2.</w:t>
        <w:tab/>
        <w:t>Стоимость за единицу продукции (товара) должна включать в себя транспортировку товара до места поставки, погрузку, подлежащие уплате налоги, сборы и пошлины и прочие затраты, и расходы поставщика, связанные с поставкой товара.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31" w:name="_Toc51339699"/>
      <w:bookmarkStart w:id="32" w:name="_Toc46743519"/>
      <w:bookmarkStart w:id="33" w:name="_Toc75446585"/>
      <w:r>
        <w:rPr>
          <w:iCs/>
        </w:rPr>
        <w:t>Приложения</w:t>
      </w:r>
      <w:bookmarkEnd w:id="31"/>
      <w:bookmarkEnd w:id="32"/>
      <w:bookmarkEnd w:id="33"/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Приложение № 1: </w:t>
      </w:r>
      <w:bookmarkStart w:id="34" w:name="_Hlk87532473"/>
      <w:r>
        <w:rPr>
          <w:bCs/>
          <w:i/>
          <w:iCs/>
          <w:sz w:val="24"/>
          <w:szCs w:val="24"/>
        </w:rPr>
        <w:t>Требования к оформлению и составлению документации по ценообра</w:t>
      </w:r>
      <w:bookmarkEnd w:id="34"/>
      <w:r>
        <w:rPr>
          <w:bCs/>
          <w:i/>
          <w:iCs/>
          <w:sz w:val="24"/>
          <w:szCs w:val="24"/>
        </w:rPr>
        <w:t>зованию;</w:t>
      </w:r>
    </w:p>
    <w:p>
      <w:pPr>
        <w:pStyle w:val="Normal"/>
        <w:jc w:val="right"/>
        <w:rPr>
          <w:sz w:val="24"/>
        </w:rPr>
      </w:pPr>
      <w:bookmarkStart w:id="35" w:name="_Hlk48222348"/>
      <w:r>
        <w:rPr>
          <w:sz w:val="24"/>
        </w:rPr>
        <w:t>Приложение №1 к ТТ</w:t>
      </w:r>
      <w:bookmarkEnd w:id="35"/>
    </w:p>
    <w:p>
      <w:pPr>
        <w:pStyle w:val="Normal"/>
        <w:spacing w:before="240" w:after="120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Требования </w:t>
        <w:br/>
        <w:t>к оформлению и составлению документации по ценообразованию</w:t>
      </w:r>
    </w:p>
    <w:p>
      <w:pPr>
        <w:pStyle w:val="Normal"/>
        <w:widowControl w:val="false"/>
        <w:jc w:val="center"/>
        <w:rPr>
          <w:b/>
          <w:bCs/>
          <w:i/>
          <w:i/>
          <w:caps/>
          <w:sz w:val="24"/>
          <w:szCs w:val="24"/>
          <w:shd w:fill="FFFF99" w:val="clear"/>
        </w:rPr>
      </w:pPr>
      <w:bookmarkStart w:id="36" w:name="_Hlk48224758"/>
      <w:bookmarkStart w:id="37" w:name="_Ref40301253"/>
      <w:r>
        <w:rPr>
          <w:rFonts w:eastAsia="Calibri"/>
          <w:b/>
          <w:color w:val="000000"/>
        </w:rPr>
        <w:t>Спецификация поставляемого оборудования</w:t>
      </w:r>
      <w:bookmarkEnd w:id="36"/>
      <w:bookmarkEnd w:id="37"/>
    </w:p>
    <w:p>
      <w:pPr>
        <w:pStyle w:val="Normal"/>
        <w:widowControl w:val="false"/>
        <w:ind w:left="9781" w:hanging="0"/>
        <w:jc w:val="both"/>
        <w:rPr>
          <w:rFonts w:cs="Courier New"/>
          <w:color w:val="000000"/>
          <w:sz w:val="24"/>
          <w:szCs w:val="24"/>
        </w:rPr>
      </w:pPr>
      <w:r>
        <w:rPr>
          <w:rFonts w:cs="Courier New"/>
          <w:color w:val="000000"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</w:r>
    </w:p>
    <w:tbl>
      <w:tblPr>
        <w:tblpPr w:bottomFromText="0" w:horzAnchor="margin" w:leftFromText="180" w:rightFromText="180" w:tblpX="0" w:tblpY="3462" w:topFromText="0" w:vertAnchor="page"/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5a0" w:noHBand="0" w:lastColumn="1" w:firstColumn="1" w:lastRow="0" w:firstRow="1"/>
      </w:tblPr>
      <w:tblGrid>
        <w:gridCol w:w="412"/>
        <w:gridCol w:w="1114"/>
        <w:gridCol w:w="716"/>
        <w:gridCol w:w="1052"/>
        <w:gridCol w:w="1183"/>
        <w:gridCol w:w="485"/>
        <w:gridCol w:w="759"/>
        <w:gridCol w:w="761"/>
        <w:gridCol w:w="778"/>
        <w:gridCol w:w="511"/>
        <w:gridCol w:w="843"/>
        <w:gridCol w:w="1306"/>
      </w:tblGrid>
      <w:tr>
        <w:trPr/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№ </w:t>
            </w:r>
            <w:r>
              <w:rPr>
                <w:rFonts w:eastAsia="Calibri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позиции товара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Тип, марка, артикул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Технические характеристики (описание)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Цена одной единицы товара руб. без НДС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Цена одной единицы товара руб. с НДС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Итоговая стоимость позиции товара руб. с НДС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документов, подтверждающих качество Оборудования</w:t>
            </w:r>
          </w:p>
        </w:tc>
      </w:tr>
      <w:tr>
        <w:trPr/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ind w:left="735" w:hanging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ind w:firstLine="8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Примечание</w:t>
      </w:r>
      <w:r>
        <w:rPr>
          <w:color w:val="000000"/>
          <w:sz w:val="24"/>
          <w:szCs w:val="24"/>
        </w:rPr>
        <w:t>: в случае закупки оборудования (материалов)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ind w:firstLine="8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</w:t>
      </w:r>
      <w:r>
        <w:rPr>
          <w:color w:val="000000"/>
          <w:sz w:val="24"/>
          <w:szCs w:val="24"/>
        </w:rPr>
        <w:t>в случае включения в спецификацию стоимости за единицу оборудования, МТР с учетом доставки, указать данное условие</w:t>
      </w:r>
    </w:p>
    <w:p>
      <w:pPr>
        <w:pStyle w:val="Normal"/>
        <w:widowControl w:val="false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</w:r>
    </w:p>
    <w:p>
      <w:pPr>
        <w:pStyle w:val="Normal"/>
        <w:keepNext w:val="true"/>
        <w:keepLines/>
        <w:tabs>
          <w:tab w:val="clear" w:pos="708"/>
          <w:tab w:val="left" w:pos="5526" w:leader="none"/>
        </w:tabs>
        <w:ind w:left="426" w:hanging="0"/>
        <w:jc w:val="both"/>
        <w:rPr/>
      </w:pPr>
      <w:r>
        <w:rPr/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Geneva CY">
    <w:altName w:val="Courier New"/>
    <w:charset w:val="01"/>
    <w:family w:val="roman"/>
    <w:pitch w:val="variable"/>
  </w:font>
  <w:font w:name="Lucida Grande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40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tabs>
        <w:tab w:val="clear" w:pos="708"/>
        <w:tab w:val="left" w:pos="707" w:leader="none"/>
      </w:tabs>
      <w:spacing w:before="120" w:after="60"/>
      <w:ind w:left="57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707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1">
    <w:name w:val="page number1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5">
    <w:name w:val="Символ нумерации"/>
    <w:qFormat/>
    <w:rPr/>
  </w:style>
  <w:style w:type="character" w:styleId="Style16">
    <w:name w:val="Нижний колонтитул Знак"/>
    <w:qFormat/>
    <w:rPr>
      <w:rFonts w:ascii="Geneva CY;Courier New" w:hAnsi="Geneva CY;Courier New" w:eastAsia="Geneva;Arial" w:cs="Geneva CY;Courier New"/>
      <w:sz w:val="24"/>
      <w:lang w:val="ru-RU" w:eastAsia="ru-RU"/>
    </w:rPr>
  </w:style>
  <w:style w:type="character" w:styleId="Style17">
    <w:name w:val="Текст выноски Знак"/>
    <w:qFormat/>
    <w:rPr>
      <w:rFonts w:ascii="Lucida Grande;Times New Roman" w:hAnsi="Lucida Grande;Times New Roman" w:eastAsia="Geneva;Arial" w:cs="Lucida Grande;Times New Roman"/>
      <w:sz w:val="18"/>
      <w:szCs w:val="18"/>
      <w:lang w:val="ru-RU" w:eastAsia="ru-RU"/>
    </w:rPr>
  </w:style>
  <w:style w:type="character" w:styleId="PageNumber">
    <w:name w:val="Page Number"/>
    <w:rPr/>
  </w:style>
  <w:style w:type="character" w:styleId="14">
    <w:name w:val="Основной шрифт абзаца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Times New Roman" w:hAnsi="Times New Roman" w:cs="Times New Roman"/>
      <w:b w:val="false"/>
    </w:rPr>
  </w:style>
  <w:style w:type="character" w:styleId="Style18">
    <w:name w:val="Основной шрифт абзаца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7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andard" w:customStyle="1">
    <w:name w:val="Standard"/>
    <w:qFormat/>
    <w:rsid w:val="000b1f5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ru-RU" w:eastAsia="en-US" w:bidi="ar-SA"/>
    </w:rPr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Style41">
    <w:name w:val="Текст выноски"/>
    <w:basedOn w:val="Normal"/>
    <w:qFormat/>
    <w:pPr/>
    <w:rPr>
      <w:rFonts w:ascii="Lucida Grande;Times New Roman" w:hAnsi="Lucida Grande;Times New Roman" w:cs="Lucida Grande;Times New Roman"/>
      <w:sz w:val="18"/>
      <w:szCs w:val="18"/>
    </w:rPr>
  </w:style>
  <w:style w:type="paragraph" w:styleId="Style4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11">
    <w:name w:val="Указатель1"/>
    <w:basedOn w:val="Normal"/>
    <w:qFormat/>
    <w:pPr>
      <w:suppressLineNumbers/>
    </w:pPr>
    <w:rPr/>
  </w:style>
  <w:style w:type="paragraph" w:styleId="112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3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29">
    <w:name w:val="Указатель2"/>
    <w:basedOn w:val="Normal"/>
    <w:qFormat/>
    <w:pPr>
      <w:suppressLineNumbers/>
    </w:pPr>
    <w:rPr/>
  </w:style>
  <w:style w:type="paragraph" w:styleId="210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1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>
    <w:name w:val="Указатель3"/>
    <w:basedOn w:val="Normal"/>
    <w:qFormat/>
    <w:pPr>
      <w:suppressLineNumbers/>
    </w:pPr>
    <w:rPr/>
  </w:style>
  <w:style w:type="paragraph" w:styleId="Style43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8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2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84B5-1D2C-469C-9800-A5F7018C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Application>AlterOffice/3.4.0.9$Linux_X86_64 LibreOffice_project/b8daf9e823b1a5463a2f48435ddc2e8696e7d4fc</Application>
  <AppVersion>15.0000</AppVersion>
  <Pages>14</Pages>
  <Words>1264</Words>
  <Characters>8643</Characters>
  <CharactersWithSpaces>9603</CharactersWithSpaces>
  <Paragraphs>306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2023-01-18T10:42:00Z</dcterms:created>
  <dc:creator>Быстров Олег Геннадьевич</dc:creator>
  <dc:description/>
  <dc:language>ru-RU</dc:language>
  <cp:lastModifiedBy>zabelkinans@corp.gidroogk.com</cp:lastModifiedBy>
  <cp:lastPrinted>2023-01-18T10:59:00Z</cp:lastPrinted>
  <dcterms:modified xsi:type="dcterms:W3CDTF">2026-07-13T10:33:17Z</dcterms:modified>
  <cp:revision>94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