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color w:val="000000"/>
          <w:sz w:val="24"/>
          <w:szCs w:val="24"/>
        </w:rPr>
        <w:t>Акционерное общество «Транспортная компания РусГидро» (АО «ТК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по результатам проведенной Покупателем конкурентной процедуры по лоту № ____________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 xml:space="preserve">в той мере, в какой указанные правила не противоречат законодательству Российской Федерации </w:t>
        <w:br/>
        <w:t>и условиям настоящего Договора.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567" w:leader="none"/>
        </w:tabs>
        <w:overflowPunct w:val="false"/>
        <w:bidi w:val="0"/>
        <w:spacing w:before="0" w:after="0"/>
        <w:ind w:firstLine="708"/>
        <w:jc w:val="both"/>
        <w:textAlignment w:val="baseline"/>
        <w:rPr>
          <w:highlight w:val="none"/>
          <w:shd w:fill="FFFF00" w:val="clear"/>
        </w:rPr>
      </w:pPr>
      <w:r>
        <w:rPr>
          <w:rFonts w:ascii="Times New Roman" w:hAnsi="Times New Roman"/>
          <w:color w:val="000000"/>
          <w:sz w:val="24"/>
          <w:szCs w:val="24"/>
          <w:shd w:fill="FFFF00" w:val="clear"/>
          <w:lang w:val="ru-RU" w:eastAsia="en-US"/>
        </w:rPr>
        <w:t xml:space="preserve">«Универсальный передаточный документ», «УПД» </w:t>
      </w:r>
      <w:r>
        <w:rPr>
          <w:rFonts w:ascii="Times New Roman" w:hAnsi="Times New Roman"/>
          <w:b w:val="false"/>
          <w:color w:val="000000"/>
          <w:sz w:val="24"/>
          <w:szCs w:val="24"/>
          <w:shd w:fill="FFFF00" w:val="clear"/>
          <w:lang w:val="ru-RU" w:eastAsia="en-US"/>
        </w:rPr>
        <w:t>–</w:t>
      </w:r>
      <w:r>
        <w:rPr>
          <w:rFonts w:ascii="Times New Roman" w:hAnsi="Times New Roman"/>
          <w:color w:val="000000"/>
          <w:sz w:val="24"/>
          <w:szCs w:val="24"/>
          <w:shd w:fill="FFFF00" w:val="clear"/>
          <w:lang w:val="ru-RU" w:eastAsia="en-US"/>
        </w:rPr>
        <w:t xml:space="preserve"> </w:t>
      </w:r>
      <w:r>
        <w:rPr>
          <w:rFonts w:ascii="Times New Roman" w:hAnsi="Times New Roman"/>
          <w:b w:val="false"/>
          <w:color w:val="000000"/>
          <w:sz w:val="24"/>
          <w:szCs w:val="24"/>
          <w:shd w:fill="FFFF00" w:val="clear"/>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false"/>
          <w:bCs w:val="false"/>
          <w:color w:val="000000"/>
          <w:sz w:val="24"/>
          <w:szCs w:val="24"/>
          <w:shd w:fill="FFFF00" w:val="clear"/>
          <w:lang w:val="ru-RU" w:eastAsia="en-US"/>
        </w:rPr>
        <w:t>.</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highlight w:val="lightGray"/>
        </w:rPr>
        <w:t xml:space="preserve">_____________________ </w:t>
      </w:r>
      <w:r>
        <w:rPr>
          <w:bCs/>
          <w:i/>
          <w:sz w:val="24"/>
          <w:szCs w:val="24"/>
          <w:highlight w:val="lightGray"/>
        </w:rPr>
        <w:t>[указывается общее наименование товара]</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highlight w:val="lightGray"/>
        </w:rPr>
        <w:t>__________________.</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Место поставки Товара: </w:t>
      </w:r>
      <w:r>
        <w:rPr>
          <w:sz w:val="24"/>
          <w:szCs w:val="24"/>
          <w:highlight w:val="lightGray"/>
        </w:rPr>
        <w:t>_________________</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Начало – </w:t>
      </w:r>
      <w:r>
        <w:rPr>
          <w:bCs/>
          <w:sz w:val="24"/>
          <w:szCs w:val="24"/>
          <w:highlight w:val="lightGray"/>
        </w:rPr>
        <w:t>«___» ___________ 20___</w:t>
      </w:r>
      <w:r>
        <w:rPr>
          <w:bCs/>
          <w:sz w:val="24"/>
          <w:szCs w:val="24"/>
        </w:rPr>
        <w:t xml:space="preserve"> г.</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highlight w:val="lightGray"/>
        </w:rPr>
        <w:t>«___» _________ 20__</w:t>
      </w:r>
      <w:r>
        <w:rPr>
          <w:bCs/>
          <w:sz w:val="24"/>
          <w:szCs w:val="24"/>
        </w:rPr>
        <w:t xml:space="preserve"> г.</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Сроки поставки Товара (партий Товара) указаны в Календарном графике поставки Товара (Приложение № 3 к Договору) в рамках общих сроков, указанных в пункте 1.4 Договора. </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highlight w:val="lightGray"/>
        </w:rPr>
        <w:t xml:space="preserve"> твердой</w:t>
      </w:r>
      <w:r>
        <w:rPr>
          <w:rStyle w:val="FootnoteReference"/>
          <w:bCs/>
          <w:sz w:val="24"/>
          <w:szCs w:val="24"/>
          <w:highlight w:val="lightGray"/>
        </w:rPr>
        <w:footnoteReference w:id="2"/>
      </w:r>
      <w:r>
        <w:rPr>
          <w:bCs/>
          <w:sz w:val="24"/>
          <w:szCs w:val="24"/>
        </w:rPr>
        <w:t xml:space="preserve">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w:t>
      </w:r>
    </w:p>
    <w:p>
      <w:pPr>
        <w:pStyle w:val="ListParagraph"/>
        <w:numPr>
          <w:ilvl w:val="1"/>
          <w:numId w:val="2"/>
        </w:numPr>
        <w:tabs>
          <w:tab w:val="clear" w:pos="709"/>
          <w:tab w:val="left" w:pos="568" w:leader="none"/>
          <w:tab w:val="left" w:pos="1134" w:leader="none"/>
        </w:tabs>
        <w:ind w:left="0" w:firstLine="709"/>
        <w:jc w:val="both"/>
        <w:rPr/>
      </w:pPr>
      <w:r>
        <w:rPr>
          <w:bCs/>
          <w:sz w:val="24"/>
          <w:szCs w:val="24"/>
          <w:highlight w:val="lightGray"/>
        </w:rPr>
        <w:t>Спецификация (Приложение № 1 к Договору) подлежит согласованию Сторонами не позднее истечения 30 (тридцати) рабочих дней с даты завершения разработки Рабочей документации и приемки ее Покупателем.  При несогласовании Спецификации (Приложение № 1 к Договору) в установленный срок Поставщик обязан по соответствующему письменному требованию Покупателя приостановить исполнение Договора полностью или в части до момента такого согласования. После согласования Спецификации Стороны обязаны уточнить Цену Договора путем заключения дополнительного соглашения к Договору. Спецификация включается в Договор в качестве приложения путем заключения дополнительного соглашения к Договору.</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FootnoteReference"/>
          <w:highlight w:val="lightGray"/>
        </w:rPr>
        <w:footnoteReference w:id="3"/>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32"/>
          <w:szCs w:val="24"/>
        </w:rPr>
      </w:pPr>
      <w:r>
        <w:rPr>
          <w:sz w:val="24"/>
        </w:rPr>
        <w:t>Авансовые платежи за каждую партию Товара в размере 30 (тридцати) процентов от стоимости соответствующей партии Товара</w:t>
      </w:r>
      <w:r>
        <w:rPr>
          <w:rStyle w:val="FootnoteReference"/>
          <w:sz w:val="24"/>
        </w:rPr>
        <w:footnoteReference w:id="4"/>
      </w:r>
      <w:r>
        <w:rPr>
          <w:sz w:val="24"/>
        </w:rPr>
        <w:t xml:space="preserve"> выплачиваются Поставщику </w:t>
      </w:r>
      <w:r>
        <w:rPr>
          <w:sz w:val="24"/>
          <w:highlight w:val="lightGray"/>
        </w:rPr>
        <w:t>при условии согласования Сторонами Спецификации (Приложение № 1 к Договору) в соответствии с пунктом 2.2 Договора</w:t>
      </w:r>
      <w:r>
        <w:rPr>
          <w:sz w:val="24"/>
        </w:rPr>
        <w:t xml:space="preserve">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партии Товара, и с учетом пунктов 2.5.1, 2.5.4 Договора.</w:t>
      </w:r>
    </w:p>
    <w:p>
      <w:pPr>
        <w:pStyle w:val="ListParagraph"/>
        <w:numPr>
          <w:ilvl w:val="2"/>
          <w:numId w:val="2"/>
        </w:numPr>
        <w:ind w:left="0" w:firstLine="709"/>
        <w:jc w:val="both"/>
        <w:rPr>
          <w:sz w:val="24"/>
        </w:rPr>
      </w:pPr>
      <w:r>
        <w:rPr>
          <w:sz w:val="24"/>
        </w:rPr>
        <w:t>Последующие платежи в размере 70 % (семьдесят процентов) от стоимости партии Товара</w:t>
      </w:r>
      <w:r>
        <w:rPr>
          <w:rStyle w:val="FootnoteReference"/>
          <w:sz w:val="24"/>
        </w:rPr>
        <w:footnoteReference w:id="5"/>
      </w:r>
      <w:r>
        <w:rPr>
          <w:sz w:val="24"/>
        </w:rPr>
        <w:t xml:space="preserve"> выплачиваются Поставщику в течение </w:t>
      </w:r>
      <w:r>
        <w:rPr>
          <w:sz w:val="24"/>
          <w:highlight w:val="lightGray"/>
        </w:rPr>
        <w:t>45 (сорока пяти) календарных дней</w:t>
      </w:r>
      <w:r>
        <w:rPr>
          <w:rStyle w:val="FootnoteReference"/>
          <w:sz w:val="24"/>
          <w:highlight w:val="lightGray"/>
        </w:rPr>
        <w:footnoteReference w:id="6"/>
      </w:r>
      <w:r>
        <w:rPr>
          <w:sz w:val="24"/>
          <w:highlight w:val="lightGray"/>
        </w:rPr>
        <w:t xml:space="preserve"> / 7 (семи) рабочих дней</w:t>
      </w:r>
      <w:r>
        <w:rPr>
          <w:rStyle w:val="FootnoteReference"/>
          <w:sz w:val="24"/>
          <w:highlight w:val="lightGray"/>
        </w:rPr>
        <w:footnoteReference w:id="7"/>
      </w:r>
      <w:r>
        <w:rPr>
          <w:sz w:val="24"/>
        </w:rPr>
        <w:t xml:space="preserve"> с даты подписания Сторонами накладной ТОРГ-12/</w:t>
      </w:r>
      <w:r>
        <w:rPr>
          <w:sz w:val="24"/>
          <w:szCs w:val="24"/>
          <w:shd w:fill="FFFF00" w:val="clear"/>
        </w:rPr>
        <w:t>УПД</w:t>
      </w:r>
      <w:r>
        <w:rPr>
          <w:sz w:val="24"/>
        </w:rPr>
        <w:t>, на основании счета, выставленного Поставщиком, и с учетом пункта 2.5.4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w:t>
      </w:r>
      <w:r>
        <w:rPr>
          <w:sz w:val="24"/>
          <w:szCs w:val="24"/>
          <w:shd w:fill="FFFF00" w:val="clear"/>
        </w:rPr>
        <w:t>УПД</w:t>
      </w:r>
      <w:r>
        <w:rPr>
          <w:sz w:val="24"/>
          <w:szCs w:val="24"/>
        </w:rPr>
        <w:t>,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партиями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bCs/>
          <w:sz w:val="24"/>
          <w:szCs w:val="24"/>
          <w:highlight w:val="lightGray"/>
        </w:rPr>
        <w:t>и Рабочей</w:t>
      </w:r>
      <w:r>
        <w:rPr>
          <w:bCs/>
          <w:sz w:val="24"/>
          <w:szCs w:val="24"/>
        </w:rPr>
        <w:t xml:space="preserve">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9"/>
          <w:tab w:val="left" w:pos="1134" w:leader="none"/>
        </w:tabs>
        <w:ind w:firstLine="709"/>
        <w:jc w:val="both"/>
        <w:rPr>
          <w:bCs/>
          <w:sz w:val="24"/>
          <w:szCs w:val="24"/>
        </w:rPr>
      </w:pPr>
      <w:r>
        <w:rPr>
          <w:bCs/>
          <w:sz w:val="24"/>
          <w:szCs w:val="24"/>
          <w:highlight w:val="lightGray"/>
        </w:rPr>
        <w:t xml:space="preserve">Поставщик не вправе производить </w:t>
      </w:r>
      <w:r>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партии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br/>
        <w:t>по территории Покупателя)</w:t>
      </w:r>
      <w:r>
        <w:rPr>
          <w:rStyle w:val="FootnoteReference"/>
          <w:sz w:val="24"/>
          <w:szCs w:val="24"/>
          <w:highlight w:val="lightGray"/>
        </w:rPr>
        <w:footnoteReference w:id="8"/>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2" w:name="_Ref361396594"/>
      <w:r>
        <w:rPr>
          <w:sz w:val="24"/>
          <w:szCs w:val="24"/>
        </w:rPr>
        <w:t xml:space="preserve">Датой поставки партии Товара является дата подписания Сторонами накладной </w:t>
        <w:br/>
        <w:t>ТОРГ-12.</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со вскрытием тары и упаковки производится Покупателем в присутствии представителя Поставщика в течение </w:t>
      </w:r>
      <w:r>
        <w:rPr>
          <w:sz w:val="24"/>
          <w:szCs w:val="24"/>
          <w:highlight w:val="lightGray"/>
        </w:rPr>
        <w:t>10 (десяти)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100 </w:t>
        <w:br/>
        <w:t xml:space="preserve">(ста)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непогашенного (незачтенного)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сроков</w:t>
      </w:r>
      <w:r>
        <w:rPr>
          <w:sz w:val="24"/>
          <w:szCs w:val="24"/>
        </w:rPr>
        <w:t xml:space="preserve"> </w:t>
      </w:r>
      <w:r>
        <w:rPr>
          <w:bCs/>
          <w:sz w:val="24"/>
          <w:szCs w:val="24"/>
        </w:rPr>
        <w:t>поставки Товара, установленных Календарным графиком поставки Товара (Приложение № 3 к Договору)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соответствующей партии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4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9"/>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с выставленными счетами Поставщика составляет 5 000 000 (Пять миллионов) рублей и более</w:t>
        <w:br/>
        <w:t xml:space="preserve">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bCs/>
          <w:sz w:val="24"/>
          <w:szCs w:val="24"/>
        </w:rPr>
      </w:pPr>
      <w:r>
        <w:rPr>
          <w:sz w:val="24"/>
          <w:szCs w:val="24"/>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sz w:val="24"/>
          <w:szCs w:val="24"/>
          <w:highlight w:val="lightGray"/>
        </w:rPr>
        <w:footnoteReference w:id="10"/>
      </w:r>
      <w:r>
        <w:rPr>
          <w:sz w:val="24"/>
          <w:szCs w:val="24"/>
          <w:highlight w:val="lightGray"/>
        </w:rPr>
        <w:t>.</w:t>
      </w:r>
    </w:p>
    <w:p>
      <w:pPr>
        <w:pStyle w:val="ListParagraph"/>
        <w:widowControl/>
        <w:numPr>
          <w:ilvl w:val="1"/>
          <w:numId w:val="2"/>
        </w:numPr>
        <w:shd w:val="clear" w:color="auto" w:fill="FFFFFF"/>
        <w:ind w:left="0" w:firstLine="709"/>
        <w:jc w:val="both"/>
        <w:rPr>
          <w:bCs/>
          <w:sz w:val="24"/>
          <w:szCs w:val="24"/>
        </w:rPr>
      </w:pPr>
      <w:r>
        <w:rPr>
          <w:sz w:val="24"/>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Календарным графиком поставки Товара (Приложение № 3 к Договору), а также в случае несвоевременного устранения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276" w:leader="none"/>
        </w:tabs>
        <w:ind w:left="0" w:firstLine="709"/>
        <w:jc w:val="both"/>
        <w:rPr>
          <w:bCs/>
          <w:sz w:val="24"/>
          <w:szCs w:val="24"/>
        </w:rPr>
      </w:pPr>
      <w:r>
        <w:rPr>
          <w:sz w:val="24"/>
          <w:szCs w:val="24"/>
        </w:rPr>
        <w:t>Неустойки в размере 0,1 (ноль целых</w:t>
      </w:r>
      <w:r>
        <w:rPr>
          <w:rFonts w:eastAsia="Calibri"/>
          <w:bCs/>
          <w:sz w:val="24"/>
          <w:szCs w:val="24"/>
        </w:rPr>
        <w:t xml:space="preserve"> и одна десятая) </w:t>
      </w:r>
      <w:r>
        <w:rPr>
          <w:bCs/>
          <w:sz w:val="24"/>
          <w:szCs w:val="24"/>
        </w:rPr>
        <w:t xml:space="preserve">процента от цены </w:t>
      </w:r>
      <w:r>
        <w:rPr>
          <w:rFonts w:eastAsia="Calibri"/>
          <w:bCs/>
          <w:sz w:val="24"/>
          <w:szCs w:val="24"/>
        </w:rPr>
        <w:t>Партии Товара</w:t>
      </w:r>
      <w:r>
        <w:rPr>
          <w:bCs/>
          <w:sz w:val="24"/>
          <w:szCs w:val="24"/>
        </w:rPr>
        <w:t xml:space="preserve"> за каждый день просрочки;</w:t>
      </w:r>
    </w:p>
    <w:p>
      <w:pPr>
        <w:pStyle w:val="ListParagraph"/>
        <w:widowControl/>
        <w:numPr>
          <w:ilvl w:val="2"/>
          <w:numId w:val="2"/>
        </w:numPr>
        <w:tabs>
          <w:tab w:val="clear" w:pos="709"/>
          <w:tab w:val="left" w:pos="1276" w:leader="none"/>
        </w:tabs>
        <w:ind w:left="0" w:firstLine="709"/>
        <w:jc w:val="both"/>
        <w:rPr>
          <w:bCs/>
          <w:sz w:val="24"/>
          <w:szCs w:val="24"/>
        </w:rPr>
      </w:pPr>
      <w:r>
        <w:rPr>
          <w:sz w:val="24"/>
          <w:szCs w:val="24"/>
        </w:rPr>
        <w:t>Неустойки в размере</w:t>
      </w:r>
      <w:r>
        <w:rPr>
          <w:bCs/>
          <w:sz w:val="24"/>
          <w:szCs w:val="24"/>
        </w:rPr>
        <w:t xml:space="preserve">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276" w:leader="none"/>
        </w:tabs>
        <w:ind w:left="0" w:firstLine="709"/>
        <w:jc w:val="both"/>
        <w:rPr>
          <w:bCs/>
          <w:sz w:val="24"/>
          <w:szCs w:val="24"/>
        </w:rPr>
      </w:pPr>
      <w:r>
        <w:rPr>
          <w:sz w:val="24"/>
          <w:szCs w:val="24"/>
        </w:rPr>
        <w:t>Неустойки в</w:t>
      </w:r>
      <w:r>
        <w:rPr>
          <w:bCs/>
          <w:sz w:val="24"/>
          <w:szCs w:val="24"/>
        </w:rPr>
        <w:t xml:space="preserve"> размере 0,1 </w:t>
      </w:r>
      <w:r>
        <w:rPr>
          <w:sz w:val="24"/>
          <w:szCs w:val="24"/>
        </w:rPr>
        <w:t>(ноль целых и одна десятая) процента</w:t>
      </w:r>
      <w:r>
        <w:rPr>
          <w:bCs/>
          <w:sz w:val="24"/>
          <w:szCs w:val="24"/>
        </w:rPr>
        <w:t xml:space="preserve"> от стоимости Партии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w:t>
      </w:r>
    </w:p>
    <w:p>
      <w:pPr>
        <w:pStyle w:val="ListParagraph"/>
        <w:widowControl/>
        <w:numPr>
          <w:ilvl w:val="1"/>
          <w:numId w:val="2"/>
        </w:numPr>
        <w:tabs>
          <w:tab w:val="clear" w:pos="709"/>
          <w:tab w:val="left" w:pos="1276"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5 к Договору.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365" w:leader="none"/>
        </w:tabs>
        <w:ind w:left="0" w:firstLine="709"/>
        <w:jc w:val="both"/>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три сотых) процента от Цены Договора за каждый день просрочки.</w:t>
      </w:r>
    </w:p>
    <w:p>
      <w:pPr>
        <w:pStyle w:val="ListParagraph"/>
        <w:widowControl/>
        <w:numPr>
          <w:ilvl w:val="1"/>
          <w:numId w:val="2"/>
        </w:numPr>
        <w:shd w:val="clear" w:color="auto" w:fill="FFFFFF"/>
        <w:tabs>
          <w:tab w:val="clear" w:pos="709"/>
          <w:tab w:val="left" w:pos="1365" w:leader="none"/>
        </w:tabs>
        <w:ind w:left="0" w:firstLine="709"/>
        <w:jc w:val="both"/>
        <w:rPr/>
      </w:pPr>
      <w:r>
        <w:rPr>
          <w:bCs/>
          <w:sz w:val="24"/>
          <w:szCs w:val="24"/>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365" w:leader="none"/>
        </w:tabs>
        <w:ind w:left="0" w:firstLine="709"/>
        <w:jc w:val="both"/>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365" w:leader="none"/>
        </w:tabs>
        <w:ind w:left="0" w:firstLine="709"/>
        <w:jc w:val="both"/>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365" w:leader="none"/>
        </w:tabs>
        <w:ind w:left="0" w:firstLine="709"/>
        <w:jc w:val="both"/>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365" w:leader="none"/>
        </w:tabs>
        <w:ind w:left="0" w:firstLine="709"/>
        <w:jc w:val="both"/>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9.6.7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highlight w:val="lightGray"/>
        </w:rPr>
        <w:t>____________________</w:t>
      </w:r>
      <w:r>
        <w:rPr>
          <w:bCs/>
          <w:sz w:val="24"/>
          <w:szCs w:val="24"/>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1"/>
          <w:numId w:val="2"/>
        </w:numPr>
        <w:tabs>
          <w:tab w:val="clear" w:pos="709"/>
          <w:tab w:val="left" w:pos="142" w:leader="none"/>
        </w:tabs>
        <w:snapToGrid w:val="false"/>
        <w:ind w:left="0" w:firstLine="709"/>
        <w:jc w:val="both"/>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lang w:eastAsia="en-US"/>
        </w:rPr>
        <w:footnoteReference w:id="11"/>
      </w:r>
      <w:r>
        <w:rPr>
          <w:sz w:val="24"/>
          <w:szCs w:val="24"/>
          <w:highlight w:val="lightGray"/>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12"/>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3"/>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ind w:firstLine="709"/>
        <w:jc w:val="both"/>
        <w:rPr>
          <w:sz w:val="24"/>
          <w:szCs w:val="24"/>
          <w:lang w:eastAsia="x-none"/>
        </w:rPr>
      </w:pPr>
      <w:r>
        <w:rPr>
          <w:sz w:val="24"/>
          <w:szCs w:val="24"/>
          <w:lang w:eastAsia="x-none"/>
        </w:rPr>
        <w:t>Приложение № 3 –</w:t>
      </w:r>
      <w:r>
        <w:rPr>
          <w:rFonts w:eastAsia="Calibri"/>
          <w:sz w:val="24"/>
          <w:szCs w:val="24"/>
          <w:lang w:eastAsia="en-US"/>
        </w:rPr>
        <w:t xml:space="preserve"> Календарный график поставки Товара.</w:t>
      </w:r>
    </w:p>
    <w:p>
      <w:pPr>
        <w:pStyle w:val="Normal"/>
        <w:widowControl/>
        <w:shd w:val="clear" w:color="auto" w:fill="FFFFFF"/>
        <w:tabs>
          <w:tab w:val="clear" w:pos="709"/>
          <w:tab w:val="left" w:pos="0" w:leader="none"/>
          <w:tab w:val="left" w:pos="2694" w:leader="none"/>
        </w:tabs>
        <w:ind w:firstLine="709"/>
        <w:jc w:val="both"/>
        <w:rPr>
          <w:sz w:val="24"/>
          <w:szCs w:val="24"/>
        </w:rPr>
      </w:pPr>
      <w:bookmarkStart w:id="10" w:name="sub_1"/>
      <w:r>
        <w:rPr>
          <w:rFonts w:eastAsia="Calibri"/>
          <w:sz w:val="24"/>
          <w:szCs w:val="24"/>
          <w:lang w:eastAsia="en-US"/>
        </w:rPr>
        <w:t>Приложение № 4 – Критерии отбора Банков-Гарантов.</w:t>
      </w:r>
      <w:bookmarkEnd w:id="10"/>
    </w:p>
    <w:p>
      <w:pPr>
        <w:pStyle w:val="Normal"/>
        <w:ind w:firstLine="709"/>
        <w:jc w:val="both"/>
        <w:rPr>
          <w:bCs/>
          <w:sz w:val="24"/>
          <w:szCs w:val="24"/>
        </w:rPr>
      </w:pPr>
      <w:r>
        <w:rPr>
          <w:bCs/>
          <w:sz w:val="24"/>
          <w:szCs w:val="24"/>
        </w:rPr>
        <w:t xml:space="preserve">Приложение № 5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4"/>
        <w:gridCol w:w="154"/>
        <w:gridCol w:w="4632"/>
        <w:gridCol w:w="330"/>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color w:val="000000"/>
                <w:sz w:val="24"/>
                <w:szCs w:val="24"/>
              </w:rPr>
            </w:pPr>
            <w:r>
              <w:rPr>
                <w:color w:val="000000"/>
                <w:sz w:val="24"/>
                <w:szCs w:val="24"/>
              </w:rPr>
              <w:t>Полное наименование юридического лица</w:t>
              <w:tab/>
              <w:t>Акционерное общество «Транспортная компания РусГидро»</w:t>
            </w:r>
          </w:p>
          <w:p>
            <w:pPr>
              <w:pStyle w:val="Normal"/>
              <w:widowControl w:val="false"/>
              <w:rPr>
                <w:color w:val="000000"/>
                <w:sz w:val="24"/>
                <w:szCs w:val="24"/>
              </w:rPr>
            </w:pPr>
            <w:r>
              <w:rPr>
                <w:color w:val="000000"/>
                <w:sz w:val="24"/>
                <w:szCs w:val="24"/>
              </w:rPr>
              <w:t>Сокращенное наименование юридического лица</w:t>
              <w:tab/>
              <w:t>АО «ТК РусГидро»</w:t>
            </w:r>
          </w:p>
          <w:p>
            <w:pPr>
              <w:pStyle w:val="Normal"/>
              <w:widowControl w:val="false"/>
              <w:rPr>
                <w:color w:val="000000"/>
                <w:sz w:val="24"/>
                <w:szCs w:val="24"/>
              </w:rPr>
            </w:pPr>
            <w:r>
              <w:rPr>
                <w:color w:val="000000"/>
                <w:sz w:val="24"/>
                <w:szCs w:val="24"/>
              </w:rPr>
              <w:t>Юридический адрес</w:t>
              <w:tab/>
              <w:t>655619, Хакасия Республика, Саяногорск город, Черемушки рабочий поселок, строение 101</w:t>
            </w:r>
          </w:p>
          <w:p>
            <w:pPr>
              <w:pStyle w:val="Normal"/>
              <w:widowControl w:val="false"/>
              <w:rPr>
                <w:color w:val="000000"/>
                <w:sz w:val="24"/>
                <w:szCs w:val="24"/>
              </w:rPr>
            </w:pPr>
            <w:r>
              <w:rPr>
                <w:color w:val="000000"/>
                <w:sz w:val="24"/>
                <w:szCs w:val="24"/>
              </w:rPr>
              <w:t>Почтовый адрес</w:t>
              <w:tab/>
              <w:t>690003, Россия, Приморский край, г. Владивосток, ул. Станюковича, д.1</w:t>
            </w:r>
          </w:p>
          <w:p>
            <w:pPr>
              <w:pStyle w:val="Normal"/>
              <w:widowControl w:val="false"/>
              <w:rPr>
                <w:color w:val="000000"/>
                <w:sz w:val="24"/>
                <w:szCs w:val="24"/>
              </w:rPr>
            </w:pPr>
            <w:r>
              <w:rPr>
                <w:color w:val="000000"/>
                <w:sz w:val="24"/>
                <w:szCs w:val="24"/>
              </w:rPr>
              <w:t>ИНН</w:t>
              <w:tab/>
              <w:t>1902018248</w:t>
            </w:r>
          </w:p>
          <w:p>
            <w:pPr>
              <w:pStyle w:val="Normal"/>
              <w:widowControl w:val="false"/>
              <w:rPr>
                <w:color w:val="000000"/>
                <w:sz w:val="24"/>
                <w:szCs w:val="24"/>
              </w:rPr>
            </w:pPr>
            <w:r>
              <w:rPr>
                <w:color w:val="000000"/>
                <w:sz w:val="24"/>
                <w:szCs w:val="24"/>
              </w:rPr>
              <w:t>КПП</w:t>
              <w:tab/>
              <w:t>190201001</w:t>
            </w:r>
          </w:p>
          <w:p>
            <w:pPr>
              <w:pStyle w:val="Normal"/>
              <w:widowControl w:val="false"/>
              <w:rPr>
                <w:color w:val="000000"/>
                <w:sz w:val="24"/>
                <w:szCs w:val="24"/>
              </w:rPr>
            </w:pPr>
            <w:r>
              <w:rPr>
                <w:color w:val="000000"/>
                <w:sz w:val="24"/>
                <w:szCs w:val="24"/>
              </w:rPr>
              <w:t>ОГРН</w:t>
              <w:tab/>
              <w:t>1031900676356</w:t>
            </w:r>
          </w:p>
          <w:p>
            <w:pPr>
              <w:pStyle w:val="Normal"/>
              <w:widowControl w:val="false"/>
              <w:rPr>
                <w:color w:val="000000"/>
                <w:sz w:val="24"/>
                <w:szCs w:val="24"/>
              </w:rPr>
            </w:pPr>
            <w:r>
              <w:rPr>
                <w:color w:val="000000"/>
                <w:sz w:val="24"/>
                <w:szCs w:val="24"/>
              </w:rPr>
              <w:t>ОКПО</w:t>
              <w:tab/>
              <w:t>42213224</w:t>
            </w:r>
          </w:p>
          <w:p>
            <w:pPr>
              <w:pStyle w:val="Normal"/>
              <w:widowControl w:val="false"/>
              <w:rPr>
                <w:color w:val="000000"/>
                <w:sz w:val="24"/>
                <w:szCs w:val="24"/>
              </w:rPr>
            </w:pPr>
            <w:r>
              <w:rPr>
                <w:color w:val="000000"/>
                <w:sz w:val="24"/>
                <w:szCs w:val="24"/>
              </w:rPr>
              <w:t>Наименование банка и его адрес</w:t>
              <w:tab/>
              <w:t>«ГПБ» (АО), г. Москва</w:t>
            </w:r>
          </w:p>
          <w:p>
            <w:pPr>
              <w:pStyle w:val="Normal"/>
              <w:widowControl w:val="false"/>
              <w:rPr>
                <w:color w:val="000000"/>
                <w:sz w:val="24"/>
                <w:szCs w:val="24"/>
              </w:rPr>
            </w:pPr>
            <w:r>
              <w:rPr>
                <w:color w:val="000000"/>
                <w:sz w:val="24"/>
                <w:szCs w:val="24"/>
              </w:rPr>
              <w:t>Банковские реквизиты</w:t>
              <w:tab/>
              <w:t>р/с 40702810795000000002</w:t>
            </w:r>
          </w:p>
          <w:p>
            <w:pPr>
              <w:pStyle w:val="Normal"/>
              <w:widowControl w:val="false"/>
              <w:rPr>
                <w:color w:val="000000"/>
                <w:sz w:val="24"/>
                <w:szCs w:val="24"/>
              </w:rPr>
            </w:pPr>
            <w:r>
              <w:rPr>
                <w:color w:val="000000"/>
                <w:sz w:val="24"/>
                <w:szCs w:val="24"/>
              </w:rPr>
              <w:t>к/с 30101810400000000823</w:t>
            </w:r>
          </w:p>
          <w:p>
            <w:pPr>
              <w:pStyle w:val="Normal"/>
              <w:widowControl w:val="false"/>
              <w:rPr>
                <w:color w:val="000000"/>
                <w:sz w:val="24"/>
                <w:szCs w:val="24"/>
              </w:rPr>
            </w:pPr>
            <w:r>
              <w:rPr>
                <w:color w:val="000000"/>
                <w:sz w:val="24"/>
                <w:szCs w:val="24"/>
              </w:rPr>
              <w:t>БИК 044525823</w:t>
            </w:r>
          </w:p>
          <w:p>
            <w:pPr>
              <w:pStyle w:val="Normal"/>
              <w:widowControl w:val="false"/>
              <w:rPr>
                <w:color w:val="000000"/>
                <w:sz w:val="24"/>
                <w:szCs w:val="24"/>
              </w:rPr>
            </w:pPr>
            <w:r>
              <w:rPr>
                <w:color w:val="000000"/>
                <w:sz w:val="24"/>
                <w:szCs w:val="24"/>
              </w:rPr>
              <w:t>Телефон</w:t>
              <w:tab/>
            </w:r>
          </w:p>
          <w:p>
            <w:pPr>
              <w:pStyle w:val="Normal"/>
              <w:widowControl w:val="false"/>
              <w:rPr>
                <w:color w:val="000000"/>
                <w:sz w:val="24"/>
                <w:szCs w:val="24"/>
              </w:rPr>
            </w:pPr>
            <w:r>
              <w:rPr>
                <w:color w:val="000000"/>
                <w:sz w:val="24"/>
                <w:szCs w:val="24"/>
              </w:rPr>
              <w:t>E-mail</w:t>
              <w:tab/>
              <w:t>Office_IA_TK@rushydro.ru</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ГРУЗОПОЛУЧАТЕЛЬ:</w:t>
            </w:r>
          </w:p>
          <w:p>
            <w:pPr>
              <w:pStyle w:val="Normal"/>
              <w:widowControl w:val="false"/>
              <w:rPr>
                <w:color w:val="000000"/>
                <w:sz w:val="24"/>
                <w:szCs w:val="24"/>
              </w:rPr>
            </w:pPr>
            <w:r>
              <w:rPr>
                <w:color w:val="000000"/>
                <w:sz w:val="24"/>
                <w:szCs w:val="24"/>
              </w:rPr>
              <w:t>Полное наименование филиала</w:t>
              <w:tab/>
              <w:t>Дальневосточный Филиал АО «Транспортная компания РусГидро»</w:t>
            </w:r>
          </w:p>
          <w:p>
            <w:pPr>
              <w:pStyle w:val="Normal"/>
              <w:widowControl w:val="false"/>
              <w:rPr>
                <w:color w:val="000000"/>
                <w:sz w:val="24"/>
                <w:szCs w:val="24"/>
              </w:rPr>
            </w:pPr>
            <w:r>
              <w:rPr>
                <w:color w:val="000000"/>
                <w:sz w:val="24"/>
                <w:szCs w:val="24"/>
              </w:rPr>
              <w:t>Сокращенное наименование филиала</w:t>
              <w:tab/>
              <w:t>ДВ Филиал АО ТК «РусГидро»</w:t>
            </w:r>
          </w:p>
          <w:p>
            <w:pPr>
              <w:pStyle w:val="Normal"/>
              <w:widowControl w:val="false"/>
              <w:rPr>
                <w:color w:val="000000"/>
                <w:sz w:val="24"/>
                <w:szCs w:val="24"/>
              </w:rPr>
            </w:pPr>
            <w:r>
              <w:rPr>
                <w:color w:val="000000"/>
                <w:sz w:val="24"/>
                <w:szCs w:val="24"/>
              </w:rPr>
              <w:t>Адрес места нахождения</w:t>
              <w:tab/>
              <w:t>680021, Хабаровский край, Хабаровск город, Ленинградская улица, дом 46, 9 этаж</w:t>
            </w:r>
          </w:p>
          <w:p>
            <w:pPr>
              <w:pStyle w:val="Normal"/>
              <w:widowControl w:val="false"/>
              <w:rPr>
                <w:color w:val="000000"/>
                <w:sz w:val="24"/>
                <w:szCs w:val="24"/>
              </w:rPr>
            </w:pPr>
            <w:r>
              <w:rPr>
                <w:color w:val="000000"/>
                <w:sz w:val="24"/>
                <w:szCs w:val="24"/>
              </w:rPr>
              <w:t>Почтовый адрес</w:t>
              <w:tab/>
              <w:t>680021, Хабаровский край, Хабаровск город, Ленинградская улица, дом 46, 9 этаж</w:t>
            </w:r>
          </w:p>
          <w:p>
            <w:pPr>
              <w:pStyle w:val="Normal"/>
              <w:widowControl w:val="false"/>
              <w:rPr>
                <w:color w:val="000000"/>
                <w:sz w:val="24"/>
                <w:szCs w:val="24"/>
              </w:rPr>
            </w:pPr>
            <w:r>
              <w:rPr>
                <w:color w:val="000000"/>
                <w:sz w:val="24"/>
                <w:szCs w:val="24"/>
              </w:rPr>
              <w:t>ИНН</w:t>
              <w:tab/>
              <w:t>1902018248</w:t>
            </w:r>
          </w:p>
          <w:p>
            <w:pPr>
              <w:pStyle w:val="Normal"/>
              <w:widowControl w:val="false"/>
              <w:rPr>
                <w:color w:val="000000"/>
                <w:sz w:val="24"/>
                <w:szCs w:val="24"/>
              </w:rPr>
            </w:pPr>
            <w:r>
              <w:rPr>
                <w:color w:val="000000"/>
                <w:sz w:val="24"/>
                <w:szCs w:val="24"/>
              </w:rPr>
              <w:t>КПП</w:t>
              <w:tab/>
              <w:t>272443001</w:t>
            </w:r>
          </w:p>
          <w:p>
            <w:pPr>
              <w:pStyle w:val="Normal"/>
              <w:widowControl w:val="false"/>
              <w:rPr>
                <w:color w:val="000000"/>
                <w:sz w:val="24"/>
                <w:szCs w:val="24"/>
              </w:rPr>
            </w:pPr>
            <w:r>
              <w:rPr>
                <w:color w:val="000000"/>
                <w:sz w:val="24"/>
                <w:szCs w:val="24"/>
              </w:rPr>
              <w:t>ОГРН</w:t>
              <w:tab/>
              <w:t>1031900676356</w:t>
            </w:r>
          </w:p>
          <w:p>
            <w:pPr>
              <w:pStyle w:val="Normal"/>
              <w:widowControl w:val="false"/>
              <w:rPr>
                <w:color w:val="000000"/>
                <w:sz w:val="24"/>
                <w:szCs w:val="24"/>
              </w:rPr>
            </w:pPr>
            <w:r>
              <w:rPr>
                <w:color w:val="000000"/>
                <w:sz w:val="24"/>
                <w:szCs w:val="24"/>
              </w:rPr>
              <w:t>ОКПО</w:t>
              <w:tab/>
              <w:t>39658299</w:t>
            </w:r>
          </w:p>
          <w:p>
            <w:pPr>
              <w:pStyle w:val="Normal"/>
              <w:widowControl w:val="false"/>
              <w:rPr>
                <w:color w:val="000000"/>
                <w:sz w:val="24"/>
                <w:szCs w:val="24"/>
              </w:rPr>
            </w:pPr>
            <w:r>
              <w:rPr>
                <w:color w:val="000000"/>
                <w:sz w:val="24"/>
                <w:szCs w:val="24"/>
              </w:rPr>
              <w:t>ОКВЭД</w:t>
              <w:tab/>
              <w:t>49.41.2</w:t>
            </w:r>
          </w:p>
          <w:p>
            <w:pPr>
              <w:pStyle w:val="Normal"/>
              <w:widowControl w:val="false"/>
              <w:rPr>
                <w:color w:val="000000"/>
                <w:sz w:val="24"/>
                <w:szCs w:val="24"/>
              </w:rPr>
            </w:pPr>
            <w:r>
              <w:rPr>
                <w:color w:val="000000"/>
                <w:sz w:val="24"/>
                <w:szCs w:val="24"/>
              </w:rPr>
              <w:t>ОКТМО</w:t>
              <w:tab/>
              <w:t>08701000001</w:t>
            </w:r>
          </w:p>
          <w:p>
            <w:pPr>
              <w:pStyle w:val="Normal"/>
              <w:widowControl w:val="false"/>
              <w:rPr>
                <w:color w:val="000000"/>
                <w:sz w:val="24"/>
                <w:szCs w:val="24"/>
              </w:rPr>
            </w:pPr>
            <w:r>
              <w:rPr>
                <w:color w:val="000000"/>
                <w:sz w:val="24"/>
                <w:szCs w:val="24"/>
              </w:rPr>
              <w:t>ОКАТО</w:t>
              <w:tab/>
              <w:t>08401363000</w:t>
            </w:r>
          </w:p>
          <w:p>
            <w:pPr>
              <w:pStyle w:val="Normal"/>
              <w:widowControl w:val="false"/>
              <w:rPr>
                <w:color w:val="000000"/>
                <w:sz w:val="24"/>
                <w:szCs w:val="24"/>
              </w:rPr>
            </w:pPr>
            <w:r>
              <w:rPr>
                <w:color w:val="000000"/>
                <w:sz w:val="24"/>
                <w:szCs w:val="24"/>
              </w:rPr>
              <w:t>Наименование банка и его адрес</w:t>
              <w:tab/>
              <w:t>«ГПБ» (АО), г. Москва</w:t>
            </w:r>
          </w:p>
          <w:p>
            <w:pPr>
              <w:pStyle w:val="Normal"/>
              <w:widowControl w:val="false"/>
              <w:rPr>
                <w:color w:val="000000"/>
                <w:sz w:val="24"/>
                <w:szCs w:val="24"/>
              </w:rPr>
            </w:pPr>
            <w:r>
              <w:rPr>
                <w:color w:val="000000"/>
                <w:sz w:val="24"/>
                <w:szCs w:val="24"/>
              </w:rPr>
              <w:t>Банковские реквизиты</w:t>
              <w:tab/>
              <w:t>р/с 40702810795000000002</w:t>
            </w:r>
          </w:p>
          <w:p>
            <w:pPr>
              <w:pStyle w:val="Normal"/>
              <w:widowControl w:val="false"/>
              <w:rPr>
                <w:color w:val="000000"/>
                <w:sz w:val="24"/>
                <w:szCs w:val="24"/>
              </w:rPr>
            </w:pPr>
            <w:r>
              <w:rPr>
                <w:color w:val="000000"/>
                <w:sz w:val="24"/>
                <w:szCs w:val="24"/>
              </w:rPr>
              <w:t>к/с 30101810400000000823</w:t>
            </w:r>
          </w:p>
          <w:p>
            <w:pPr>
              <w:pStyle w:val="Normal"/>
              <w:widowControl w:val="false"/>
              <w:rPr>
                <w:color w:val="000000"/>
                <w:sz w:val="24"/>
                <w:szCs w:val="24"/>
              </w:rPr>
            </w:pPr>
            <w:r>
              <w:rPr>
                <w:color w:val="000000"/>
                <w:sz w:val="24"/>
                <w:szCs w:val="24"/>
              </w:rPr>
              <w:t>БИК 044525823</w:t>
            </w:r>
          </w:p>
          <w:p>
            <w:pPr>
              <w:pStyle w:val="Normal"/>
              <w:widowControl w:val="false"/>
              <w:rPr>
                <w:color w:val="000000"/>
                <w:sz w:val="24"/>
                <w:szCs w:val="24"/>
              </w:rPr>
            </w:pPr>
            <w:r>
              <w:rPr>
                <w:color w:val="000000"/>
                <w:sz w:val="24"/>
                <w:szCs w:val="24"/>
              </w:rPr>
              <w:t>Директор</w:t>
            </w:r>
          </w:p>
          <w:p>
            <w:pPr>
              <w:pStyle w:val="Normal"/>
              <w:widowControl w:val="false"/>
              <w:rPr>
                <w:color w:val="000000"/>
                <w:sz w:val="24"/>
                <w:szCs w:val="24"/>
              </w:rPr>
            </w:pPr>
            <w:r>
              <w:rPr>
                <w:color w:val="000000"/>
                <w:sz w:val="24"/>
                <w:szCs w:val="24"/>
              </w:rPr>
              <w:t>Золотарев Василий Юрьевич</w:t>
            </w:r>
          </w:p>
          <w:p>
            <w:pPr>
              <w:pStyle w:val="Normal"/>
              <w:widowControl w:val="false"/>
              <w:rPr>
                <w:color w:val="000000"/>
                <w:sz w:val="24"/>
                <w:szCs w:val="24"/>
              </w:rPr>
            </w:pPr>
            <w:r>
              <w:rPr>
                <w:color w:val="000000"/>
                <w:sz w:val="24"/>
                <w:szCs w:val="24"/>
              </w:rPr>
              <w:t>Телефон</w:t>
              <w:tab/>
            </w:r>
          </w:p>
          <w:p>
            <w:pPr>
              <w:pStyle w:val="Normal"/>
              <w:widowControl w:val="false"/>
              <w:rPr>
                <w:sz w:val="24"/>
                <w:szCs w:val="24"/>
              </w:rPr>
            </w:pPr>
            <w:r>
              <w:rPr>
                <w:color w:val="000000"/>
                <w:sz w:val="24"/>
                <w:szCs w:val="24"/>
              </w:rPr>
              <w:t>E-mail</w:t>
              <w:tab/>
              <w:t>tk_dvf@rushydro.ru</w:t>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4" w:type="dxa"/>
            <w:tcBorders/>
          </w:tcPr>
          <w:p>
            <w:pPr>
              <w:pStyle w:val="Normal"/>
              <w:widowControl w:val="false"/>
              <w:rPr>
                <w:sz w:val="24"/>
                <w:szCs w:val="24"/>
                <w:highlight w:val="lightGray"/>
              </w:rPr>
            </w:pPr>
            <w:r>
              <w:rPr>
                <w:sz w:val="24"/>
                <w:szCs w:val="24"/>
                <w:highlight w:val="lightGray"/>
              </w:rPr>
            </w:r>
          </w:p>
          <w:p>
            <w:pPr>
              <w:pStyle w:val="Normal"/>
              <w:widowControl w:val="false"/>
              <w:rPr>
                <w:sz w:val="24"/>
                <w:szCs w:val="24"/>
                <w:highlight w:val="lightGray"/>
              </w:rPr>
            </w:pPr>
            <w:r>
              <w:rPr>
                <w:sz w:val="24"/>
                <w:szCs w:val="24"/>
                <w:highlight w:val="lightGray"/>
              </w:rPr>
            </w:r>
          </w:p>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highlight w:val="lightGray"/>
              </w:rPr>
            </w:pPr>
            <w:r>
              <w:rPr>
                <w:sz w:val="24"/>
                <w:szCs w:val="24"/>
                <w:highlight w:val="lightGray"/>
              </w:rPr>
            </w:r>
          </w:p>
          <w:p>
            <w:pPr>
              <w:pStyle w:val="Normal"/>
              <w:widowControl w:val="false"/>
              <w:rPr>
                <w:sz w:val="24"/>
                <w:szCs w:val="24"/>
                <w:highlight w:val="lightGray"/>
              </w:rPr>
            </w:pPr>
            <w:r>
              <w:rPr>
                <w:sz w:val="24"/>
                <w:szCs w:val="24"/>
                <w:highlight w:val="lightGray"/>
              </w:rPr>
            </w:r>
          </w:p>
          <w:p>
            <w:pPr>
              <w:pStyle w:val="Normal"/>
              <w:widowControl w:val="false"/>
              <w:rPr>
                <w:sz w:val="24"/>
                <w:szCs w:val="24"/>
              </w:rPr>
            </w:pPr>
            <w:bookmarkStart w:id="11" w:name="_GoBack"/>
            <w:bookmarkEnd w:id="11"/>
            <w:r>
              <w:rPr>
                <w:sz w:val="24"/>
                <w:szCs w:val="24"/>
                <w:highlight w:val="lightGray"/>
              </w:rPr>
              <w:t>_______________ / _______________</w:t>
            </w:r>
            <w:r>
              <w:rPr>
                <w:sz w:val="24"/>
                <w:szCs w:val="24"/>
              </w:rPr>
              <w:t xml:space="preserve"> </w:t>
            </w:r>
          </w:p>
        </w:tc>
        <w:tc>
          <w:tcPr>
            <w:tcW w:w="330"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24576"/>
        </w:sectPr>
      </w:pPr>
    </w:p>
    <w:p>
      <w:pPr>
        <w:pStyle w:val="Normal"/>
        <w:ind w:left="5103" w:right="96" w:hanging="0"/>
        <w:rPr>
          <w:sz w:val="22"/>
          <w:szCs w:val="22"/>
        </w:rPr>
      </w:pPr>
      <w:r>
        <w:rPr>
          <w:sz w:val="22"/>
          <w:szCs w:val="22"/>
        </w:rPr>
        <w:t>Приложение № 1</w:t>
      </w:r>
    </w:p>
    <w:p>
      <w:pPr>
        <w:pStyle w:val="Normal"/>
        <w:ind w:left="5103" w:right="96" w:hanging="0"/>
        <w:rPr>
          <w:sz w:val="22"/>
          <w:szCs w:val="22"/>
        </w:rPr>
      </w:pPr>
      <w:r>
        <w:rPr>
          <w:sz w:val="22"/>
          <w:szCs w:val="22"/>
        </w:rPr>
        <w:t>к Договору поставки</w:t>
      </w:r>
    </w:p>
    <w:p>
      <w:pPr>
        <w:pStyle w:val="Normal"/>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49"/>
        <w:gridCol w:w="394"/>
        <w:gridCol w:w="602"/>
        <w:gridCol w:w="611"/>
        <w:gridCol w:w="613"/>
        <w:gridCol w:w="778"/>
        <w:gridCol w:w="721"/>
        <w:gridCol w:w="630"/>
        <w:gridCol w:w="730"/>
        <w:gridCol w:w="691"/>
        <w:gridCol w:w="520"/>
        <w:gridCol w:w="644"/>
        <w:gridCol w:w="554"/>
        <w:gridCol w:w="516"/>
        <w:gridCol w:w="716"/>
        <w:gridCol w:w="465"/>
      </w:tblGrid>
      <w:tr>
        <w:trPr>
          <w:trHeight w:val="526" w:hRule="atLeast"/>
        </w:trPr>
        <w:tc>
          <w:tcPr>
            <w:tcW w:w="4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4"/>
            </w:r>
          </w:p>
        </w:tc>
        <w:tc>
          <w:tcPr>
            <w:tcW w:w="7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15"/>
            </w:r>
          </w:p>
          <w:p>
            <w:pPr>
              <w:pStyle w:val="Normal"/>
              <w:widowControl w:val="false"/>
              <w:jc w:val="center"/>
              <w:rPr>
                <w:bCs/>
              </w:rPr>
            </w:pPr>
            <w:r>
              <w:rPr>
                <w:bCs/>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53"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53"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53"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sz w:val="24"/>
          <w:szCs w:val="24"/>
        </w:rPr>
      </w:pPr>
      <w:r>
        <w:rPr>
          <w:sz w:val="24"/>
          <w:szCs w:val="24"/>
        </w:rPr>
      </w:r>
    </w:p>
    <w:p>
      <w:pPr>
        <w:pStyle w:val="Normal"/>
        <w:rPr>
          <w:sz w:val="24"/>
          <w:szCs w:val="24"/>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spacing w:lineRule="auto" w:line="259"/>
        <w:rPr>
          <w:rFonts w:eastAsia="Calibri"/>
          <w:b/>
          <w:sz w:val="24"/>
          <w:szCs w:val="24"/>
          <w:lang w:eastAsia="en-US"/>
        </w:rPr>
      </w:pPr>
      <w:r>
        <w:rPr>
          <w:rFonts w:eastAsia="Calibri"/>
          <w:b/>
          <w:sz w:val="24"/>
          <w:szCs w:val="24"/>
          <w:lang w:eastAsia="en-US"/>
        </w:rPr>
      </w:r>
    </w:p>
    <w:p>
      <w:pPr>
        <w:pStyle w:val="Normal"/>
        <w:widowControl/>
        <w:spacing w:lineRule="auto" w:line="259"/>
        <w:rPr>
          <w:rFonts w:eastAsia="Calibri"/>
          <w:b/>
          <w:sz w:val="24"/>
          <w:szCs w:val="24"/>
          <w:lang w:eastAsia="en-US"/>
        </w:rPr>
      </w:pPr>
      <w:r>
        <w:rPr>
          <w:rFonts w:eastAsia="Calibri"/>
          <w:b/>
          <w:sz w:val="24"/>
          <w:szCs w:val="24"/>
          <w:lang w:eastAsia="en-US"/>
        </w:rPr>
      </w:r>
    </w:p>
    <w:p>
      <w:pPr>
        <w:pStyle w:val="Normal"/>
        <w:widowControl/>
        <w:spacing w:lineRule="auto" w:line="259"/>
        <w:jc w:val="center"/>
        <w:rPr>
          <w:rFonts w:eastAsia="Calibri"/>
          <w:b/>
          <w:sz w:val="24"/>
          <w:szCs w:val="24"/>
          <w:lang w:eastAsia="en-US"/>
        </w:rPr>
      </w:pPr>
      <w:r>
        <w:rPr>
          <w:rFonts w:eastAsia="Calibri"/>
          <w:b/>
          <w:sz w:val="24"/>
          <w:szCs w:val="24"/>
          <w:lang w:eastAsia="en-US"/>
        </w:rPr>
      </w:r>
    </w:p>
    <w:p>
      <w:pPr>
        <w:pStyle w:val="Normal"/>
        <w:widowControl/>
        <w:spacing w:lineRule="auto" w:line="259"/>
        <w:jc w:val="center"/>
        <w:rPr>
          <w:rFonts w:eastAsia="Calibri"/>
          <w:b/>
          <w:sz w:val="24"/>
          <w:szCs w:val="24"/>
          <w:lang w:eastAsia="en-US"/>
        </w:rPr>
      </w:pPr>
      <w:r>
        <w:rPr>
          <w:rFonts w:eastAsia="Calibri"/>
          <w:b/>
          <w:sz w:val="24"/>
          <w:szCs w:val="24"/>
          <w:lang w:eastAsia="en-US"/>
        </w:rPr>
      </w:r>
    </w:p>
    <w:p>
      <w:pPr>
        <w:pStyle w:val="Normal"/>
        <w:widowControl/>
        <w:spacing w:lineRule="auto" w:line="259"/>
        <w:jc w:val="center"/>
        <w:rPr>
          <w:rFonts w:eastAsia="Calibri"/>
          <w:b/>
          <w:sz w:val="24"/>
          <w:szCs w:val="24"/>
          <w:lang w:eastAsia="en-US"/>
        </w:rPr>
      </w:pPr>
      <w:r>
        <w:rPr>
          <w:rFonts w:eastAsia="Calibri"/>
          <w:b/>
          <w:sz w:val="24"/>
          <w:szCs w:val="24"/>
          <w:lang w:eastAsia="en-US"/>
        </w:rPr>
      </w:r>
    </w:p>
    <w:p>
      <w:pPr>
        <w:pStyle w:val="Normal"/>
        <w:widowControl/>
        <w:spacing w:lineRule="auto" w:line="259"/>
        <w:jc w:val="center"/>
        <w:rPr>
          <w:rFonts w:eastAsia="Calibri"/>
          <w:b/>
          <w:sz w:val="24"/>
          <w:szCs w:val="24"/>
          <w:lang w:eastAsia="en-US"/>
        </w:rPr>
      </w:pPr>
      <w:r>
        <w:rPr>
          <w:rFonts w:eastAsia="Calibri"/>
          <w:b/>
          <w:sz w:val="24"/>
          <w:szCs w:val="24"/>
          <w:lang w:eastAsia="en-US"/>
        </w:rPr>
      </w:r>
    </w:p>
    <w:p>
      <w:pPr>
        <w:pStyle w:val="Normal"/>
        <w:widowControl/>
        <w:rPr>
          <w:sz w:val="22"/>
          <w:szCs w:val="22"/>
        </w:rPr>
      </w:pPr>
      <w:r>
        <w:rPr>
          <w:sz w:val="22"/>
          <w:szCs w:val="22"/>
        </w:rPr>
      </w:r>
      <w:r>
        <w:br w:type="page"/>
      </w:r>
    </w:p>
    <w:p>
      <w:pPr>
        <w:pStyle w:val="Normal"/>
        <w:ind w:right="96" w:firstLine="5103"/>
        <w:rPr>
          <w:sz w:val="22"/>
          <w:szCs w:val="22"/>
        </w:rPr>
      </w:pPr>
      <w:r>
        <w:rPr>
          <w:sz w:val="22"/>
          <w:szCs w:val="22"/>
        </w:rPr>
        <w:t>Приложение № 2</w:t>
      </w:r>
    </w:p>
    <w:p>
      <w:pPr>
        <w:pStyle w:val="Normal"/>
        <w:ind w:right="96" w:firstLine="5103"/>
        <w:rPr>
          <w:sz w:val="22"/>
          <w:szCs w:val="22"/>
        </w:rPr>
      </w:pPr>
      <w:r>
        <w:rPr>
          <w:sz w:val="22"/>
          <w:szCs w:val="22"/>
        </w:rPr>
        <w:t xml:space="preserve">к Договору поставки </w:t>
      </w:r>
    </w:p>
    <w:p>
      <w:pPr>
        <w:pStyle w:val="Normal"/>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567" w:top="1134" w:footer="709" w:bottom="1134"/>
          <w:pgNumType w:fmt="decimal"/>
          <w:formProt w:val="false"/>
          <w:textDirection w:val="lrTb"/>
          <w:docGrid w:type="default" w:linePitch="360" w:charSpace="24576"/>
        </w:sectPr>
      </w:pPr>
    </w:p>
    <w:p>
      <w:pPr>
        <w:pStyle w:val="Normal"/>
        <w:ind w:left="5103" w:right="96" w:firstLine="5103"/>
        <w:rPr>
          <w:sz w:val="22"/>
          <w:szCs w:val="22"/>
        </w:rPr>
      </w:pPr>
      <w:r>
        <w:rPr>
          <w:sz w:val="22"/>
          <w:szCs w:val="22"/>
        </w:rPr>
        <w:t>Приложение № 3</w:t>
      </w:r>
    </w:p>
    <w:p>
      <w:pPr>
        <w:pStyle w:val="Normal"/>
        <w:ind w:right="96" w:firstLine="5103"/>
        <w:rPr>
          <w:sz w:val="22"/>
          <w:szCs w:val="22"/>
        </w:rPr>
      </w:pPr>
      <w:r>
        <w:rPr>
          <w:sz w:val="22"/>
          <w:szCs w:val="22"/>
        </w:rPr>
        <w:t>к Договору поставки</w:t>
      </w:r>
    </w:p>
    <w:p>
      <w:pPr>
        <w:pStyle w:val="Normal"/>
        <w:ind w:right="96" w:firstLine="5103"/>
        <w:rPr>
          <w:sz w:val="22"/>
          <w:szCs w:val="22"/>
        </w:rPr>
      </w:pPr>
      <w:r>
        <w:rPr>
          <w:sz w:val="22"/>
          <w:szCs w:val="22"/>
        </w:rPr>
        <w:t>от «____» __________ 20 _ г. № ____</w:t>
      </w:r>
    </w:p>
    <w:p>
      <w:pPr>
        <w:pStyle w:val="Normal"/>
        <w:jc w:val="center"/>
        <w:rPr>
          <w:b/>
          <w:sz w:val="24"/>
          <w:szCs w:val="24"/>
        </w:rPr>
      </w:pPr>
      <w:r>
        <w:rPr>
          <w:b/>
          <w:sz w:val="24"/>
          <w:szCs w:val="24"/>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Календарный график поставки Товара </w:t>
      </w:r>
    </w:p>
    <w:p>
      <w:pPr>
        <w:pStyle w:val="Normal"/>
        <w:rPr>
          <w:sz w:val="24"/>
          <w:szCs w:val="24"/>
        </w:rPr>
      </w:pPr>
      <w:r>
        <w:rPr>
          <w:sz w:val="24"/>
          <w:szCs w:val="24"/>
        </w:rPr>
      </w:r>
    </w:p>
    <w:p>
      <w:pPr>
        <w:pStyle w:val="Normal"/>
        <w:rPr>
          <w:sz w:val="24"/>
          <w:szCs w:val="24"/>
        </w:rPr>
      </w:pPr>
      <w:r>
        <w:rPr>
          <w:sz w:val="24"/>
          <w:szCs w:val="24"/>
        </w:rPr>
        <w:t>Таблица 1. Календарный график поставки Товара</w:t>
      </w:r>
    </w:p>
    <w:p>
      <w:pPr>
        <w:pStyle w:val="Normal"/>
        <w:rPr>
          <w:sz w:val="24"/>
          <w:szCs w:val="24"/>
        </w:rPr>
      </w:pPr>
      <w:r>
        <w:rPr>
          <w:sz w:val="24"/>
          <w:szCs w:val="24"/>
        </w:rPr>
      </w:r>
    </w:p>
    <w:tbl>
      <w:tblPr>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7"/>
        <w:gridCol w:w="1832"/>
        <w:gridCol w:w="1850"/>
        <w:gridCol w:w="1844"/>
        <w:gridCol w:w="1143"/>
        <w:gridCol w:w="1196"/>
        <w:gridCol w:w="1345"/>
      </w:tblGrid>
      <w:tr>
        <w:trPr>
          <w:trHeight w:val="115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t xml:space="preserve">№ </w:t>
            </w:r>
            <w:r>
              <w:rPr/>
              <w:t xml:space="preserve">партии </w:t>
            </w:r>
          </w:p>
        </w:tc>
        <w:tc>
          <w:tcPr>
            <w:tcW w:w="18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t>Наименование Товара (партии Товара)</w:t>
            </w:r>
          </w:p>
        </w:tc>
        <w:tc>
          <w:tcPr>
            <w:tcW w:w="18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t xml:space="preserve">Обоснование стоимости, пункт Спецификации </w:t>
            </w:r>
          </w:p>
        </w:tc>
        <w:tc>
          <w:tcPr>
            <w:tcW w:w="18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t>Дата поставки Товара</w:t>
            </w:r>
          </w:p>
          <w:p>
            <w:pPr>
              <w:pStyle w:val="Normal"/>
              <w:widowControl w:val="false"/>
              <w:jc w:val="center"/>
              <w:rPr>
                <w:sz w:val="24"/>
                <w:szCs w:val="24"/>
              </w:rPr>
            </w:pPr>
            <w:r>
              <w:rPr>
                <w:sz w:val="24"/>
                <w:szCs w:val="24"/>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t>Цена, руб. без НДС</w:t>
            </w:r>
          </w:p>
        </w:tc>
        <w:tc>
          <w:tcPr>
            <w:tcW w:w="11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t>Сумма НДС (___%), руб.</w:t>
            </w:r>
            <w:r>
              <w:rPr>
                <w:sz w:val="24"/>
                <w:szCs w:val="24"/>
              </w:rPr>
              <w:t>*</w:t>
            </w:r>
          </w:p>
        </w:tc>
        <w:tc>
          <w:tcPr>
            <w:tcW w:w="13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t>Стоимость партии, руб. с НДС</w:t>
            </w:r>
            <w:r>
              <w:rPr>
                <w:sz w:val="24"/>
                <w:szCs w:val="24"/>
              </w:rPr>
              <w:t>*</w:t>
            </w:r>
          </w:p>
        </w:tc>
      </w:tr>
      <w:tr>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1.</w:t>
            </w:r>
          </w:p>
        </w:tc>
        <w:tc>
          <w:tcPr>
            <w:tcW w:w="18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2.</w:t>
            </w:r>
          </w:p>
        </w:tc>
        <w:tc>
          <w:tcPr>
            <w:tcW w:w="18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3.</w:t>
            </w:r>
          </w:p>
        </w:tc>
        <w:tc>
          <w:tcPr>
            <w:tcW w:w="18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4.</w:t>
            </w:r>
          </w:p>
        </w:tc>
        <w:tc>
          <w:tcPr>
            <w:tcW w:w="18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8572"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right"/>
              <w:rPr>
                <w:b/>
                <w:sz w:val="24"/>
                <w:szCs w:val="24"/>
              </w:rPr>
            </w:pPr>
            <w:r>
              <w:rPr>
                <w:b/>
                <w:sz w:val="24"/>
                <w:szCs w:val="24"/>
              </w:rPr>
              <w:t>Всего по Договору:</w:t>
            </w:r>
          </w:p>
        </w:tc>
        <w:tc>
          <w:tcPr>
            <w:tcW w:w="1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bl>
    <w:p>
      <w:pPr>
        <w:pStyle w:val="Normal"/>
        <w:rPr>
          <w:sz w:val="24"/>
          <w:szCs w:val="24"/>
        </w:rPr>
      </w:pPr>
      <w:r>
        <w:rPr>
          <w:sz w:val="24"/>
          <w:szCs w:val="24"/>
        </w:rPr>
      </w:r>
    </w:p>
    <w:p>
      <w:pPr>
        <w:pStyle w:val="Normal"/>
        <w:bidi w:val="0"/>
        <w:ind w:right="-283" w:hanging="0"/>
        <w:jc w:val="both"/>
        <w:rPr>
          <w:i/>
          <w:i/>
          <w:iCs/>
        </w:rPr>
      </w:pPr>
      <w:r>
        <w:rPr>
          <w:i/>
          <w:iCs/>
        </w:rPr>
        <w:t xml:space="preserve">* </w:t>
      </w:r>
      <w:r>
        <w:rPr>
          <w:i/>
          <w:iCs/>
          <w:shd w:fill="FFFF00" w:val="clear"/>
        </w:rPr>
        <w:t>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rPr>
          <w:sz w:val="24"/>
          <w:szCs w:val="24"/>
        </w:rPr>
      </w:pPr>
      <w:r>
        <w:rPr>
          <w:sz w:val="24"/>
          <w:szCs w:val="24"/>
        </w:rPr>
      </w:r>
    </w:p>
    <w:p>
      <w:pPr>
        <w:pStyle w:val="Normal"/>
        <w:tabs>
          <w:tab w:val="clear" w:pos="709"/>
          <w:tab w:val="left" w:pos="4860" w:leader="none"/>
        </w:tabs>
        <w:rPr>
          <w:b/>
          <w:sz w:val="24"/>
          <w:szCs w:val="24"/>
        </w:rPr>
      </w:pPr>
      <w:r>
        <w:rPr>
          <w:b/>
          <w:sz w:val="24"/>
          <w:szCs w:val="24"/>
        </w:rPr>
      </w:r>
    </w:p>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10099"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4"/>
        <w:gridCol w:w="5104"/>
      </w:tblGrid>
      <w:tr>
        <w:trPr/>
        <w:tc>
          <w:tcPr>
            <w:tcW w:w="4994"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5104"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ind w:right="96" w:firstLine="5103"/>
        <w:rPr>
          <w:sz w:val="22"/>
          <w:szCs w:val="22"/>
        </w:rPr>
      </w:pPr>
      <w:r>
        <w:rPr>
          <w:sz w:val="22"/>
          <w:szCs w:val="22"/>
        </w:rPr>
        <w:t>Приложение № 4</w:t>
      </w:r>
    </w:p>
    <w:p>
      <w:pPr>
        <w:pStyle w:val="Normal"/>
        <w:ind w:right="96" w:firstLine="5103"/>
        <w:rPr>
          <w:sz w:val="22"/>
          <w:szCs w:val="22"/>
        </w:rPr>
      </w:pPr>
      <w:r>
        <w:rPr>
          <w:sz w:val="22"/>
          <w:szCs w:val="22"/>
        </w:rPr>
        <w:t>к Договору поставки</w:t>
      </w:r>
    </w:p>
    <w:p>
      <w:pPr>
        <w:pStyle w:val="Normal"/>
        <w:ind w:firstLine="5103"/>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lang w:val="en-GB"/>
        </w:rPr>
        <w:footnoteReference w:id="16"/>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r>
        <w:rPr>
          <w:sz w:val="24"/>
          <w:szCs w:val="24"/>
          <w:lang w:val="en-GB"/>
        </w:rPr>
        <w:t>www</w:t>
      </w:r>
      <w:r>
        <w:rPr>
          <w:sz w:val="24"/>
          <w:szCs w:val="24"/>
        </w:rPr>
        <w:t>.</w:t>
      </w:r>
      <w:r>
        <w:rPr>
          <w:sz w:val="24"/>
          <w:szCs w:val="24"/>
          <w:lang w:val="en-GB"/>
        </w:rPr>
        <w:t>cbr</w:t>
      </w:r>
      <w:r>
        <w:rPr>
          <w:sz w:val="24"/>
          <w:szCs w:val="24"/>
        </w:rPr>
        <w:t>.</w:t>
      </w:r>
      <w:r>
        <w:rPr>
          <w:sz w:val="24"/>
          <w:szCs w:val="24"/>
          <w:lang w:val="en-GB"/>
        </w:rPr>
        <w:t>ru</w:t>
      </w:r>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(далее – Методика ЦБ РФ) или иным документом, его заменяющим (в случае изменения или отмены указанного Положения).</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lang w:val="en-GB"/>
        </w:rPr>
        <w:footnoteReference w:id="17"/>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lang w:val="en-GB"/>
        </w:rPr>
        <w:footnoteReference w:id="18"/>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Обществом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sz w:val="24"/>
          <w:szCs w:val="24"/>
          <w:lang w:val="en-GB"/>
        </w:rPr>
        <w:footnoteReference w:id="19"/>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Требования, установленные пунктами 2 – 4 настоящих Критериев, 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tcPr>
          <w:p>
            <w:pPr>
              <w:pStyle w:val="Normal"/>
              <w:widowControl w:val="false"/>
              <w:ind w:right="-108" w:hanging="0"/>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0" w:type="dxa"/>
            <w:tcBorders/>
          </w:tcPr>
          <w:p>
            <w:pPr>
              <w:pStyle w:val="Normal"/>
              <w:widowControl w:val="false"/>
              <w:ind w:left="317" w:right="-108" w:hanging="317"/>
              <w:jc w:val="both"/>
              <w:rPr>
                <w:color w:val="000000"/>
                <w:sz w:val="24"/>
                <w:szCs w:val="24"/>
                <w:lang w:val="en-GB"/>
              </w:rPr>
            </w:pPr>
            <w:r>
              <w:rPr>
                <w:sz w:val="24"/>
                <w:szCs w:val="24"/>
                <w:lang w:val="en-GB"/>
              </w:rPr>
              <w:t xml:space="preserve">-  </w:t>
            </w:r>
          </w:p>
        </w:tc>
        <w:tc>
          <w:tcPr>
            <w:tcW w:w="8509" w:type="dxa"/>
            <w:tcBorders/>
          </w:tcPr>
          <w:p>
            <w:pPr>
              <w:pStyle w:val="Normal"/>
              <w:widowControl w:val="false"/>
              <w:ind w:left="-75" w:right="-108" w:hanging="0"/>
              <w:jc w:val="both"/>
              <w:rPr>
                <w:color w:val="000000"/>
                <w:sz w:val="24"/>
                <w:szCs w:val="24"/>
              </w:rPr>
            </w:pPr>
            <w:r>
              <w:rPr>
                <w:sz w:val="24"/>
                <w:szCs w:val="24"/>
              </w:rPr>
              <w:t xml:space="preserve">Лимит риска для </w:t>
            </w:r>
            <w:r>
              <w:rPr>
                <w:sz w:val="24"/>
                <w:szCs w:val="24"/>
                <w:lang w:val="en-GB"/>
              </w:rPr>
              <w:t>i</w:t>
            </w:r>
            <w:r>
              <w:rPr>
                <w:sz w:val="24"/>
                <w:szCs w:val="24"/>
              </w:rPr>
              <w:t>-ой кредитной организации</w:t>
            </w:r>
            <w:r>
              <w:rPr>
                <w:rStyle w:val="FootnoteReference"/>
                <w:sz w:val="24"/>
                <w:szCs w:val="24"/>
                <w:lang w:val="en-GB"/>
              </w:rPr>
              <w:footnoteReference w:id="20"/>
            </w:r>
            <w:r>
              <w:rPr>
                <w:sz w:val="24"/>
                <w:szCs w:val="24"/>
                <w:vertAlign w:val="superscript"/>
              </w:rPr>
              <w:t>.</w:t>
            </w:r>
            <w:r>
              <w:rPr>
                <w:sz w:val="24"/>
                <w:szCs w:val="24"/>
              </w:rPr>
              <w:t xml:space="preserve"> </w:t>
            </w:r>
          </w:p>
        </w:tc>
      </w:tr>
      <w:tr>
        <w:trPr>
          <w:trHeight w:val="280" w:hRule="atLeast"/>
        </w:trPr>
        <w:tc>
          <w:tcPr>
            <w:tcW w:w="817" w:type="dxa"/>
            <w:tcBorders/>
          </w:tcPr>
          <w:p>
            <w:pPr>
              <w:pStyle w:val="Normal"/>
              <w:widowControl w:val="false"/>
              <w:ind w:right="-108" w:hanging="0"/>
              <w:jc w:val="both"/>
              <w:rPr>
                <w:b/>
                <w:i/>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pPr>
              <w:pStyle w:val="Normal"/>
              <w:widowControl w:val="false"/>
              <w:ind w:right="-108" w:hanging="0"/>
              <w:jc w:val="both"/>
              <w:rPr>
                <w:color w:val="000000"/>
                <w:sz w:val="24"/>
                <w:szCs w:val="24"/>
                <w:lang w:val="en-GB"/>
              </w:rPr>
            </w:pPr>
            <w:r>
              <w:rPr>
                <w:color w:val="000000"/>
                <w:sz w:val="24"/>
                <w:szCs w:val="24"/>
                <w:lang w:val="en-GB"/>
              </w:rPr>
            </w:r>
          </w:p>
        </w:tc>
        <w:tc>
          <w:tcPr>
            <w:tcW w:w="280" w:type="dxa"/>
            <w:tcBorders/>
          </w:tcPr>
          <w:p>
            <w:pPr>
              <w:pStyle w:val="Normal"/>
              <w:widowControl w:val="false"/>
              <w:ind w:right="-108" w:hanging="0"/>
              <w:jc w:val="both"/>
              <w:rPr>
                <w:color w:val="000000"/>
                <w:sz w:val="24"/>
                <w:szCs w:val="24"/>
                <w:lang w:val="en-GB"/>
              </w:rPr>
            </w:pPr>
            <w:r>
              <w:rPr>
                <w:sz w:val="24"/>
                <w:szCs w:val="24"/>
                <w:lang w:val="en-GB"/>
              </w:rPr>
              <w:t>-</w:t>
            </w:r>
            <w:r>
              <w:rPr>
                <w:color w:val="000000"/>
                <w:sz w:val="24"/>
                <w:szCs w:val="24"/>
                <w:lang w:val="en-GB"/>
              </w:rPr>
              <w:t xml:space="preserve">  </w:t>
            </w:r>
          </w:p>
        </w:tc>
        <w:tc>
          <w:tcPr>
            <w:tcW w:w="8509" w:type="dxa"/>
            <w:tcBorders/>
          </w:tcPr>
          <w:p>
            <w:pPr>
              <w:pStyle w:val="Normal"/>
              <w:widowControl w:val="false"/>
              <w:ind w:left="-75" w:right="-108" w:hanging="0"/>
              <w:jc w:val="both"/>
              <w:rPr>
                <w:color w:val="000000"/>
                <w:sz w:val="24"/>
                <w:szCs w:val="24"/>
              </w:rPr>
            </w:pPr>
            <w:r>
              <w:rPr>
                <w:sz w:val="24"/>
                <w:szCs w:val="24"/>
              </w:rPr>
              <w:t xml:space="preserve">размер собственных средств (капитала) </w:t>
            </w:r>
            <w:r>
              <w:rPr>
                <w:sz w:val="24"/>
                <w:szCs w:val="24"/>
                <w:lang w:val="en-GB"/>
              </w:rPr>
              <w:t>i</w:t>
            </w:r>
            <w:r>
              <w:rPr>
                <w:sz w:val="24"/>
                <w:szCs w:val="24"/>
              </w:rPr>
              <w:t>-ой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2">
              <w:r>
                <w:rPr>
                  <w:sz w:val="24"/>
                  <w:szCs w:val="24"/>
                  <w:u w:val="single"/>
                  <w:lang w:val="en-GB"/>
                </w:rPr>
                <w:t>www</w:t>
              </w:r>
              <w:r>
                <w:rPr>
                  <w:sz w:val="24"/>
                  <w:szCs w:val="24"/>
                  <w:u w:val="single"/>
                </w:rPr>
                <w:t>.</w:t>
              </w:r>
              <w:r>
                <w:rPr>
                  <w:sz w:val="24"/>
                  <w:szCs w:val="24"/>
                  <w:u w:val="single"/>
                  <w:lang w:val="en-GB"/>
                </w:rPr>
                <w:t>cbr</w:t>
              </w:r>
              <w:r>
                <w:rPr>
                  <w:sz w:val="24"/>
                  <w:szCs w:val="24"/>
                  <w:u w:val="single"/>
                </w:rPr>
                <w:t>.</w:t>
              </w:r>
              <w:r>
                <w:rPr>
                  <w:sz w:val="24"/>
                  <w:szCs w:val="24"/>
                  <w:u w:val="single"/>
                  <w:lang w:val="en-GB"/>
                </w:rPr>
                <w:t>ru</w:t>
              </w:r>
            </w:hyperlink>
            <w:r>
              <w:rPr>
                <w:sz w:val="24"/>
                <w:szCs w:val="24"/>
              </w:rPr>
              <w:t>) по строке 000 «Расчет собственных средств (капитала) («Базель</w:t>
            </w:r>
            <w:r>
              <w:rPr>
                <w:sz w:val="24"/>
                <w:szCs w:val="24"/>
                <w:lang w:val="en-GB"/>
              </w:rPr>
              <w:t> III</w:t>
            </w:r>
            <w:r>
              <w:rPr>
                <w:sz w:val="24"/>
                <w:szCs w:val="24"/>
              </w:rPr>
              <w:t>»)», код формы 0409123;</w:t>
            </w:r>
          </w:p>
        </w:tc>
      </w:tr>
      <w:tr>
        <w:trPr>
          <w:trHeight w:val="993" w:hRule="atLeast"/>
        </w:trPr>
        <w:tc>
          <w:tcPr>
            <w:tcW w:w="817" w:type="dxa"/>
            <w:tcBorders/>
          </w:tcPr>
          <w:p>
            <w:pPr>
              <w:pStyle w:val="Normal"/>
              <w:widowControl w:val="false"/>
              <w:ind w:right="-108" w:hanging="0"/>
              <w:jc w:val="both"/>
              <w:rPr>
                <w:b/>
                <w:i/>
                <w:i/>
                <w:color w:val="000000"/>
                <w:sz w:val="24"/>
                <w:szCs w:val="24"/>
                <w:lang w:val="en-GB"/>
              </w:rPr>
            </w:pPr>
            <w:r>
              <w:rPr>
                <w:b/>
                <w:i/>
                <w:color w:val="000000"/>
                <w:sz w:val="24"/>
                <w:szCs w:val="24"/>
                <w:lang w:val="en-GB"/>
              </w:rPr>
              <w:t>r</w:t>
            </w:r>
            <w:r>
              <w:rPr>
                <w:b/>
                <w:i/>
                <w:color w:val="000000"/>
                <w:sz w:val="24"/>
                <w:szCs w:val="24"/>
                <w:vertAlign w:val="subscript"/>
                <w:lang w:val="en-GB"/>
              </w:rPr>
              <w:t>i</w:t>
            </w:r>
          </w:p>
        </w:tc>
        <w:tc>
          <w:tcPr>
            <w:tcW w:w="280" w:type="dxa"/>
            <w:tcBorders/>
          </w:tcPr>
          <w:p>
            <w:pPr>
              <w:pStyle w:val="Normal"/>
              <w:widowControl w:val="false"/>
              <w:ind w:right="-108" w:hanging="0"/>
              <w:jc w:val="both"/>
              <w:rPr>
                <w:sz w:val="24"/>
                <w:szCs w:val="24"/>
                <w:lang w:val="en-GB"/>
              </w:rPr>
            </w:pPr>
            <w:r>
              <w:rPr>
                <w:sz w:val="24"/>
                <w:szCs w:val="24"/>
                <w:lang w:val="en-GB"/>
              </w:rPr>
              <w:t>-</w:t>
            </w:r>
          </w:p>
        </w:tc>
        <w:tc>
          <w:tcPr>
            <w:tcW w:w="8509" w:type="dxa"/>
            <w:tcBorders/>
          </w:tcPr>
          <w:p>
            <w:pPr>
              <w:pStyle w:val="Normal"/>
              <w:widowControl w:val="false"/>
              <w:tabs>
                <w:tab w:val="clear" w:pos="709"/>
                <w:tab w:val="left" w:pos="7130" w:leader="none"/>
              </w:tabs>
              <w:ind w:right="-108" w:hanging="0"/>
              <w:jc w:val="both"/>
              <w:rPr>
                <w:sz w:val="24"/>
                <w:szCs w:val="24"/>
              </w:rPr>
            </w:pPr>
            <w:r>
              <w:rPr>
                <w:sz w:val="24"/>
                <w:szCs w:val="24"/>
              </w:rPr>
              <w:t>рейтинговый коэффициент</w:t>
            </w:r>
            <w:r>
              <w:rPr>
                <w:rStyle w:val="FootnoteReference"/>
                <w:sz w:val="24"/>
                <w:szCs w:val="24"/>
                <w:lang w:val="en-GB"/>
              </w:rPr>
              <w:footnoteReference w:id="21"/>
            </w:r>
            <w:r>
              <w:rPr>
                <w:sz w:val="24"/>
                <w:szCs w:val="24"/>
              </w:rPr>
              <w:t xml:space="preserve"> для </w:t>
            </w:r>
            <w:r>
              <w:rPr>
                <w:sz w:val="24"/>
                <w:szCs w:val="24"/>
                <w:lang w:val="en-GB"/>
              </w:rPr>
              <w:t>i</w:t>
            </w:r>
            <w:r>
              <w:rPr>
                <w:sz w:val="24"/>
                <w:szCs w:val="24"/>
              </w:rPr>
              <w:t>-ой кредитной организации, равный:</w:t>
            </w:r>
          </w:p>
          <w:p>
            <w:pPr>
              <w:pStyle w:val="Normal"/>
              <w:widowControl w:val="false"/>
              <w:ind w:firstLine="492"/>
              <w:jc w:val="both"/>
              <w:rPr>
                <w:sz w:val="24"/>
                <w:szCs w:val="24"/>
              </w:rPr>
            </w:pPr>
            <w:r>
              <w:rPr>
                <w:b/>
                <w:sz w:val="24"/>
                <w:szCs w:val="24"/>
              </w:rPr>
              <w:t>0,05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ind w:left="67" w:firstLine="425"/>
              <w:jc w:val="both"/>
              <w:rPr>
                <w:sz w:val="24"/>
                <w:szCs w:val="24"/>
              </w:rPr>
            </w:pPr>
            <w:r>
              <w:rPr>
                <w:b/>
                <w:sz w:val="24"/>
                <w:szCs w:val="24"/>
              </w:rPr>
              <w:t>0,025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GB"/>
              </w:rPr>
              <w:t>ruA</w:t>
            </w:r>
            <w:r>
              <w:rPr>
                <w:b/>
                <w:sz w:val="24"/>
                <w:szCs w:val="24"/>
              </w:rPr>
              <w:t>-»</w:t>
            </w:r>
            <w:r>
              <w:rPr>
                <w:sz w:val="24"/>
                <w:szCs w:val="24"/>
              </w:rPr>
              <w:t xml:space="preserve"> по классификации рейтингового агентства Эксперт РА;</w:t>
            </w:r>
          </w:p>
          <w:p>
            <w:pPr>
              <w:pStyle w:val="Normal"/>
              <w:widowControl w:val="false"/>
              <w:ind w:firstLine="492"/>
              <w:jc w:val="both"/>
              <w:rPr>
                <w:sz w:val="24"/>
                <w:szCs w:val="24"/>
              </w:rPr>
            </w:pPr>
            <w:r>
              <w:rPr>
                <w:b/>
                <w:sz w:val="24"/>
                <w:szCs w:val="24"/>
              </w:rPr>
              <w:t>0,015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ind w:right="96" w:firstLine="5103"/>
        <w:rPr>
          <w:sz w:val="22"/>
          <w:szCs w:val="22"/>
        </w:rPr>
      </w:pPr>
      <w:r>
        <w:rPr>
          <w:sz w:val="22"/>
          <w:szCs w:val="22"/>
        </w:rPr>
        <w:t>Приложение № 5</w:t>
      </w:r>
    </w:p>
    <w:p>
      <w:pPr>
        <w:pStyle w:val="Normal"/>
        <w:ind w:right="96" w:firstLine="5103"/>
        <w:rPr>
          <w:sz w:val="22"/>
          <w:szCs w:val="22"/>
        </w:rPr>
      </w:pPr>
      <w:r>
        <w:rPr>
          <w:sz w:val="22"/>
          <w:szCs w:val="22"/>
        </w:rPr>
        <w:t>к Договору поставки</w:t>
      </w:r>
    </w:p>
    <w:p>
      <w:pPr>
        <w:pStyle w:val="Normal"/>
        <w:ind w:firstLine="5103"/>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ind w:left="5103" w:hanging="0"/>
        <w:rPr>
          <w:b/>
          <w:bCs/>
          <w:sz w:val="24"/>
          <w:szCs w:val="24"/>
        </w:rPr>
      </w:pPr>
      <w:r>
        <w:rPr/>
      </w:r>
    </w:p>
    <w:sectPr>
      <w:headerReference w:type="default" r:id="rId13"/>
      <w:headerReference w:type="first" r:id="rId14"/>
      <w:footerReference w:type="default" r:id="rId15"/>
      <w:footerReference w:type="first" r:id="rId16"/>
      <w:footnotePr>
        <w:numFmt w:val="decimal"/>
      </w:footnotePr>
      <w:type w:val="nextPage"/>
      <w:pgSz w:w="11906" w:h="16838"/>
      <w:pgMar w:left="1418" w:right="851" w:gutter="0" w:header="567" w:top="1134" w:footer="709" w:bottom="1134"/>
      <w:pgNumType w:fmt="decimal"/>
      <w:formProt w:val="false"/>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Liberation Mono">
    <w:altName w:val="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28</w:t>
    </w:r>
    <w:r>
      <w:rPr>
        <w:sz w:val="24"/>
        <w:szCs w:val="24"/>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Предельная цена на Товар устанавливается в случае отсутствия утвержденной Рабочей документации (отсутствия точного перечня поставляемого Товара) на момент заключения Договора.</w:t>
      </w:r>
    </w:p>
  </w:footnote>
  <w:footnote w:id="3">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4">
    <w:p>
      <w:pPr>
        <w:pStyle w:val="FootnoteText"/>
        <w:jc w:val="both"/>
        <w:rPr/>
      </w:pPr>
      <w:r>
        <w:rPr>
          <w:rStyle w:val="Style14"/>
        </w:rPr>
        <w:footnoteRef/>
      </w:r>
      <w:r>
        <w:rPr/>
        <w:t xml:space="preserve"> </w:t>
      </w:r>
      <w:r>
        <w:rPr/>
        <w:t>Условие о размере авансового платежа в размере не менее 50 (пятидесяти) процентов от стоимости соответствующей партии Товара предусматривается в  договорах, заключаемых в соответствии с Федеральным законом от 18 июля 2011 года № 223-ФЗ «О закупках товаров, работ, услуг отдельными видами юридических лиц» по результатам закупок кранового оборудования, включенного в реестр промышленной продукции, произведенной на территории Российской Федерации, в соответствии с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 При этом необходимо изменить процент последующих платежей (пункт 2.5.3. проекта Договора).</w:t>
      </w:r>
    </w:p>
  </w:footnote>
  <w:footnote w:id="5">
    <w:p>
      <w:pPr>
        <w:pStyle w:val="FootnoteText"/>
        <w:jc w:val="both"/>
        <w:rPr/>
      </w:pPr>
      <w:r>
        <w:rPr>
          <w:rStyle w:val="Style14"/>
        </w:rPr>
        <w:footnoteRef/>
      </w:r>
      <w:r>
        <w:rPr/>
        <w:t xml:space="preserve"> </w:t>
      </w:r>
      <w:r>
        <w:rPr/>
        <w:t>Указывается меньший размер платежей, в случае применения ссылки к пункту 2.5.2. проекта Договора о закупке кранового оборудования.</w:t>
      </w:r>
    </w:p>
  </w:footnote>
  <w:footnote w:id="6">
    <w:p>
      <w:pPr>
        <w:pStyle w:val="FootnoteText"/>
        <w:jc w:val="both"/>
        <w:rPr/>
      </w:pPr>
      <w:r>
        <w:rPr>
          <w:rStyle w:val="Style14"/>
        </w:rPr>
        <w:footnoteRef/>
      </w:r>
      <w:r>
        <w:rPr/>
        <w:t xml:space="preserve"> </w:t>
      </w:r>
      <w:r>
        <w:rPr/>
        <w:t>Для договоров, заключенных в рамках реализации инвестиционной программы Общества.</w:t>
      </w:r>
    </w:p>
  </w:footnote>
  <w:footnote w:id="7">
    <w:p>
      <w:pPr>
        <w:pStyle w:val="FootnoteText"/>
        <w:jc w:val="both"/>
        <w:rPr/>
      </w:pPr>
      <w:r>
        <w:rPr>
          <w:rStyle w:val="Style14"/>
        </w:rPr>
        <w:footnoteRef/>
      </w:r>
      <w:r>
        <w:rPr/>
        <w:t xml:space="preserve"> </w:t>
      </w:r>
      <w:r>
        <w:rPr/>
        <w:t>В случае, если Контрагент – МСП и применяется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8">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9">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10">
    <w:p>
      <w:pPr>
        <w:pStyle w:val="FootnoteText"/>
        <w:jc w:val="both"/>
        <w:rPr/>
      </w:pPr>
      <w:r>
        <w:rPr>
          <w:rStyle w:val="Style14"/>
        </w:rPr>
        <w:footnoteRef/>
      </w:r>
      <w:r>
        <w:rPr/>
        <w:t xml:space="preserve"> </w:t>
      </w:r>
      <w:r>
        <w:rPr>
          <w:highlight w:val="lightGray"/>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11">
    <w:p>
      <w:pPr>
        <w:pStyle w:val="FootnoteText"/>
        <w:jc w:val="both"/>
        <w:rPr/>
      </w:pPr>
      <w:r>
        <w:rPr>
          <w:rStyle w:val="Style14"/>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12">
    <w:p>
      <w:pPr>
        <w:pStyle w:val="FootnoteText"/>
        <w:jc w:val="both"/>
        <w:rPr/>
      </w:pPr>
      <w:r>
        <w:rPr>
          <w:rStyle w:val="Style14"/>
        </w:rPr>
        <w:footnoteRef/>
      </w:r>
      <w:r>
        <w:rPr/>
        <w:t xml:space="preserve"> </w:t>
      </w:r>
      <w:r>
        <w:rPr/>
        <w:t>В случае если Поставщик является субъектом малого предпринимательства,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3">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4">
    <w:p>
      <w:pPr>
        <w:pStyle w:val="FootnoteText"/>
        <w:jc w:val="both"/>
        <w:rPr/>
      </w:pPr>
      <w:r>
        <w:rPr>
          <w:rStyle w:val="Style14"/>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15">
    <w:p>
      <w:pPr>
        <w:pStyle w:val="BodyText"/>
        <w:jc w:val="both"/>
        <w:rPr/>
      </w:pPr>
      <w:r>
        <w:rPr>
          <w:rStyle w:val="Style14"/>
        </w:rPr>
        <w:footnoteRef/>
      </w:r>
      <w:r>
        <w:rPr/>
        <w:t xml:space="preserve"> </w:t>
      </w:r>
      <w:r>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FootnoteText"/>
        <w:jc w:val="both"/>
        <w:rPr>
          <w:rFonts w:eastAsia="Calibri" w:eastAsiaTheme="minorHAnsi"/>
          <w:lang w:eastAsia="en-US"/>
        </w:rPr>
      </w:pPr>
      <w:r>
        <w:rPr/>
      </w:r>
    </w:p>
  </w:footnote>
  <w:footnote w:id="16">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Общества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/6</w:t>
      </w:r>
    </w:p>
  </w:footnote>
  <w:footnote w:id="17">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8">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9">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20">
    <w:p>
      <w:pPr>
        <w:pStyle w:val="FootnoteText"/>
        <w:jc w:val="both"/>
        <w:rPr/>
      </w:pPr>
      <w:r>
        <w:rPr>
          <w:rStyle w:val="Style14"/>
        </w:rPr>
        <w:footnoteRef/>
      </w:r>
      <w:r>
        <w:rPr>
          <w:lang w:eastAsia="x-none"/>
        </w:rPr>
        <w:t xml:space="preserve"> </w:t>
      </w:r>
      <w:r>
        <w:rPr>
          <w:lang w:eastAsia="x-none"/>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eastAsia="x-none"/>
        </w:rPr>
        <w:t>440 млн. руб., лимит к установлению - 5</w:t>
      </w:r>
      <w:r>
        <w:rPr/>
        <w:t> </w:t>
      </w:r>
      <w:r>
        <w:rPr>
          <w:lang w:eastAsia="x-none"/>
        </w:rPr>
        <w:t>400 млн. руб.; расчетное значение лимита - 5</w:t>
      </w:r>
      <w:r>
        <w:rPr/>
        <w:t> </w:t>
      </w:r>
      <w:r>
        <w:rPr>
          <w:lang w:eastAsia="x-none"/>
        </w:rPr>
        <w:t>450 млн. руб., лимит к установлению - 5</w:t>
      </w:r>
      <w:r>
        <w:rPr/>
        <w:t> </w:t>
      </w:r>
      <w:r>
        <w:rPr>
          <w:lang w:eastAsia="x-none"/>
        </w:rPr>
        <w:t>500 млн. руб.</w:t>
      </w:r>
    </w:p>
  </w:footnote>
  <w:footnote w:id="21">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ТФД 2.2.1. </w:t>
    </w:r>
  </w:p>
  <w:p>
    <w:pPr>
      <w:pStyle w:val="Normal"/>
      <w:tabs>
        <w:tab w:val="clear" w:pos="709"/>
        <w:tab w:val="left" w:pos="1875" w:leader="none"/>
        <w:tab w:val="center" w:pos="4153" w:leader="none"/>
        <w:tab w:val="right" w:pos="8306" w:leader="none"/>
      </w:tabs>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2.2.1.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ТФД 2.2.1. </w:t>
    </w:r>
  </w:p>
  <w:p>
    <w:pPr>
      <w:pStyle w:val="Normal"/>
      <w:tabs>
        <w:tab w:val="clear" w:pos="709"/>
        <w:tab w:val="left" w:pos="1875" w:leader="none"/>
        <w:tab w:val="center" w:pos="4153" w:leader="none"/>
        <w:tab w:val="right" w:pos="8306" w:leader="none"/>
      </w:tabs>
      <w:rPr>
        <w:i/>
        <w:i/>
      </w:rPr>
    </w:pPr>
    <w:r>
      <w:rPr>
        <w:i/>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f47c6a"/>
    <w:rPr>
      <w:vertAlign w:val="superscript"/>
    </w:rPr>
  </w:style>
  <w:style w:type="character" w:styleId="Style15" w:customStyle="1">
    <w:name w:val="Верхний колонтитул Знак"/>
    <w:basedOn w:val="DefaultParagraphFont"/>
    <w:uiPriority w:val="99"/>
    <w:qFormat/>
    <w:rsid w:val="000449a5"/>
    <w:rPr/>
  </w:style>
  <w:style w:type="character" w:styleId="1" w:customStyle="1">
    <w:name w:val="Гиперссылка1"/>
    <w:qFormat/>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Style19" w:customStyle="1">
    <w:name w:val="Символ нумерации"/>
    <w:qFormat/>
    <w:rPr/>
  </w:style>
  <w:style w:type="character" w:styleId="Hyperlink">
    <w:name w:val="Hyperlink"/>
    <w:rPr>
      <w:color w:val="000080"/>
      <w:u w:val="single"/>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next w:val="BodyText"/>
    <w:link w:val="Style7"/>
    <w:qFormat/>
    <w:rsid w:val="00a264b0"/>
    <w:pPr>
      <w:jc w:val="center"/>
    </w:pPr>
    <w:rPr>
      <w:b/>
      <w:bCs/>
      <w:sz w:val="24"/>
      <w:szCs w:val="24"/>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customStyle="1">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2"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cs="Calibri" w:eastAsia="Times New Roman"/>
      <w:color w:val="auto"/>
      <w:kern w:val="0"/>
      <w:sz w:val="22"/>
      <w:szCs w:val="20"/>
      <w:lang w:val="ru-RU" w:eastAsia="ru-RU" w:bidi="ar-SA"/>
    </w:rPr>
  </w:style>
  <w:style w:type="paragraph" w:styleId="Style28" w:customStyle="1">
    <w:name w:val="Текст в заданном формате"/>
    <w:basedOn w:val="Normal"/>
    <w:qFormat/>
    <w:pPr/>
    <w:rPr>
      <w:rFonts w:ascii="Liberation Mono" w:hAnsi="Liberation Mono" w:eastAsia="Liberation Mono" w:cs="Liberation Mono"/>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a">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yperlink" Target="http://www.cbr.ru/" TargetMode="Externa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Relationship Id="rId23" Type="http://schemas.openxmlformats.org/officeDocument/2006/relationships/customXml" Target="../customXml/item2.xml"/><Relationship Id="rId24" Type="http://schemas.openxmlformats.org/officeDocument/2006/relationships/customXml" Target="../customXml/item3.xml"/><Relationship Id="rId25"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13D7023-85FE-4C08-92EC-B2F06FC89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AlterOffice/3.4.0.9$Linux_X86_64 LibreOffice_project/b8daf9e823b1a5463a2f48435ddc2e8696e7d4fc</Application>
  <AppVersion>15.0000</AppVersion>
  <Pages>28</Pages>
  <Words>9688</Words>
  <Characters>69033</Characters>
  <CharactersWithSpaces>78303</CharactersWithSpaces>
  <Paragraphs>480</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2024-03-19T04:13:00Z</dcterms:created>
  <dc:creator>tsypilev_ag</dc:creator>
  <dc:description/>
  <dc:language>ru-RU</dc:language>
  <cp:lastModifiedBy>azarines@corp.gidroogk.com</cp:lastModifiedBy>
  <cp:lastPrinted>2018-05-22T09:46:00Z</cp:lastPrinted>
  <dcterms:modified xsi:type="dcterms:W3CDTF">2026-06-29T16:16:49Z</dcterms:modified>
  <cp:revision>10</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