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left="34" w:right="0" w:hanging="11"/>
        <w:jc w:val="center"/>
        <w:rPr>
          <w:b/>
          <w:szCs w:val="28"/>
        </w:rPr>
      </w:pPr>
      <w:r>
        <w:rPr>
          <w:b/>
          <w:szCs w:val="28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Normal"/>
        <w:bidi w:val="0"/>
        <w:jc w:val="left"/>
        <w:rPr>
          <w:i/>
          <w:i/>
          <w:shd w:fill="FFFF00" w:val="clear"/>
        </w:rPr>
      </w:pPr>
      <w:r>
        <w:rPr>
          <w:i/>
          <w:shd w:fill="FFFF00" w:val="clear"/>
        </w:rPr>
      </w:r>
    </w:p>
    <w:p>
      <w:pPr>
        <w:pStyle w:val="ListParagraph"/>
        <w:numPr>
          <w:ilvl w:val="0"/>
          <w:numId w:val="2"/>
        </w:numPr>
        <w:bidi w:val="0"/>
        <w:spacing w:before="0" w:after="120"/>
        <w:ind w:left="714" w:right="0" w:hanging="357"/>
        <w:contextualSpacing w:val="false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Общая информация</w:t>
      </w:r>
    </w:p>
    <w:p>
      <w:pPr>
        <w:pStyle w:val="ListParagraph"/>
        <w:bidi w:val="0"/>
        <w:spacing w:before="0" w:after="120"/>
        <w:ind w:left="714" w:right="0" w:hanging="357"/>
        <w:contextualSpacing w:val="false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tbl>
      <w:tblPr>
        <w:tblW w:w="10235" w:type="dxa"/>
        <w:jc w:val="left"/>
        <w:tblInd w:w="-152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09"/>
        <w:gridCol w:w="3595"/>
        <w:gridCol w:w="5931"/>
      </w:tblGrid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lineRule="auto" w:line="240" w:before="12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before="120" w:after="0"/>
              <w:ind w:left="0" w:right="0" w:firstLine="567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before="120" w:after="0"/>
              <w:ind w:left="0" w:right="0" w:firstLine="567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Информация по лоту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numPr>
                <w:ilvl w:val="1"/>
                <w:numId w:val="2"/>
              </w:numPr>
              <w:bidi w:val="0"/>
              <w:spacing w:before="0" w:after="12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before="120" w:after="0"/>
              <w:ind w:left="0" w:right="0" w:firstLine="56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fill="FFFFFF" w:val="clear"/>
              <w:suppressAutoHyphens w:val="true"/>
              <w:bidi w:val="0"/>
              <w:spacing w:lineRule="auto" w:line="276" w:before="0" w:after="0"/>
              <w:ind w:left="0" w:right="19" w:hanging="0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auto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ОКПД2 42.22.22.110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Мероприятия по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строительству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hd w:fill="FFFFFF" w:val="clear"/>
              <w:suppressAutoHyphens w:val="true"/>
              <w:bidi w:val="0"/>
              <w:spacing w:lineRule="auto" w:line="276" w:before="0" w:after="0"/>
              <w:ind w:left="0" w:right="19" w:hanging="0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auto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для технологическ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присоединен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потребите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ля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ГБУ «Строитель»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val="en-US" w:eastAsia="ru-RU"/>
              </w:rPr>
              <w:t xml:space="preserve"> в  г. Благовещенске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val="en-US" w:eastAsia="ru-RU"/>
              </w:rPr>
              <w:t>к сетям 10-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val="en-US" w:eastAsia="ru-RU"/>
              </w:rPr>
              <w:t>0,4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shd w:fill="auto" w:val="clear"/>
                <w:em w:val="none"/>
                <w:lang w:val="en-US" w:eastAsia="ru-RU"/>
              </w:rPr>
              <w:t xml:space="preserve"> кВ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numPr>
                <w:ilvl w:val="1"/>
                <w:numId w:val="2"/>
              </w:numPr>
              <w:bidi w:val="0"/>
              <w:spacing w:before="0" w:after="12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before="120" w:after="0"/>
              <w:ind w:left="0" w:right="0" w:firstLine="56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лота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keepNext w:val="true"/>
              <w:keepLines/>
              <w:bidi w:val="0"/>
              <w:spacing w:lineRule="auto" w:line="276" w:before="60" w:after="0"/>
              <w:ind w:left="-108" w:right="-108" w:hanging="0"/>
              <w:contextualSpacing w:val="false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eastAsia="en-US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numPr>
                <w:ilvl w:val="1"/>
                <w:numId w:val="2"/>
              </w:numPr>
              <w:bidi w:val="0"/>
              <w:spacing w:before="0" w:after="12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before="120" w:after="0"/>
              <w:ind w:left="0" w:right="0" w:firstLine="56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НМЦ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shd w:fill="auto" w:val="clear"/>
                <w:lang w:eastAsia="en-US"/>
              </w:rPr>
              <w:t>14 317 302,44</w:t>
            </w: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shd w:fill="auto" w:val="clear"/>
                <w:lang w:eastAsia="en-US"/>
              </w:rPr>
              <w:t xml:space="preserve"> рублей без учета НДС</w:t>
            </w:r>
          </w:p>
        </w:tc>
      </w:tr>
    </w:tbl>
    <w:p>
      <w:pPr>
        <w:pStyle w:val="Normal"/>
        <w:bidi w:val="0"/>
        <w:spacing w:before="0" w:after="120"/>
        <w:ind w:left="714" w:right="0" w:hanging="357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bidi w:val="0"/>
        <w:spacing w:before="120" w:after="120"/>
        <w:ind w:left="714" w:right="0" w:hanging="357"/>
        <w:contextualSpacing w:val="false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bidi w:val="0"/>
        <w:spacing w:before="0" w:after="0"/>
        <w:ind w:left="0" w:right="0" w:firstLine="567"/>
        <w:contextualSpacing/>
        <w:jc w:val="left"/>
        <w:rPr>
          <w:rFonts w:ascii="Times New Roman" w:hAnsi="Times New Roman"/>
          <w:b w:val="false"/>
          <w:bCs w:val="false"/>
          <w:sz w:val="26"/>
        </w:rPr>
      </w:pPr>
      <w:r>
        <w:rPr>
          <w:rFonts w:ascii="Times New Roman" w:hAnsi="Times New Roman"/>
          <w:b w:val="false"/>
          <w:bCs w:val="false"/>
          <w:sz w:val="26"/>
        </w:rPr>
        <w:t xml:space="preserve">ресурсно-индексный </w:t>
      </w:r>
      <w:r>
        <w:rPr>
          <w:rFonts w:ascii="Times New Roman" w:hAnsi="Times New Roman"/>
          <w:b w:val="false"/>
          <w:bCs w:val="false"/>
          <w:sz w:val="26"/>
        </w:rPr>
        <w:t>метод</w:t>
      </w:r>
    </w:p>
    <w:p>
      <w:pPr>
        <w:pStyle w:val="ListParagraph"/>
        <w:bidi w:val="0"/>
        <w:spacing w:before="0" w:after="0"/>
        <w:ind w:left="0" w:right="0" w:firstLine="567"/>
        <w:contextualSpacing/>
        <w:jc w:val="left"/>
        <w:rPr>
          <w:rFonts w:ascii="Times New Roman" w:hAnsi="Times New Roman"/>
          <w:b w:val="false"/>
          <w:bCs w:val="false"/>
          <w:sz w:val="26"/>
          <w:shd w:fill="auto" w:val="clear"/>
        </w:rPr>
      </w:pPr>
      <w:r>
        <w:rPr>
          <w:rFonts w:ascii="Times New Roman" w:hAnsi="Times New Roman"/>
          <w:b w:val="false"/>
          <w:bCs w:val="false"/>
          <w:sz w:val="26"/>
          <w:shd w:fill="auto" w:val="clear"/>
        </w:rPr>
        <w:t xml:space="preserve">Обоснование расчета НМЦ: </w:t>
      </w:r>
      <w:r>
        <w:rPr>
          <w:rFonts w:ascii="Times New Roman" w:hAnsi="Times New Roman"/>
          <w:b w:val="false"/>
          <w:bCs w:val="false"/>
          <w:sz w:val="26"/>
          <w:shd w:fill="auto" w:val="clear"/>
        </w:rPr>
        <w:t>приложение 3 к ТТ.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lineRule="auto" w:line="240" w:before="120" w:after="0"/>
      <w:ind w:left="720" w:right="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Style1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AlterOffice/3.3.1.3$Linux_X86_64 LibreOffice_project/90d829a0d92d6015ad4fa014ce4f460a7fe6c0ba</Application>
  <AppVersion>15.0000</AppVersion>
  <Pages>1</Pages>
  <Words>74</Words>
  <Characters>457</Characters>
  <CharactersWithSpaces>516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2025-03-19T13:26:54Z</dcterms:created>
  <dc:creator/>
  <dc:description/>
  <dc:language>ru-RU</dc:language>
  <cp:lastModifiedBy/>
  <dcterms:modified xsi:type="dcterms:W3CDTF">2026-05-22T13:05:42Z</dcterms:modified>
  <cp:revision>18</cp:revision>
  <dc:subject/>
  <dc:title/>
</cp:coreProperties>
</file>