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6926" w:leader="none"/>
        </w:tabs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«УТВЕРЖДАЮ»</w:t>
      </w:r>
    </w:p>
    <w:p>
      <w:pPr>
        <w:pStyle w:val="Normal"/>
        <w:shd w:val="clear" w:color="auto" w:fill="FFFFFF"/>
        <w:tabs>
          <w:tab w:val="clear" w:pos="708"/>
          <w:tab w:val="left" w:pos="6926" w:leader="none"/>
        </w:tabs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Директор Центрального филиала </w:t>
      </w:r>
    </w:p>
    <w:p>
      <w:pPr>
        <w:pStyle w:val="Normal"/>
        <w:shd w:val="clear" w:color="auto" w:fill="FFFFFF"/>
        <w:tabs>
          <w:tab w:val="clear" w:pos="708"/>
          <w:tab w:val="left" w:pos="6926" w:leader="none"/>
        </w:tabs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АО «ТК РусГидро»</w:t>
      </w:r>
    </w:p>
    <w:p>
      <w:pPr>
        <w:pStyle w:val="Normal"/>
        <w:shd w:val="clear" w:color="auto" w:fill="FFFFFF"/>
        <w:tabs>
          <w:tab w:val="clear" w:pos="708"/>
          <w:tab w:val="left" w:pos="6926" w:leader="none"/>
        </w:tabs>
        <w:ind w:firstLine="709"/>
        <w:jc w:val="right"/>
        <w:rPr>
          <w:bCs/>
          <w:sz w:val="22"/>
          <w:szCs w:val="22"/>
        </w:rPr>
      </w:pPr>
      <w:r>
        <w:rPr>
          <w:bCs/>
          <w:sz w:val="24"/>
          <w:szCs w:val="24"/>
        </w:rPr>
        <w:t xml:space="preserve">____________ Михайлов К.А.    </w:t>
      </w:r>
      <w:r>
        <w:rPr>
          <w:bCs/>
          <w:sz w:val="22"/>
          <w:szCs w:val="22"/>
        </w:rPr>
        <w:t xml:space="preserve">                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shd w:fill="auto" w:val="clear"/>
        </w:rPr>
        <w:t xml:space="preserve">ОКПД2 </w:t>
      </w:r>
      <w:r>
        <w:rPr>
          <w:rFonts w:eastAsia="Calibri" w:ascii="Times New Roman;serif" w:hAnsi="Times New Roman;serif"/>
          <w:sz w:val="24"/>
          <w:szCs w:val="24"/>
          <w:shd w:fill="auto" w:val="clear"/>
        </w:rPr>
        <w:t xml:space="preserve">29.32.30.390 </w:t>
      </w:r>
      <w:r>
        <w:rPr>
          <w:rFonts w:eastAsia="Calibri"/>
          <w:sz w:val="24"/>
          <w:szCs w:val="24"/>
          <w:shd w:fill="auto" w:val="clear"/>
        </w:rPr>
        <w:t xml:space="preserve"> </w:t>
      </w:r>
      <w:r>
        <w:rPr>
          <w:rFonts w:eastAsia="Calibri" w:ascii="Times New Roman;serif" w:hAnsi="Times New Roman;serif"/>
          <w:sz w:val="28"/>
          <w:szCs w:val="28"/>
          <w:shd w:fill="auto" w:val="clear"/>
        </w:rPr>
        <w:t>Поставка запасных частей для нужд Московского представительства Центрального филиала АО "ТК РусГидро"</w:t>
      </w:r>
      <w:r>
        <w:rPr>
          <w:rFonts w:eastAsia="Calibri" w:ascii="Times New Roman;serif" w:hAnsi="Times New Roman;serif"/>
          <w:sz w:val="24"/>
          <w:szCs w:val="24"/>
          <w:shd w:fill="auto" w:val="clear"/>
        </w:rPr>
        <w:t xml:space="preserve"> </w:t>
      </w:r>
      <w:r>
        <w:rPr>
          <w:rFonts w:eastAsia="Calibri" w:ascii="Times New Roman;serif" w:hAnsi="Times New Roman;serif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с использованием интернет-площадок с публичными расценками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</w:rPr>
        <w:t xml:space="preserve">ЛОТ № </w:t>
      </w:r>
    </w:p>
    <w:p>
      <w:pPr>
        <w:pStyle w:val="Normal"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3">
        <w:r>
          <w:rPr>
            <w:rFonts w:cs="Calibri Light (Заголовки)"/>
            <w:b/>
            <w:bCs/>
            <w:sz w:val="24"/>
            <w:szCs w:val="24"/>
          </w:rPr>
          <w:t>1.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 Light (Заголовки)"/>
            <w:b/>
            <w:bCs/>
            <w:sz w:val="24"/>
            <w:szCs w:val="24"/>
          </w:rPr>
          <w:t>Общие сведения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_Toc128681773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_Toc128681773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3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4">
        <w:r>
          <w:rPr>
            <w:rFonts w:cs="Calibri" w:cstheme="minorHAnsi"/>
            <w:iCs/>
            <w:sz w:val="20"/>
            <w:szCs w:val="20"/>
          </w:rPr>
          <w:t>1.1.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Обозначения и сокращения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_Toc128681774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_Toc128681774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5">
        <w:r>
          <w:rPr>
            <w:rFonts w:cs="Calibri" w:cstheme="minorHAnsi"/>
            <w:iCs/>
            <w:sz w:val="20"/>
            <w:szCs w:val="20"/>
          </w:rPr>
          <w:t>1.2.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Наименование закупаемой продукции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_Toc128681775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_Toc128681775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6">
        <w:r>
          <w:rPr>
            <w:rFonts w:cs="Calibri" w:cstheme="minorHAnsi"/>
            <w:iCs/>
            <w:sz w:val="20"/>
            <w:szCs w:val="20"/>
          </w:rPr>
          <w:t>1.3.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Цель использования закупаемой продукции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_Toc128681776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_Toc128681776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7">
        <w:r>
          <w:rPr>
            <w:rFonts w:cs="Calibri" w:cstheme="minorHAnsi"/>
            <w:iCs/>
            <w:sz w:val="20"/>
            <w:szCs w:val="20"/>
          </w:rPr>
          <w:t>1.4.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_Toc128681777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_Toc128681777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8">
        <w:r>
          <w:rPr>
            <w:rFonts w:cs="Calibri" w:cstheme="minorHAnsi"/>
            <w:iCs/>
            <w:sz w:val="20"/>
            <w:szCs w:val="20"/>
          </w:rPr>
          <w:t>1.5.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Иные требования и сведения общего характера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_Toc128681778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_Toc128681778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3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79">
        <w:r>
          <w:rPr>
            <w:rFonts w:cs="Calibri Light (Заголовки)"/>
            <w:b/>
            <w:bCs/>
            <w:sz w:val="24"/>
            <w:szCs w:val="24"/>
          </w:rPr>
          <w:t>2.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 Light (Заголовки)"/>
            <w:b/>
            <w:bCs/>
            <w:iCs/>
            <w:sz w:val="24"/>
            <w:szCs w:val="24"/>
          </w:rPr>
          <w:t>Требования к продукции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_Toc128681779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_Toc128681779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4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0">
        <w:r>
          <w:rPr>
            <w:rFonts w:cs="Calibri" w:cstheme="minorHAnsi"/>
            <w:iCs/>
            <w:sz w:val="20"/>
            <w:szCs w:val="20"/>
          </w:rPr>
          <w:t>2.1.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Требования к объемам и срокам поставки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_Toc128681780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_Toc128681780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4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28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cs="Calibri" w:cstheme="minorHAnsi"/>
          <w:sz w:val="20"/>
          <w:szCs w:val="20"/>
        </w:rPr>
        <w:t xml:space="preserve">      </w:t>
      </w:r>
      <w:hyperlink w:anchor="_Toc128681781">
        <w:r>
          <w:rPr>
            <w:rFonts w:cs="Calibri" w:cstheme="minorHAnsi"/>
            <w:sz w:val="20"/>
            <w:szCs w:val="20"/>
          </w:rPr>
          <w:t>2.1.1.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Перечень и объем закупаемой продукции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_Toc128681781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_Toc128681781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4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2">
        <w:r>
          <w:rPr>
            <w:rFonts w:cs="Calibri Light (Заголовки)"/>
            <w:b/>
            <w:bCs/>
            <w:sz w:val="24"/>
            <w:szCs w:val="24"/>
          </w:rPr>
          <w:t>Таблица 1. Перечень и объем закупаемой продукции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_Toc128681782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_Toc128681782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4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28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cs="Calibri" w:cstheme="minorHAnsi"/>
          <w:sz w:val="20"/>
          <w:szCs w:val="20"/>
        </w:rPr>
        <w:t xml:space="preserve">      </w:t>
      </w:r>
      <w:hyperlink w:anchor="_Toc128681783">
        <w:r>
          <w:rPr>
            <w:rFonts w:cs="Calibri" w:cstheme="minorHAnsi"/>
            <w:sz w:val="20"/>
            <w:szCs w:val="20"/>
          </w:rPr>
          <w:t>2.1.2.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Требования к срокам поставки продукции и оказания сопутствующих услуг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_Toc128681783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_Toc128681783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4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4">
        <w:r>
          <w:rPr>
            <w:rFonts w:cs="Calibri Light (Заголовки)"/>
            <w:b/>
            <w:bCs/>
            <w:sz w:val="24"/>
            <w:szCs w:val="24"/>
          </w:rPr>
          <w:t>Таблица 2. Требования по срокам поставки продукции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_Toc128681784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_Toc128681784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4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5">
        <w:r>
          <w:rPr>
            <w:rFonts w:cs="Calibri" w:cstheme="minorHAnsi"/>
            <w:iCs/>
            <w:sz w:val="20"/>
            <w:szCs w:val="20"/>
          </w:rPr>
          <w:t>2.2.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" w:cstheme="minorHAnsi"/>
            <w:sz w:val="20"/>
            <w:szCs w:val="20"/>
          </w:rPr>
          <w:t>Требования к качеству продукции</w:t>
        </w:r>
        <w:r>
          <w:rPr>
            <w:rFonts w:cs="Calibri" w:cstheme="minorHAnsi"/>
            <w:vanish/>
            <w:sz w:val="20"/>
            <w:szCs w:val="20"/>
          </w:rPr>
          <w:tab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fldChar w:fldCharType="begin"/>
        </w:r>
        <w:r>
          <w:rPr>
            <w:sz w:val="20"/>
            <w:szCs w:val="20"/>
            <w:vanish/>
            <w:rFonts w:cs="Calibri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rFonts w:cs="Calibri" w:cstheme="minorHAnsi"/>
            <w:vanish/>
            <w:sz w:val="20"/>
            <w:szCs w:val="20"/>
          </w:rPr>
        </w:r>
        <w:r>
          <w:rPr>
            <w:sz w:val="20"/>
            <w:szCs w:val="20"/>
            <w:vanish/>
            <w:rFonts w:cs="Calibri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_Toc128681785 \h</w:instrText>
        </w:r>
        <w:r>
          <w:rPr>
            <w:webHidden/>
          </w:rPr>
          <w:fldChar w:fldCharType="separate"/>
        </w:r>
        <w:r>
          <w:rPr>
            <w:rFonts w:cs="Calibri"/>
            <w:vanish/>
            <w:sz w:val="20"/>
            <w:szCs w:val="20"/>
          </w:rPr>
          <w:fldChar w:fldCharType="begin"/>
        </w:r>
        <w:r>
          <w:rPr>
            <w:webHidden/>
          </w:rPr>
          <w:fldChar w:fldCharType="end"/>
        </w:r>
        <w:r>
          <w:rPr>
            <w:sz w:val="20"/>
            <w:szCs w:val="20"/>
            <w:vanish/>
            <w:rFonts w:cs="Calibri"/>
          </w:rPr>
          <w:instrText xml:space="preserve"> PAGEREF _Toc128681785 \h </w:instrText>
        </w:r>
        <w:r>
          <w:rPr>
            <w:sz w:val="20"/>
            <w:szCs w:val="20"/>
            <w:vanish/>
            <w:rFonts w:cs="Calibri"/>
          </w:rPr>
          <w:fldChar w:fldCharType="separate"/>
        </w:r>
        <w:r>
          <w:rPr>
            <w:sz w:val="20"/>
            <w:szCs w:val="20"/>
            <w:vanish/>
            <w:rFonts w:cs="Calibri"/>
          </w:rPr>
          <w:t>5</w:t>
        </w:r>
        <w:r>
          <w:rPr>
            <w:sz w:val="20"/>
            <w:szCs w:val="20"/>
            <w:vanish/>
            <w:rFonts w:cs="Calibri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6">
        <w:r>
          <w:rPr>
            <w:rFonts w:cs="Calibri Light (Заголовки)"/>
            <w:b/>
            <w:bCs/>
            <w:sz w:val="24"/>
            <w:szCs w:val="24"/>
          </w:rPr>
          <w:t>Таблица 3. Требования к продукции</w:t>
        </w:r>
        <w:r>
          <w:rPr>
            <w:rFonts w:cs="Calibri Light (Заголовки)"/>
            <w:b/>
            <w:bCs/>
            <w:vanish/>
            <w:sz w:val="24"/>
            <w:szCs w:val="24"/>
          </w:rPr>
          <w:tab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vanish/>
            <w:rFonts w:cs="Calibri Light (Заголовки)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rFonts w:cs="Calibri Light (Заголовки)"/>
            <w:b/>
            <w:bCs/>
            <w:vanish/>
            <w:sz w:val="24"/>
            <w:szCs w:val="24"/>
          </w:rPr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_Toc128681786 \h</w:instrText>
        </w:r>
        <w:r>
          <w:rPr>
            <w:webHidden/>
          </w:rPr>
          <w:fldChar w:fldCharType="separate"/>
        </w:r>
        <w:r>
          <w:rPr>
            <w:rFonts w:cs="Calibri Light (Заголовки)"/>
            <w:b/>
            <w:bCs/>
            <w:vanish/>
            <w:sz w:val="24"/>
            <w:szCs w:val="24"/>
          </w:rPr>
          <w:fldChar w:fldCharType="begin"/>
        </w:r>
        <w:r>
          <w:rPr>
            <w:webHidden/>
          </w:rPr>
          <w:fldChar w:fldCharType="end"/>
        </w:r>
        <w:r>
          <w:rPr>
            <w:sz w:val="24"/>
            <w:b/>
            <w:szCs w:val="24"/>
            <w:bCs/>
            <w:vanish/>
            <w:rFonts w:cs="Calibri Light (Заголовки)"/>
          </w:rPr>
          <w:instrText xml:space="preserve"> PAGEREF _Toc128681786 \h </w:instrTex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separate"/>
        </w:r>
        <w:r>
          <w:rPr>
            <w:sz w:val="24"/>
            <w:b/>
            <w:szCs w:val="24"/>
            <w:bCs/>
            <w:vanish/>
            <w:rFonts w:cs="Calibri Light (Заголовки)"/>
          </w:rPr>
          <w:t>5</w:t>
        </w:r>
        <w:r>
          <w:rPr>
            <w:sz w:val="24"/>
            <w:b/>
            <w:szCs w:val="24"/>
            <w:bCs/>
            <w:vanish/>
            <w:rFonts w:cs="Calibri Light (Заголовки)"/>
          </w:rPr>
          <w:fldChar w:fldCharType="end"/>
        </w:r>
      </w:hyperlink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hyperlink w:anchor="_Toc128681787">
        <w:r>
          <w:rPr>
            <w:rFonts w:cs="Calibri Light (Заголовки)"/>
            <w:b/>
            <w:bCs/>
            <w:sz w:val="24"/>
            <w:szCs w:val="24"/>
          </w:rPr>
          <w:t>3.</w:t>
        </w:r>
        <w:r>
          <w:rPr>
            <w:rFonts w:eastAsia="" w:cs="" w:ascii="Calibri" w:hAnsi="Calibri" w:asciiTheme="minorHAnsi" w:cstheme="minorBidi" w:eastAsiaTheme="minorEastAsia" w:hAnsiTheme="minorHAnsi"/>
            <w:sz w:val="22"/>
            <w:szCs w:val="22"/>
          </w:rPr>
          <w:tab/>
        </w:r>
        <w:r>
          <w:rPr>
            <w:rFonts w:cs="Calibri Light (Заголовки)"/>
            <w:b/>
            <w:bCs/>
            <w:sz w:val="24"/>
            <w:szCs w:val="24"/>
          </w:rPr>
          <w:t>Требования к документации по ценообразованию на этапе закупки</w:t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fldChar w:fldCharType="begin"/>
        </w:r>
        <w:r>
          <w:rPr>
            <w:sz w:val="24"/>
            <w:b/>
            <w:szCs w:val="24"/>
            <w:bCs/>
            <w:rFonts w:cs="Calibri Light (Заголовки)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separate"/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rFonts w:cs="Calibri Light (Заголовки)"/>
            <w:b/>
            <w:bCs/>
            <w:sz w:val="24"/>
            <w:szCs w:val="24"/>
          </w:rPr>
        </w:r>
        <w:r>
          <w:rPr>
            <w:sz w:val="24"/>
            <w:b/>
            <w:szCs w:val="24"/>
            <w:bCs/>
            <w:rFonts w:cs="Calibri Light (Заголовки)"/>
          </w:rPr>
          <w:fldChar w:fldCharType="end"/>
        </w:r>
        <w:r>
          <w:rPr>
            <w:webHidden/>
          </w:rPr>
          <w:fldChar w:fldCharType="begin"/>
        </w:r>
        <w:r>
          <w:rPr>
            <w:webHidden/>
          </w:rPr>
          <w:instrText xml:space="preserve">PAGEREF _Toc128681787 \h</w:instrText>
        </w:r>
        <w:r>
          <w:rPr>
            <w:webHidden/>
          </w:rPr>
          <w:fldChar w:fldCharType="separate"/>
        </w:r>
        <w:r>
          <w:rPr>
            <w:vanish/>
          </w:rPr>
          <w:fldChar w:fldCharType="begin"/>
        </w:r>
        <w:r>
          <w:rPr>
            <w:webHidden/>
          </w:rPr>
          <w:fldChar w:fldCharType="end"/>
        </w:r>
        <w:r>
          <w:rPr>
            <w:vanish/>
          </w:rPr>
          <w:instrText xml:space="preserve"> PAGEREF _Toc128681787 \h </w:instrText>
        </w:r>
        <w:r>
          <w:rPr>
            <w:vanish/>
          </w:rPr>
          <w:fldChar w:fldCharType="separate"/>
        </w:r>
        <w:r>
          <w:rPr>
            <w:vanish/>
          </w:rPr>
          <w:t>Ошибка: источник перекрёстной ссылки не найден</w:t>
        </w:r>
        <w:r>
          <w:rPr>
            <w:vanish/>
          </w:rPr>
          <w:fldChar w:fldCharType="end"/>
        </w:r>
      </w:hyperlink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suppressAutoHyphens w:val="false"/>
        <w:ind w:left="560" w:hanging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right" w:pos="9911" w:leader="dot"/>
        </w:tabs>
        <w:suppressAutoHyphens w:val="false"/>
        <w:spacing w:before="120" w:after="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cstheme="minorBidi" w:eastAsiaTheme="minorEastAsia" w:ascii="Calibri" w:hAnsi="Calibri"/>
          <w:sz w:val="22"/>
          <w:szCs w:val="22"/>
        </w:rPr>
      </w:r>
    </w:p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28681773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128681774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9"/>
        <w:gridCol w:w="7513"/>
      </w:tblGrid>
      <w:tr>
        <w:trPr>
          <w:trHeight w:val="358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trHeight w:val="251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ПД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</w:tc>
      </w:tr>
      <w:tr>
        <w:trPr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trHeight w:val="803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tabs>
                <w:tab w:val="clear" w:pos="0"/>
                <w:tab w:val="left" w:pos="426" w:leader="none"/>
              </w:tabs>
              <w:spacing w:before="120" w:after="120"/>
              <w:ind w:left="1224" w:hanging="0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ГОСТ Р 53602-2009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7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Составные части транспортных средств. Маркировка. Общие технические требования.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4" w:name="_Toc128681775"/>
      <w:r>
        <w:rPr/>
        <w:t>Наименование закупаемой продукции</w:t>
      </w:r>
      <w:bookmarkEnd w:id="4"/>
      <w:r>
        <w:rPr>
          <w:lang w:val="ru-RU"/>
        </w:rPr>
        <w:t>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 w:ascii="Times New Roman;serif" w:hAnsi="Times New Roman;serif"/>
          <w:b w:val="false"/>
          <w:bCs/>
          <w:i w:val="false"/>
          <w:iCs w:val="false"/>
          <w:sz w:val="28"/>
          <w:szCs w:val="24"/>
          <w:shd w:fill="auto" w:val="clear"/>
          <w:lang w:eastAsia="x-none"/>
        </w:rPr>
        <w:t>ОКПД2 29.32.30.390 Поставка запасных частей для нужд Московского представительства Центрального филиала АО "ТК РусГидро"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128681776"/>
      <w:bookmarkStart w:id="6" w:name="_Toc46743507"/>
      <w:r>
        <w:rPr/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5"/>
      <w:r>
        <w:rPr>
          <w:lang w:val="ru-RU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</w:pPr>
      <w:r>
        <w:rPr>
          <w:rStyle w:val="Style8"/>
          <w:rFonts w:eastAsia="Times New Roman" w:cs="Times New Roman"/>
          <w:b w:val="false"/>
          <w:i w:val="false"/>
          <w:sz w:val="24"/>
          <w:szCs w:val="24"/>
          <w:shd w:fill="auto" w:val="clear"/>
        </w:rPr>
        <w:t xml:space="preserve">Обеспечение запасными частями транспортных средств иностранного и российского производства, расходными материалами (моторные масла, смазочные материалы и специальные жидкости, аккумуляторы) на автотранспортные средства </w:t>
      </w:r>
      <w:r>
        <w:rPr>
          <w:rStyle w:val="Style8"/>
          <w:rFonts w:eastAsia="Times New Roman" w:cs="Times New Roman"/>
          <w:b w:val="false"/>
          <w:i w:val="false"/>
          <w:color w:val="000000"/>
          <w:sz w:val="24"/>
          <w:szCs w:val="24"/>
          <w:shd w:fill="auto" w:val="clear"/>
        </w:rPr>
        <w:t xml:space="preserve">с целью поддержания подвижного состава в технически исправном состоянии и обеспечения бесперебойной работы транспортных средств </w:t>
      </w:r>
      <w:r>
        <w:rPr>
          <w:rStyle w:val="Style8"/>
          <w:rFonts w:cs="Times New Roman"/>
          <w:b w:val="false"/>
          <w:i w:val="false"/>
          <w:sz w:val="24"/>
          <w:szCs w:val="24"/>
          <w:shd w:fill="auto" w:val="clear"/>
        </w:rPr>
        <w:t>Московского представительства</w:t>
      </w:r>
      <w:r>
        <w:rPr>
          <w:rStyle w:val="Style8"/>
          <w:rFonts w:eastAsia="Times New Roman" w:cs="Times New Roman"/>
          <w:b w:val="false"/>
          <w:i w:val="false"/>
          <w:color w:val="000000"/>
          <w:sz w:val="24"/>
          <w:szCs w:val="24"/>
          <w:shd w:fill="auto" w:val="clear"/>
        </w:rPr>
        <w:t xml:space="preserve"> Центрального филиала АО «ТК РусГидро».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7" w:name="_Toc128681777"/>
      <w:bookmarkStart w:id="8" w:name="_Hlk49857604"/>
      <w:bookmarkStart w:id="9" w:name="_Toc46743509"/>
      <w:r>
        <w:rPr/>
        <w:t xml:space="preserve">Информация в отношении исполнения договора, </w:t>
      </w:r>
      <w:bookmarkStart w:id="10" w:name="_Hlk46492347"/>
      <w:r>
        <w:rPr/>
        <w:t xml:space="preserve">которая должна быть учтена при подготовке заявки </w:t>
      </w:r>
      <w:bookmarkEnd w:id="10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7"/>
      <w:bookmarkEnd w:id="8"/>
      <w:bookmarkEnd w:id="9"/>
      <w:r>
        <w:rPr>
          <w:lang w:val="ru-RU"/>
        </w:rPr>
        <w:t>: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bookmarkStart w:id="11" w:name="_Hlk48209761"/>
      <w:bookmarkEnd w:id="11"/>
      <w:r>
        <w:rPr>
          <w:sz w:val="24"/>
          <w:szCs w:val="24"/>
        </w:rPr>
        <w:t xml:space="preserve">1.4.1 Продукция должна быть новая, не бывшая в употреблении. Продукция должна быть произведена не ранее второго полугодия </w:t>
      </w:r>
      <w:r>
        <w:rPr>
          <w:sz w:val="24"/>
          <w:szCs w:val="24"/>
          <w:shd w:fill="auto" w:val="clear"/>
        </w:rPr>
        <w:t>2026г.</w:t>
      </w:r>
      <w:r>
        <w:rPr>
          <w:sz w:val="24"/>
          <w:szCs w:val="24"/>
        </w:rPr>
        <w:t xml:space="preserve"> Не допускается поставка выставочных образцов.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1.4.2. </w:t>
      </w:r>
      <w:r>
        <w:rPr>
          <w:sz w:val="24"/>
          <w:szCs w:val="24"/>
          <w:shd w:fill="auto" w:val="clear"/>
        </w:rPr>
        <w:t>Продукция (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материалы и запчасти на содержание и эксплуатацию транспортных средств Московского представительства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 xml:space="preserve"> </w:t>
      </w:r>
      <w:r>
        <w:rPr>
          <w:rStyle w:val="Style8"/>
          <w:rFonts w:eastAsia="Calibri"/>
          <w:b w:val="false"/>
          <w:bCs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ЦФ АО "ТК РусГидро"</w:t>
      </w:r>
      <w:r>
        <w:rPr>
          <w:sz w:val="24"/>
          <w:szCs w:val="24"/>
          <w:shd w:fill="auto" w:val="clear"/>
        </w:rPr>
        <w:t xml:space="preserve">) должна соответствовать требованиям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ГОСТ Р 53602-2009</w:t>
      </w:r>
      <w:r>
        <w:rPr>
          <w:sz w:val="24"/>
          <w:szCs w:val="24"/>
          <w:shd w:fill="auto" w:val="clear"/>
        </w:rPr>
        <w:t xml:space="preserve"> «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Составные части транспортных средств. Маркировка. Общие технические требования.</w:t>
      </w:r>
      <w:r>
        <w:rPr>
          <w:sz w:val="24"/>
          <w:szCs w:val="24"/>
          <w:shd w:fill="auto" w:val="clear"/>
        </w:rPr>
        <w:t>» (с учетом последних изменений).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1.4.3 Комплектность поставки должна обеспечить возможность использования продукции по прямому назначению.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1.4.4 Качество и безопасность поставляемой продукции должны соответствовать действующим стандартам и условиям, утвержденными на данный вид продукции, оформленным в соответствии с законодательством Российской Федерации.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1.4.5 На продукцию устанавливается гарантийный срок согласно гарантийному сроку завода-изготовителя.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12" w:name="_Toc128681778"/>
      <w:bookmarkStart w:id="13" w:name="_Hlk48209761_Копия_1"/>
      <w:bookmarkStart w:id="14" w:name="_Toc46743510"/>
      <w:bookmarkStart w:id="15" w:name="_Toc50125126"/>
      <w:bookmarkEnd w:id="13"/>
      <w:bookmarkEnd w:id="14"/>
      <w:bookmarkEnd w:id="15"/>
      <w:r>
        <w:rPr/>
        <w:t>Иные требования и сведения общего характера</w:t>
      </w:r>
      <w:bookmarkEnd w:id="12"/>
      <w:r>
        <w:rPr>
          <w:lang w:val="ru-RU"/>
        </w:rPr>
        <w:t>: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1.5.2 Перед поставкой, Поставщик предоставляет копии документов, подтверждающие качество поставляемой продукции (сертификаты соответствия).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1.5.3 Маркировка, упаковка должны соответствовать требованиям технических регламентов, стандартов, технических условий, устанавливающих обязательные требования к маркировке, и упаковке данного вида продукции. Упаковка продукции должна обеспечивать ее сохранность при транспортировке и хранении.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1.5.4 Приемка продукции осуществляется на основании отгрузочных документов Поставщика. Покупатель обязан принять продукцию путем её проверки на соответствие сопроводительным документам, в момент передачи продукции. При обнаружении несоответствия продукции сопроводительным документам, а также в случае несоблюдения Поставщиком условия о количестве/качестве продукции, сторонами составляется Акт рекламации.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1.5.5 В случае получения продукции в дефектной упаковке Покупатель имеет право не принимать такую продукцию.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1.5.6 В случае получения продукции с недостатками, которые выявлены в процессе установки на транспортное средство (скрытые недостатки) Покупатель имеет право направить Продавцу претензию и требовать возврат денежных средств за некачественную продукцию.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1339693"/>
      <w:bookmarkStart w:id="17" w:name="_Toc128681779"/>
      <w:r>
        <w:rPr>
          <w:iCs/>
        </w:rPr>
        <w:t>Требования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128681780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8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9" w:name="_Toc128681781"/>
      <w:r>
        <w:rPr>
          <w:lang w:val="ru-RU"/>
        </w:rPr>
        <w:t>Перечень и объем закупаемой продукции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128681782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bookmarkEnd w:id="20"/>
      <w:bookmarkEnd w:id="21"/>
      <w:r>
        <w:rPr>
          <w:rFonts w:eastAsia="Times New Roman" w:cs="Times New Roman"/>
          <w:sz w:val="24"/>
          <w:szCs w:val="24"/>
          <w:lang w:eastAsia="ru-RU"/>
        </w:rPr>
        <w:t xml:space="preserve">Перечень автотранспортных средств </w:t>
      </w:r>
      <w:r>
        <w:rPr>
          <w:rFonts w:cs="Times New Roman"/>
          <w:sz w:val="24"/>
          <w:szCs w:val="24"/>
        </w:rPr>
        <w:t xml:space="preserve">Московского представительства </w:t>
      </w:r>
      <w:r>
        <w:rPr>
          <w:rFonts w:eastAsia="Times New Roman" w:cs="Times New Roman"/>
          <w:b/>
          <w:bCs/>
          <w:sz w:val="24"/>
          <w:szCs w:val="24"/>
          <w:lang w:val="ru-RU" w:eastAsia="ru-RU"/>
        </w:rPr>
        <w:t>для выполнения поставки запасных частей и расходных материалов.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</w:r>
    </w:p>
    <w:tbl>
      <w:tblPr>
        <w:tblW w:w="86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4594"/>
        <w:gridCol w:w="2424"/>
      </w:tblGrid>
      <w:tr>
        <w:trPr>
          <w:tblHeader w:val="true"/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Марка автотранспортного средства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TOYOTA Camry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2017,2019,2020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ZEEKR 009 электровэн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2023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Toyota Land Cruiser 200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2018,2019,2020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Lexus LX 570 Luxury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2015,2017,2020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Volkswagen Multivan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2017,2020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LexusLS 500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2018,2019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Voyah Dreamer электровэн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2023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LexusLS 460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2014,2016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TOYOTA Corolla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2018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Nissan Leaf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  <w:lang w:val="en-US"/>
              </w:rPr>
              <w:t>21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Mercedes-Benz Vito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5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Hongqi H9</w:t>
            </w:r>
          </w:p>
        </w:tc>
        <w:tc>
          <w:tcPr>
            <w:tcW w:w="242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2024</w:t>
            </w:r>
          </w:p>
        </w:tc>
      </w:tr>
      <w:tr>
        <w:trPr>
          <w:trHeight w:val="227" w:hRule="atLeast"/>
        </w:trPr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45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Zeekr 9x</w:t>
            </w:r>
          </w:p>
        </w:tc>
        <w:tc>
          <w:tcPr>
            <w:tcW w:w="242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2025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128681783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поставки продукции и оказания сопутствующих услуг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128681784"/>
      <w:bookmarkStart w:id="25" w:name="_Toc50125127"/>
      <w:bookmarkStart w:id="26" w:name="_Toc51339697"/>
      <w:bookmarkStart w:id="27" w:name="_Toc50125126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поставки продукции</w:t>
      </w:r>
      <w:bookmarkEnd w:id="24"/>
      <w:r>
        <w:rPr>
          <w:sz w:val="24"/>
          <w:szCs w:val="24"/>
          <w:lang w:val="ru-RU"/>
        </w:rPr>
        <w:t xml:space="preserve"> </w:t>
      </w:r>
    </w:p>
    <w:tbl>
      <w:tblPr>
        <w:tblW w:w="10207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3118"/>
        <w:gridCol w:w="2977"/>
        <w:gridCol w:w="3260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Договора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 xml:space="preserve">Поставка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shd w:fill="auto" w:val="clear"/>
                <w:lang w:eastAsia="x-none"/>
              </w:rPr>
              <w:t>материалов и запчастей на содержание и эксплуатацию транспортных средств Московского представительства</w:t>
            </w: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Style w:val="Style8"/>
                <w:rFonts w:eastAsia="Calibri"/>
                <w:b w:val="false"/>
                <w:bCs/>
                <w:sz w:val="24"/>
                <w:szCs w:val="24"/>
                <w:shd w:fill="auto" w:val="clear"/>
                <w:lang w:eastAsia="x-none"/>
              </w:rPr>
              <w:t>ЦФ АО "ТК РусГидро"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 поставки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12 (двенадцати) месяцев, либо до исчерпания предельной суммы по Договору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 Товара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 xml:space="preserve">Поставка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shd w:fill="auto" w:val="clear"/>
                <w:lang w:eastAsia="x-none"/>
              </w:rPr>
              <w:t>материалов и запчастей на содержание и эксплуатацию транспортных средств Московского представительства</w:t>
            </w: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Style w:val="Style8"/>
                <w:rFonts w:eastAsia="Calibri"/>
                <w:b w:val="false"/>
                <w:bCs/>
                <w:sz w:val="24"/>
                <w:szCs w:val="24"/>
                <w:shd w:fill="auto" w:val="clear"/>
                <w:lang w:eastAsia="x-none"/>
              </w:rPr>
              <w:t>ЦФ АО "ТК РусГидро"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предоставления Покупателем заявки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7 (семи) календарных дней с даты предоставления Покупателем заявки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9" w:name="_Toc46743510_Копия_1"/>
      <w:bookmarkStart w:id="30" w:name="_Toc46743510_Копия_1"/>
      <w:bookmarkEnd w:id="30"/>
    </w:p>
    <w:p>
      <w:pPr>
        <w:pStyle w:val="Heading4"/>
        <w:numPr>
          <w:ilvl w:val="1"/>
          <w:numId w:val="3"/>
        </w:numPr>
        <w:rPr/>
      </w:pPr>
      <w:bookmarkStart w:id="31" w:name="_Toc51339698"/>
      <w:bookmarkStart w:id="32" w:name="_Toc128681785"/>
      <w:bookmarkStart w:id="33" w:name="_Toc46743511"/>
      <w:r>
        <w:rPr/>
        <w:t xml:space="preserve">Требования к </w:t>
      </w:r>
      <w:bookmarkEnd w:id="33"/>
      <w:r>
        <w:rPr>
          <w:lang w:val="ru-RU"/>
        </w:rPr>
        <w:t>качеству продукции</w:t>
      </w:r>
      <w:bookmarkEnd w:id="3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4" w:name="_Toc12868178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4"/>
      <w:r>
        <w:rPr>
          <w:sz w:val="24"/>
          <w:szCs w:val="24"/>
        </w:rPr>
        <w:t xml:space="preserve"> </w:t>
      </w:r>
      <w:bookmarkEnd w:id="31"/>
    </w:p>
    <w:tbl>
      <w:tblPr>
        <w:tblStyle w:val="affff6"/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2494"/>
        <w:gridCol w:w="3038"/>
        <w:gridCol w:w="1699"/>
        <w:gridCol w:w="1278"/>
        <w:gridCol w:w="1272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4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0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29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0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0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49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30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Характеристика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700" w:hRule="atLeast"/>
        </w:trPr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/>
            </w:pPr>
            <w:r>
              <w:rPr>
                <w:rFonts w:eastAsia="Calibri"/>
                <w:i w:val="false"/>
                <w:iCs w:val="false"/>
                <w:sz w:val="20"/>
                <w:szCs w:val="20"/>
                <w:shd w:fill="auto" w:val="clear"/>
                <w:lang w:val="en-US" w:eastAsia="x-none"/>
              </w:rPr>
              <w:t>Оригинальные  (аналоги - по согласованию) м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sz w:val="20"/>
                <w:szCs w:val="20"/>
                <w:shd w:fill="auto" w:val="clear"/>
                <w:lang w:val="en-US" w:eastAsia="x-none"/>
              </w:rPr>
              <w:t xml:space="preserve">атериалы и запчасти для транспортных средств </w:t>
            </w:r>
            <w:r>
              <w:rPr>
                <w:rStyle w:val="Style8"/>
                <w:rFonts w:eastAsia="Calibri" w:cs="Times New Roman"/>
                <w:b w:val="false"/>
                <w:bCs/>
                <w:i w:val="false"/>
                <w:iCs w:val="false"/>
                <w:sz w:val="20"/>
                <w:szCs w:val="20"/>
                <w:shd w:fill="auto" w:val="clear"/>
                <w:lang w:val="en-US" w:eastAsia="x-none"/>
              </w:rPr>
              <w:t>иностранного производства.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Продукция должна быть новой и соответствовать указанной марке;</w:t>
            </w:r>
          </w:p>
        </w:tc>
        <w:tc>
          <w:tcPr>
            <w:tcW w:w="16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02" w:hRule="atLeast"/>
        </w:trPr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Продукция должна быть новой и свободной от любых прав и притязаний третьих лиц;</w:t>
            </w:r>
          </w:p>
        </w:tc>
        <w:tc>
          <w:tcPr>
            <w:tcW w:w="16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Продукция должна соответствовать ГОСТу или ТУ;</w:t>
            </w:r>
          </w:p>
        </w:tc>
        <w:tc>
          <w:tcPr>
            <w:tcW w:w="16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tbl>
      <w:tblPr>
        <w:tblStyle w:val="2e"/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2556"/>
        <w:gridCol w:w="2977"/>
        <w:gridCol w:w="1698"/>
        <w:gridCol w:w="1278"/>
        <w:gridCol w:w="1272"/>
      </w:tblGrid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2.</w:t>
            </w:r>
          </w:p>
        </w:tc>
        <w:tc>
          <w:tcPr>
            <w:tcW w:w="55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255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Место поставки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 Москва, ул. Волоколамское шоссе д.2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3.</w:t>
            </w:r>
          </w:p>
        </w:tc>
        <w:tc>
          <w:tcPr>
            <w:tcW w:w="55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3.1.</w:t>
            </w:r>
          </w:p>
        </w:tc>
        <w:tc>
          <w:tcPr>
            <w:tcW w:w="255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Товарно-транспортная накладная, копии документов, подтверждающие качество поставляемой продукции заверенные печатью Поставщика</w:t>
            </w:r>
          </w:p>
        </w:tc>
        <w:tc>
          <w:tcPr>
            <w:tcW w:w="1698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426" w:hanging="426"/>
        <w:rPr>
          <w:lang w:val="ru-RU"/>
        </w:rPr>
      </w:pPr>
      <w:r>
        <w:rPr>
          <w:lang w:val="ru-RU"/>
        </w:rPr>
        <w:t>Требования к документации по ценообразованию на этапе закупки</w:t>
      </w:r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r>
        <w:rPr>
          <w:b w:val="false"/>
        </w:rPr>
        <w:t>В цену Товара должны быть включены все затраты, связанные с исполнением обязательств по поставке Товара, в том числе, все налоги, сборы и пошлины, расходы на доставку Товара, погрузку и разгрузку, иные расходы, связанные с исполнением обязательств по Договору.</w:t>
      </w:r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r>
        <w:rPr>
          <w:b w:val="false"/>
        </w:rPr>
        <w:t>Цена единицы Товара остается фиксированной на весь срок действия Договора. Индексация Цены единицы Товара не предусмотрена.</w:t>
      </w:r>
    </w:p>
    <w:p>
      <w:pPr>
        <w:pStyle w:val="Heading4"/>
        <w:numPr>
          <w:ilvl w:val="1"/>
          <w:numId w:val="3"/>
        </w:numPr>
        <w:ind w:left="0" w:hanging="0"/>
        <w:jc w:val="both"/>
        <w:rPr>
          <w:b w:val="false"/>
        </w:rPr>
      </w:pPr>
      <w:r>
        <w:rPr>
          <w:b w:val="false"/>
        </w:rPr>
        <w:t>Покупатель оставляет за собой право не выбирать полный объем Товара, указанный в настоящих технических требованиях.</w:t>
      </w:r>
    </w:p>
    <w:p>
      <w:pPr>
        <w:pStyle w:val="ListParagraph"/>
        <w:numPr>
          <w:ilvl w:val="1"/>
          <w:numId w:val="3"/>
        </w:numPr>
        <w:ind w:left="0" w:hanging="0"/>
        <w:rPr>
          <w:lang w:eastAsia="x-none"/>
        </w:rPr>
      </w:pPr>
      <w:r>
        <w:rPr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tabs>
          <w:tab w:val="clear" w:pos="0"/>
        </w:tabs>
        <w:ind w:left="0" w:hanging="0"/>
        <w:rPr>
          <w:b w:val="false"/>
          <w:iCs/>
          <w:sz w:val="24"/>
          <w:szCs w:val="24"/>
          <w:lang w:val="ru-RU"/>
        </w:rPr>
      </w:pPr>
      <w:r>
        <w:rPr>
          <w:b w:val="false"/>
          <w:iCs/>
          <w:sz w:val="24"/>
          <w:szCs w:val="24"/>
        </w:rPr>
        <w:t>Руководитель МП</w:t>
      </w:r>
      <w:r>
        <w:rPr>
          <w:b w:val="false"/>
          <w:iCs/>
          <w:sz w:val="24"/>
          <w:szCs w:val="24"/>
          <w:lang w:val="ru-RU"/>
        </w:rPr>
        <w:t xml:space="preserve">                                                                        ______________ И. Е. Емельянов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Руководитель группы контроля эксплуатации, 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обслуживания и ремонта технических средств                         ______________ А. Н. Пышкин</w:t>
      </w:r>
    </w:p>
    <w:p>
      <w:pPr>
        <w:pStyle w:val="Normal"/>
        <w:ind w:left="851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  <w:lang w:eastAsia="en-US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82578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82578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Текст Знак"/>
    <w:basedOn w:val="DefaultParagraphFont"/>
    <w:link w:val="PlainText"/>
    <w:uiPriority w:val="99"/>
    <w:semiHidden/>
    <w:qFormat/>
    <w:rsid w:val="00ad39ca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e318d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[РГ] Текст"/>
    <w:basedOn w:val="Normal"/>
    <w:qFormat/>
    <w:rsid w:val="00c82578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PlainText">
    <w:name w:val="Plain Text"/>
    <w:basedOn w:val="Normal"/>
    <w:link w:val="Style15"/>
    <w:uiPriority w:val="99"/>
    <w:semiHidden/>
    <w:unhideWhenUsed/>
    <w:qFormat/>
    <w:rsid w:val="00ad39ca"/>
    <w:pPr>
      <w:suppressAutoHyphens w:val="false"/>
    </w:pPr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ad39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A2A9-33DB-4330-B6A8-DE60576A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Application>AlterOffice/3.4.0.9$Linux_X86_64 LibreOffice_project/b8daf9e823b1a5463a2f48435ddc2e8696e7d4fc</Application>
  <AppVersion>15.0000</AppVersion>
  <Pages>6</Pages>
  <Words>1030</Words>
  <Characters>7172</Characters>
  <CharactersWithSpaces>7431</CharactersWithSpaces>
  <Paragraphs>183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2024-01-30T06:43:00Z</dcterms:created>
  <dc:creator>Быстров Олег Геннадьевич</dc:creator>
  <dc:description/>
  <dc:language>ru-RU</dc:language>
  <cp:lastModifiedBy>kononenkoev@corp.gidroogk.com</cp:lastModifiedBy>
  <cp:lastPrinted>2024-02-14T12:50:00Z</cp:lastPrinted>
  <dcterms:modified xsi:type="dcterms:W3CDTF">2026-07-09T14:30:49Z</dcterms:modified>
  <cp:revision>102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