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К.А.Михайлов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/>
      </w:pPr>
      <w:r>
        <w:rPr>
          <w:rStyle w:val="Style24"/>
          <w:rFonts w:eastAsia="Calibri"/>
          <w:b w:val="false"/>
          <w:bCs w:val="false"/>
          <w:i w:val="false"/>
          <w:iCs w:val="false"/>
          <w:color w:val="000000"/>
          <w:sz w:val="28"/>
          <w:szCs w:val="28"/>
          <w:lang w:eastAsia="x-none"/>
        </w:rPr>
        <w:t>ОКПД 2: 81.21.10.000 «Оказание услуг  по клининговому обслуживанию арендуемых помещений для нужд   Центрального филиала АО «ТК РусГидро»»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«ТК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</w:t>
      </w:r>
      <w:r>
        <w:rPr>
          <w:rFonts w:eastAsia="Calibri"/>
          <w:b w:val="false"/>
          <w:bCs w:val="false"/>
        </w:rPr>
        <w:t xml:space="preserve"> </w:t>
      </w:r>
      <w:r>
        <w:rPr>
          <w:rStyle w:val="Style24"/>
          <w:rFonts w:eastAsia="Calibri"/>
          <w:b w:val="false"/>
          <w:bCs w:val="false"/>
          <w:i w:val="false"/>
          <w:iCs w:val="false"/>
          <w:color w:val="000000"/>
          <w:sz w:val="24"/>
          <w:szCs w:val="24"/>
          <w:lang w:eastAsia="x-none"/>
        </w:rPr>
        <w:t>ОКПД 2: 81.21.10.000 «Оказание услуг  по клининговому обслуживанию арендуемых помещений для нужд   Центрального филиала АО «ТК РусГидро»»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6. Срок подачи технико-коммерческих предложений: до 1</w:t>
      </w:r>
      <w:r>
        <w:rPr>
          <w:rFonts w:eastAsia="Calibri"/>
        </w:rPr>
        <w:t>6</w:t>
      </w:r>
      <w:r>
        <w:rPr>
          <w:rFonts w:eastAsia="Calibri"/>
          <w:shd w:fill="auto" w:val="clear"/>
        </w:rPr>
        <w:t>.0</w:t>
      </w:r>
      <w:r>
        <w:rPr>
          <w:rFonts w:eastAsia="Calibri"/>
          <w:shd w:fill="auto" w:val="clear"/>
        </w:rPr>
        <w:t>7</w:t>
      </w:r>
      <w:r>
        <w:rPr>
          <w:rFonts w:eastAsia="Calibri"/>
          <w:shd w:fill="auto" w:val="clear"/>
        </w:rPr>
        <w:t xml:space="preserve">.2026 </w:t>
      </w:r>
      <w:r>
        <w:rPr>
          <w:rFonts w:eastAsia="Calibri"/>
          <w:shd w:fill="auto" w:val="clear"/>
        </w:rPr>
        <w:t>08</w:t>
      </w:r>
      <w:r>
        <w:rPr>
          <w:rFonts w:eastAsia="Calibri"/>
          <w:shd w:fill="auto" w:val="clear"/>
        </w:rPr>
        <w:t>:00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 xml:space="preserve">2. </w:t>
      </w:r>
      <w:r>
        <w:rPr/>
        <w:t>Приложение №2 -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3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4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5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6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7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9" w:customStyle="1">
    <w:name w:val="Тема примечания Знак"/>
    <w:basedOn w:val="Style8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0" w:customStyle="1">
    <w:name w:val="Заголовок Знак"/>
    <w:basedOn w:val="DefaultParagraphFont"/>
    <w:link w:val="16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1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5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2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3" w:customStyle="1">
    <w:name w:val="Основной текст_"/>
    <w:link w:val="36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4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Ссылка указателя"/>
    <w:qFormat/>
    <w:rPr/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2">
    <w:name w:val="Пункт2 Знак"/>
    <w:qFormat/>
    <w:rPr>
      <w:b/>
      <w:sz w:val="2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Текст концевой сноски Знак"/>
    <w:basedOn w:val="DefaultParagraphFont"/>
    <w:qFormat/>
    <w:rPr/>
  </w:style>
  <w:style w:type="character" w:styleId="34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20">
    <w:name w:val="Подподпункт Знак"/>
    <w:qFormat/>
    <w:rPr>
      <w:sz w:val="26"/>
      <w:szCs w:val="26"/>
    </w:rPr>
  </w:style>
  <w:style w:type="character" w:styleId="Blk">
    <w:name w:val="blk"/>
    <w:qFormat/>
    <w:rPr/>
  </w:style>
  <w:style w:type="character" w:styleId="12">
    <w:name w:val="Подпункт Знак1"/>
    <w:qFormat/>
    <w:rPr>
      <w:sz w:val="28"/>
    </w:rPr>
  </w:style>
  <w:style w:type="character" w:styleId="Style2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22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3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23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13">
    <w:name w:val="Гиперссылка1"/>
    <w:qFormat/>
    <w:rPr>
      <w:color w:val="0000FF"/>
      <w:u w:val="single"/>
    </w:rPr>
  </w:style>
  <w:style w:type="character" w:styleId="FootnoteCharacters">
    <w:name w:val="Footnote Characters"/>
    <w:qFormat/>
    <w:rPr>
      <w:vertAlign w:val="superscript"/>
    </w:rPr>
  </w:style>
  <w:style w:type="character" w:styleId="Style24">
    <w:name w:val="Основной шрифт абзаца"/>
    <w:qFormat/>
    <w:rPr/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2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8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4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5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5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9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30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31" w:customStyle="1">
    <w:name w:val="Подпункт"/>
    <w:basedOn w:val="Style30"/>
    <w:qFormat/>
    <w:rsid w:val="00ab7d31"/>
    <w:pPr/>
    <w:rPr/>
  </w:style>
  <w:style w:type="paragraph" w:styleId="Style32" w:customStyle="1">
    <w:name w:val="Подподпункт"/>
    <w:basedOn w:val="Style31"/>
    <w:qFormat/>
    <w:rsid w:val="00ab7d31"/>
    <w:pPr/>
    <w:rPr/>
  </w:style>
  <w:style w:type="paragraph" w:styleId="Style33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34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6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5" w:customStyle="1">
    <w:name w:val="Раздел договора"/>
    <w:basedOn w:val="Normal"/>
    <w:next w:val="Style33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6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8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9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6" w:customStyle="1">
    <w:name w:val="Заголовок1"/>
    <w:basedOn w:val="Normal"/>
    <w:link w:val="Style10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1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7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4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5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8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6" w:customStyle="1">
    <w:name w:val="Основной текст3"/>
    <w:basedOn w:val="Normal"/>
    <w:link w:val="Style13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7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5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8" w:customStyle="1">
    <w:name w:val="Содержимое врезки"/>
    <w:basedOn w:val="Normal"/>
    <w:qFormat/>
    <w:pPr/>
    <w:rPr/>
  </w:style>
  <w:style w:type="paragraph" w:styleId="Style39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0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41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9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26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110">
    <w:name w:val="Стиль Заголовок 1 + по ширине"/>
    <w:basedOn w:val="Heading1"/>
    <w:qFormat/>
    <w:pPr>
      <w:keepLines/>
      <w:tabs>
        <w:tab w:val="clear" w:pos="72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42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43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111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38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8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1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9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5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9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2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44">
    <w:name w:val="Приложение к регламенту"/>
    <w:basedOn w:val="Normal"/>
    <w:qFormat/>
    <w:pPr>
      <w:jc w:val="right"/>
    </w:pPr>
    <w:rPr/>
  </w:style>
  <w:style w:type="paragraph" w:styleId="Style45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10">
    <w:name w:val="Пункт2"/>
    <w:basedOn w:val="Normal"/>
    <w:qFormat/>
    <w:pPr>
      <w:keepNext w:val="true"/>
      <w:numPr>
        <w:ilvl w:val="0"/>
        <w:numId w:val="0"/>
      </w:numPr>
      <w:tabs>
        <w:tab w:val="clear" w:pos="720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113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10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6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47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48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11">
    <w:name w:val="index heading1111"/>
    <w:basedOn w:val="Title"/>
    <w:qFormat/>
    <w:pPr/>
    <w:rPr/>
  </w:style>
  <w:style w:type="paragraph" w:styleId="Caption111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">
    <w:name w:val="index heading111"/>
    <w:basedOn w:val="Title"/>
    <w:qFormat/>
    <w:pPr/>
    <w:rPr/>
  </w:style>
  <w:style w:type="paragraph" w:styleId="Indexheading11">
    <w:name w:val="index heading11"/>
    <w:basedOn w:val="Title"/>
    <w:qFormat/>
    <w:pPr/>
    <w:rPr/>
  </w:style>
  <w:style w:type="paragraph" w:styleId="Indexheading12">
    <w:name w:val="index heading12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5" w:customStyle="1">
    <w:name w:val="Нет списка1"/>
    <w:uiPriority w:val="99"/>
    <w:semiHidden/>
    <w:unhideWhenUsed/>
    <w:qFormat/>
    <w:rsid w:val="00d32e72"/>
  </w:style>
  <w:style w:type="numbering" w:styleId="212" w:customStyle="1">
    <w:name w:val="Нет списка2"/>
    <w:uiPriority w:val="99"/>
    <w:semiHidden/>
    <w:unhideWhenUsed/>
    <w:qFormat/>
    <w:rsid w:val="00a26d62"/>
  </w:style>
  <w:style w:type="numbering" w:styleId="312" w:customStyle="1">
    <w:name w:val="Нет списка3"/>
    <w:uiPriority w:val="99"/>
    <w:semiHidden/>
    <w:unhideWhenUsed/>
    <w:qFormat/>
    <w:rsid w:val="00cd0a03"/>
  </w:style>
  <w:style w:type="numbering" w:styleId="116" w:customStyle="1">
    <w:name w:val="Нет списка11"/>
    <w:uiPriority w:val="99"/>
    <w:semiHidden/>
    <w:unhideWhenUsed/>
    <w:qFormat/>
    <w:rsid w:val="00cd0a03"/>
  </w:style>
  <w:style w:type="numbering" w:styleId="213" w:customStyle="1">
    <w:name w:val="Нет списка21"/>
    <w:uiPriority w:val="99"/>
    <w:semiHidden/>
    <w:unhideWhenUsed/>
    <w:qFormat/>
    <w:rsid w:val="00cd0a03"/>
  </w:style>
  <w:style w:type="numbering" w:styleId="117">
    <w:name w:val="Стиль1"/>
    <w:qFormat/>
  </w:style>
  <w:style w:type="numbering" w:styleId="214">
    <w:name w:val="Стиль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AlterOffice/3.4.0.9$Linux_X86_64 LibreOffice_project/b8daf9e823b1a5463a2f48435ddc2e8696e7d4fc</Application>
  <AppVersion>15.0000</AppVersion>
  <DocSecurity>4</DocSecurity>
  <Pages>2</Pages>
  <Words>465</Words>
  <Characters>3234</Characters>
  <CharactersWithSpaces>3801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kononenkoev@corp.gidroogk.com</cp:lastModifiedBy>
  <cp:lastPrinted>2025-06-09T09:40:49Z</cp:lastPrinted>
  <dcterms:modified xsi:type="dcterms:W3CDTF">2026-07-14T16:43:07Z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