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Директор</w:t>
      </w:r>
    </w:p>
    <w:p>
      <w:pPr>
        <w:pStyle w:val="Normal"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  </w:t>
      </w:r>
      <w:r>
        <w:rPr>
          <w:b w:val="false"/>
          <w:bCs w:val="false"/>
          <w:sz w:val="24"/>
          <w:szCs w:val="24"/>
        </w:rPr>
        <w:t xml:space="preserve">Центрального филиала 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_____________К.А. Михайлов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left"/>
        <w:rPr/>
      </w:pPr>
      <w:r>
        <w:rPr>
          <w:rStyle w:val="Style16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lang w:eastAsia="x-none"/>
        </w:rPr>
        <w:t>ОКПД 2: 81.21.10.000 «Оказание услуг  по клининговому обслуживанию арендуемых помещений для нужд   Центрального филиала АО «ТК РусГидро»»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76" w:before="120" w:after="120"/>
        <w:jc w:val="center"/>
        <w:rPr>
          <w:i w:val="false"/>
          <w:i w:val="false"/>
        </w:rPr>
      </w:pP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7152-АХР ДОР-2026-ТК_Центр_фил</w:t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 w:eastAsia="Calibri"/>
          <w:b w:val="false"/>
          <w:bCs w:val="false"/>
          <w:i/>
          <w:i/>
          <w:color w:val="auto"/>
          <w:sz w:val="28"/>
          <w:szCs w:val="28"/>
        </w:rPr>
      </w:pPr>
      <w:r>
        <w:rPr>
          <w:rFonts w:eastAsia="Calibri"/>
          <w:b w:val="false"/>
          <w:bCs w:val="false"/>
          <w:i/>
          <w:color w:val="auto"/>
          <w:sz w:val="28"/>
          <w:szCs w:val="28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righ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" w:name="_Toc125378692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43"/>
        <w:gridCol w:w="7637"/>
      </w:tblGrid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jc w:val="left"/>
        <w:rPr/>
      </w:pPr>
      <w:r>
        <w:rPr>
          <w:rStyle w:val="Style16"/>
          <w:rFonts w:eastAsia="Calibri"/>
          <w:bCs/>
          <w:i w:val="false"/>
          <w:iCs w:val="false"/>
          <w:color w:val="000000"/>
          <w:sz w:val="24"/>
          <w:szCs w:val="24"/>
          <w:lang w:eastAsia="x-none"/>
        </w:rPr>
        <w:t>ОКПД 2: 81.21.10.000 «Оказание услуг  по клининговому обслуживанию арендуемых помещений для нужд   Центрального филиала АО «ТК РусГидро»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Normal"/>
        <w:ind w:left="0" w:right="0" w:hanging="0"/>
        <w:jc w:val="both"/>
        <w:rPr/>
      </w:pPr>
      <w:r>
        <w:rPr>
          <w:rStyle w:val="Style16"/>
          <w:rFonts w:eastAsia="Times New Roman"/>
          <w:b w:val="false"/>
          <w:color w:val="000000"/>
          <w:sz w:val="24"/>
          <w:szCs w:val="24"/>
          <w:lang w:val="ru-RU" w:eastAsia="ru-RU"/>
        </w:rPr>
        <w:t xml:space="preserve">Обеспечение санитарно-гигиенических норм, создание комфортной и безопасной среды в арендуемых помещениях </w:t>
      </w:r>
      <w:r>
        <w:rPr>
          <w:rFonts w:eastAsia="Times New Roman"/>
          <w:b w:val="false"/>
          <w:sz w:val="24"/>
          <w:szCs w:val="24"/>
          <w:lang w:val="ru-RU" w:eastAsia="ru-RU"/>
        </w:rPr>
        <w:t>с целью создания благоприятных условий труда для персонала</w:t>
      </w:r>
      <w:r>
        <w:rPr>
          <w:rStyle w:val="Style16"/>
          <w:rFonts w:eastAsia="Times New Roman"/>
          <w:b w:val="false"/>
          <w:color w:val="000000"/>
          <w:sz w:val="24"/>
          <w:szCs w:val="24"/>
          <w:lang w:val="ru-RU" w:eastAsia="ru-RU"/>
        </w:rPr>
        <w:t xml:space="preserve"> Центрального филиала  АО «ТК РусГидро».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6" w:name="_Toc125378696"/>
      <w:r>
        <w:rPr>
          <w:sz w:val="24"/>
          <w:szCs w:val="24"/>
        </w:rPr>
        <w:t xml:space="preserve"> </w:t>
      </w:r>
      <w:bookmarkStart w:id="7" w:name="_Toc54643699"/>
      <w:bookmarkEnd w:id="6"/>
      <w:r>
        <w:rPr>
          <w:sz w:val="24"/>
          <w:szCs w:val="24"/>
          <w:lang w:val="ru-RU"/>
        </w:rPr>
        <w:t>Таблица 1. Перечень объектов заказчика</w:t>
      </w:r>
      <w:bookmarkEnd w:id="7"/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42"/>
        <w:gridCol w:w="4138"/>
        <w:gridCol w:w="1864"/>
        <w:gridCol w:w="2789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уборки, м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 объекта</w:t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  <w:t>Этаж 1, офисное помещение 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С понедельника по пятницу 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(с 8-00 до 17-00)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воскресение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(выходные дни</w:t>
            </w:r>
            <w:r>
              <w:rPr>
                <w:sz w:val="26"/>
                <w:szCs w:val="26"/>
                <w:lang w:val="ru-RU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20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24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28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29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30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42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12,2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43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44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17,9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45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49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18,00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50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18,00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25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26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27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34,3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32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54,2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33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30,6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36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18,0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офисное помещение 37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18,0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</w:t>
            </w:r>
          </w:p>
        </w:tc>
        <w:tc>
          <w:tcPr>
            <w:tcW w:w="4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 1, Помещение 41 (Душевая/туалетная комната)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- общая площадь уборки: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427,6</w:t>
            </w:r>
          </w:p>
        </w:tc>
        <w:tc>
          <w:tcPr>
            <w:tcW w:w="2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0" w:right="0" w:hanging="0"/>
        <w:jc w:val="both"/>
        <w:rPr/>
      </w:pPr>
      <w:bookmarkStart w:id="8" w:name="_Toc125378697"/>
      <w:r>
        <w:rPr/>
        <w:t xml:space="preserve">Информация в отношении исполнения договора, </w:t>
      </w:r>
      <w:bookmarkStart w:id="9" w:name="_Hlk46492347"/>
      <w:r>
        <w:rPr/>
        <w:t xml:space="preserve">которая должна быть учтена при подготовке заявки </w:t>
      </w:r>
      <w:bookmarkEnd w:id="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8"/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1.4.1. Исполнитель, для выполнения работ на территории Заказчика, привлекает работников, имеющих гражданство Российской Федерации.</w:t>
      </w:r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1.4.2. При оказании услуг работники Исполнителя должны соблюдать правила охраны труда, техники безопасности, пожарной и экологической безопасности. Вся полнота ответственности при оказании услуг на объекте за соблюдением норм и правил по технике безопасности, пожарной и экологической безопасности возлагается на Исполнителя.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1.4.3. При оказании услуг все работники Исполнителя должны выполнять работы в спецодежде (халаты, костюмы и тд.).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left"/>
        <w:rPr>
          <w:sz w:val="24"/>
          <w:szCs w:val="24"/>
        </w:rPr>
      </w:pPr>
      <w:bookmarkStart w:id="10" w:name="_Toc125378698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1" w:name="_Toc12537869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Heading2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907" w:right="0" w:hanging="907"/>
        <w:jc w:val="left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12" w:name="_Toc125378700"/>
      <w:r>
        <w:rPr/>
        <w:t>Требования к перечню и объему услуг</w:t>
      </w:r>
      <w:bookmarkEnd w:id="12"/>
    </w:p>
    <w:p>
      <w:pPr>
        <w:pStyle w:val="Heading1"/>
        <w:keepLines/>
        <w:numPr>
          <w:ilvl w:val="0"/>
          <w:numId w:val="0"/>
        </w:numPr>
        <w:spacing w:before="0" w:after="60"/>
        <w:ind w:left="0" w:right="0" w:hanging="0"/>
        <w:rPr>
          <w:sz w:val="24"/>
          <w:szCs w:val="24"/>
          <w:lang w:val="ru-RU"/>
        </w:rPr>
      </w:pPr>
      <w:bookmarkStart w:id="13" w:name="_Toc125378701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5091"/>
        <w:gridCol w:w="2166"/>
        <w:gridCol w:w="170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rFonts w:eastAsia="Calibri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ОКПД 2: 81.21.10.000 «Оказание услуг  по клининговому обслуживанию арендуемых помещений для нужд   Центрального филиала АО «ТК РусГидро»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неделю</w:t>
            </w:r>
          </w:p>
        </w:tc>
      </w:tr>
    </w:tbl>
    <w:p>
      <w:pPr>
        <w:pStyle w:val="Heading3"/>
        <w:numPr>
          <w:ilvl w:val="2"/>
          <w:numId w:val="3"/>
        </w:numPr>
        <w:ind w:left="1224" w:right="0" w:hanging="504"/>
        <w:rPr>
          <w:lang w:val="ru-RU"/>
        </w:rPr>
      </w:pPr>
      <w:bookmarkStart w:id="15" w:name="_Toc125378702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оказания услуг</w:t>
      </w:r>
      <w:bookmarkEnd w:id="15"/>
    </w:p>
    <w:p>
      <w:pPr>
        <w:pStyle w:val="Heading1"/>
        <w:numPr>
          <w:ilvl w:val="0"/>
          <w:numId w:val="0"/>
        </w:numPr>
        <w:ind w:left="4678" w:right="0" w:hanging="4678"/>
        <w:rPr>
          <w:sz w:val="24"/>
          <w:szCs w:val="24"/>
        </w:rPr>
      </w:pPr>
      <w:bookmarkStart w:id="17" w:name="_Toc125378703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100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3"/>
        <w:gridCol w:w="4384"/>
        <w:gridCol w:w="2334"/>
        <w:gridCol w:w="2478"/>
      </w:tblGrid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 услуг </w:t>
            </w:r>
          </w:p>
        </w:tc>
      </w:tr>
      <w:tr>
        <w:trPr>
          <w:trHeight w:val="150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rFonts w:eastAsia="Calibri"/>
                <w:bCs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ОКПД 2: 81.21.10.000 «Оказание услуг  по клининговому обслуживанию арендуемых помещений для нужд   Центрального филиала АО «ТК РусГидро»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В течение 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месяцев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>
          <w:lang w:val="ru-RU"/>
        </w:rPr>
      </w:pPr>
      <w:bookmarkStart w:id="18" w:name="_Toc125378704"/>
      <w:bookmarkStart w:id="19" w:name="_Toc46743511"/>
      <w:bookmarkStart w:id="20" w:name="_Toc51339698"/>
      <w:bookmarkStart w:id="21" w:name="_Toc50125131"/>
      <w:bookmarkEnd w:id="20"/>
      <w:bookmarkEnd w:id="21"/>
      <w:r>
        <w:rPr/>
        <w:t xml:space="preserve">Требования к </w:t>
      </w:r>
      <w:bookmarkEnd w:id="19"/>
      <w:r>
        <w:rPr>
          <w:lang w:val="ru-RU"/>
        </w:rPr>
        <w:t>качеству услуг</w:t>
      </w:r>
      <w:bookmarkEnd w:id="18"/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>: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Style w:val="Style16"/>
          <w:rFonts w:eastAsia="Calibri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ОКПД 2: 81.21.10.000 «Оказание услуг  по клининговому обслуживанию арендуемых помещений для нужд   Центрального филиала АО «ТК РусГидро»</w:t>
      </w:r>
    </w:p>
    <w:p>
      <w:pPr>
        <w:pStyle w:val="Normal"/>
        <w:rPr/>
      </w:pPr>
      <w:r>
        <w:rPr>
          <w:b/>
          <w:bCs/>
          <w:sz w:val="24"/>
          <w:szCs w:val="24"/>
          <w:shd w:fill="auto" w:val="clear"/>
        </w:rPr>
        <w:t xml:space="preserve"> </w:t>
      </w:r>
      <w:r>
        <w:rPr>
          <w:rStyle w:val="Style8"/>
          <w:b w:val="false"/>
          <w:iCs/>
          <w:sz w:val="24"/>
          <w:szCs w:val="24"/>
          <w:shd w:fill="auto" w:val="clear"/>
        </w:rPr>
        <w:t xml:space="preserve"> </w:t>
      </w:r>
    </w:p>
    <w:tbl>
      <w:tblPr>
        <w:tblStyle w:val="af"/>
        <w:tblW w:w="149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4"/>
        <w:gridCol w:w="25"/>
        <w:gridCol w:w="5611"/>
        <w:gridCol w:w="4993"/>
        <w:gridCol w:w="1651"/>
        <w:gridCol w:w="1847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63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34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3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2"/>
          </w:p>
        </w:tc>
        <w:tc>
          <w:tcPr>
            <w:tcW w:w="56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2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1651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0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0"/>
                <w:szCs w:val="24"/>
                <w:lang w:val="ru-RU" w:eastAsia="ru-RU" w:bidi="ar-SA"/>
              </w:rPr>
              <w:t>техническим требованиям</w:t>
            </w:r>
          </w:p>
        </w:tc>
        <w:tc>
          <w:tcPr>
            <w:tcW w:w="1847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56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ind w:left="0" w:right="0" w:hanging="0"/>
              <w:jc w:val="both"/>
              <w:rPr/>
            </w:pPr>
            <w:r>
              <w:rPr>
                <w:rStyle w:val="Style16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Место оказания услуг:</w:t>
            </w:r>
          </w:p>
        </w:tc>
        <w:tc>
          <w:tcPr>
            <w:tcW w:w="4993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0" w:right="0" w:firstLine="567"/>
              <w:jc w:val="left"/>
              <w:rPr/>
            </w:pPr>
            <w:r>
              <w:rPr>
                <w:rStyle w:val="Style16"/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РФ, Московская область, Сергиево-Посадский г.о., пгт. Богородское, дом 101 (Административное здание дирекции                               Загорской ГАЭС-2).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56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rPr/>
            </w:pPr>
            <w:r>
              <w:rPr>
                <w:rStyle w:val="Style16"/>
                <w:color w:val="000000"/>
                <w:sz w:val="24"/>
                <w:szCs w:val="24"/>
              </w:rPr>
              <w:t>Периодичность оказания услуг:</w:t>
            </w:r>
          </w:p>
        </w:tc>
        <w:tc>
          <w:tcPr>
            <w:tcW w:w="49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firstLine="567"/>
              <w:jc w:val="both"/>
              <w:rPr/>
            </w:pPr>
            <w:r>
              <w:rPr>
                <w:rStyle w:val="Style16"/>
                <w:color w:val="000000"/>
                <w:sz w:val="24"/>
                <w:szCs w:val="24"/>
              </w:rPr>
              <w:t>Основная уборка всех помещений осуществляется 2 раза в неделю по рабочим дням, в период с понедельника по пятницу. Время посещения объекта с 8.00 до 17.00.</w:t>
            </w: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1062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оказанием  услуг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2.1.</w:t>
            </w:r>
          </w:p>
        </w:tc>
        <w:tc>
          <w:tcPr>
            <w:tcW w:w="1062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Оказание услуг по уборке и уходу должно быть организовано в период времени, не создающий неудобств для организации рабочего процесса Заказчика.  в промежуток времени с 8-00 до 17-00 два раза в неделю 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1060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5" w:leader="none"/>
                <w:tab w:val="left" w:pos="225" w:leader="none"/>
                <w:tab w:val="left" w:pos="390" w:leader="none"/>
                <w:tab w:val="left" w:pos="851" w:leader="none"/>
              </w:tabs>
              <w:suppressAutoHyphens w:val="true"/>
              <w:bidi w:val="0"/>
              <w:spacing w:before="240" w:after="120"/>
              <w:ind w:left="227" w:right="0" w:hanging="0"/>
              <w:jc w:val="left"/>
              <w:outlineLvl w:val="1"/>
              <w:rPr/>
            </w:pPr>
            <w:r>
              <w:rPr>
                <w:rStyle w:val="Style16"/>
                <w:rFonts w:eastAsia="Times New Roman"/>
                <w:b/>
                <w:bCs/>
                <w:iCs/>
                <w:sz w:val="24"/>
                <w:szCs w:val="24"/>
                <w:u w:val="none"/>
              </w:rPr>
              <w:t>Перечень мероприятий по уборке и уходу</w:t>
            </w: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56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Style w:val="Style16"/>
                <w:rFonts w:eastAsia="Times New Roman" w:cs="Times New Roman"/>
                <w:bCs/>
                <w:iCs/>
                <w:kern w:val="0"/>
                <w:sz w:val="24"/>
                <w:szCs w:val="24"/>
                <w:u w:val="none"/>
                <w:lang w:val="ru-RU" w:eastAsia="ru-RU" w:bidi="ar-SA"/>
              </w:rPr>
              <w:t>Подметание и влажная уборка пола, плинтусов  с применением специальных моющих средств</w:t>
            </w:r>
          </w:p>
        </w:tc>
        <w:tc>
          <w:tcPr>
            <w:tcW w:w="49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both"/>
              <w:rPr/>
            </w:pPr>
            <w:r>
              <w:rPr>
                <w:rStyle w:val="Style16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 раза в неделю по рабочим дням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3.2.</w:t>
            </w:r>
          </w:p>
        </w:tc>
        <w:tc>
          <w:tcPr>
            <w:tcW w:w="56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Замена мусорных мешков в мусорных корзинах, сбор и вынос отходов к месту накопления отходов на территории Заказчика.</w:t>
            </w:r>
          </w:p>
        </w:tc>
        <w:tc>
          <w:tcPr>
            <w:tcW w:w="49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both"/>
              <w:rPr/>
            </w:pPr>
            <w:r>
              <w:rPr>
                <w:rStyle w:val="Style16"/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2 раза в неделю по рабочим дням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3.3.</w:t>
            </w:r>
          </w:p>
        </w:tc>
        <w:tc>
          <w:tcPr>
            <w:tcW w:w="5636" w:type="dxa"/>
            <w:gridSpan w:val="2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Чистка зеркал с применением специальных средств по уходу за зеркалами </w:t>
            </w:r>
          </w:p>
        </w:tc>
        <w:tc>
          <w:tcPr>
            <w:tcW w:w="499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 (два) раза в месяц.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3.4.</w:t>
            </w:r>
          </w:p>
        </w:tc>
        <w:tc>
          <w:tcPr>
            <w:tcW w:w="5636" w:type="dxa"/>
            <w:gridSpan w:val="2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Удаление пыли и пятен с подоконников и оргтехники</w:t>
            </w:r>
          </w:p>
        </w:tc>
        <w:tc>
          <w:tcPr>
            <w:tcW w:w="4993" w:type="dxa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 (два) раза в месяц или по мере загрязнения.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3.5.</w:t>
            </w:r>
          </w:p>
        </w:tc>
        <w:tc>
          <w:tcPr>
            <w:tcW w:w="5636" w:type="dxa"/>
            <w:gridSpan w:val="2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Удаление локальных загрязнений со стен, дверных полотен с применением чистящих средств </w:t>
            </w:r>
          </w:p>
        </w:tc>
        <w:tc>
          <w:tcPr>
            <w:tcW w:w="4993" w:type="dxa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 (один) раз в месяц или по мере загрязнения.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6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Мытье стекол с 2-х сторон с применением специальных средств по уходу за стеклами;</w:t>
            </w:r>
          </w:p>
        </w:tc>
        <w:tc>
          <w:tcPr>
            <w:tcW w:w="499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 (два) раза в год (весенне-летний период)</w:t>
            </w: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6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>Пополнение санузлов туалетной бумагой, бумажными полотенцами, жидким мылом</w:t>
            </w:r>
            <w:r>
              <w:rPr/>
              <w:t xml:space="preserve"> </w:t>
            </w:r>
          </w:p>
        </w:tc>
        <w:tc>
          <w:tcPr>
            <w:tcW w:w="4993" w:type="dxa"/>
            <w:tcBorders>
              <w:top w:val="nil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06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По окончании оказания услуг, силами Исполнителя осуществляется вынос собранных отходов к месту накопления отходов на территории Заказчика.</w:t>
            </w: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6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используемым материалам(специализированных средств)</w:t>
            </w:r>
          </w:p>
        </w:tc>
        <w:tc>
          <w:tcPr>
            <w:tcW w:w="499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техническим регламентам или ГОСТам безопасные для человека и окружающей среды.</w:t>
            </w: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nil"/>
            </w:tcBorders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4.3.</w:t>
            </w:r>
          </w:p>
        </w:tc>
        <w:tc>
          <w:tcPr>
            <w:tcW w:w="1062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обязуется обеспечить всем необходимым инвентарем и вспомогательными материалами привлекаемого работника для выполнения услуг.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062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5.1.</w:t>
            </w:r>
          </w:p>
        </w:tc>
        <w:tc>
          <w:tcPr>
            <w:tcW w:w="56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49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Акт сдачи –приемки оказанных услуг/УПД в двух экземплярах и счет на оплату.</w:t>
            </w:r>
          </w:p>
        </w:tc>
        <w:tc>
          <w:tcPr>
            <w:tcW w:w="16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/>
          </w:tcPr>
          <w:p>
            <w:pPr>
              <w:pStyle w:val="Style29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numPr>
          <w:ilvl w:val="0"/>
          <w:numId w:val="3"/>
        </w:numPr>
        <w:ind w:left="357" w:right="0" w:hanging="357"/>
        <w:jc w:val="center"/>
        <w:rPr>
          <w:sz w:val="24"/>
          <w:szCs w:val="24"/>
          <w:lang w:val="ru-RU"/>
        </w:rPr>
      </w:pPr>
      <w:bookmarkStart w:id="23" w:name="_Toc125378714"/>
      <w:bookmarkStart w:id="24" w:name="_Toc53393312"/>
      <w:bookmarkStart w:id="25" w:name="_Toc53395937"/>
      <w:bookmarkStart w:id="26" w:name="_Toc501251311"/>
      <w:bookmarkStart w:id="27" w:name="_Toc513396981"/>
      <w:bookmarkEnd w:id="26"/>
      <w:bookmarkEnd w:id="2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4"/>
      <w:bookmarkEnd w:id="25"/>
      <w:r>
        <w:rPr>
          <w:sz w:val="24"/>
          <w:szCs w:val="24"/>
          <w:lang w:val="ru-RU"/>
        </w:rPr>
        <w:t xml:space="preserve"> на этапе закупки</w:t>
      </w:r>
      <w:bookmarkEnd w:id="23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val="x-none" w:eastAsia="x-none"/>
        </w:rPr>
        <w:tab/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jc w:val="both"/>
        <w:rPr/>
      </w:pPr>
      <w:r>
        <w:rPr>
          <w:rFonts w:eastAsia="Calibri"/>
          <w:bCs/>
          <w:sz w:val="24"/>
          <w:szCs w:val="24"/>
          <w:lang w:val="x-none" w:eastAsia="x-none"/>
        </w:rPr>
        <w:tab/>
        <w:t>3.2. Стоимость за единицу продукции (услуги) должна включать в себя налоги, сборы, пошлины и другие обязательные платежи, эксплуатацию   и прочие расходы , связанные с оказанием услуг, предусмотренные Проектом договора.</w:t>
      </w:r>
    </w:p>
    <w:p>
      <w:pPr>
        <w:pStyle w:val="Normal"/>
        <w:jc w:val="both"/>
        <w:rPr/>
      </w:pPr>
      <w:r>
        <w:rPr>
          <w:rFonts w:eastAsia="Calibri"/>
          <w:bCs/>
          <w:sz w:val="24"/>
          <w:szCs w:val="24"/>
          <w:lang w:val="x-none" w:eastAsia="x-none"/>
        </w:rPr>
        <w:tab/>
        <w:t>3.3. Дополнительные документы по ценообразованию в состав заявки Участника не включаются.</w:t>
      </w:r>
    </w:p>
    <w:p>
      <w:pPr>
        <w:pStyle w:val="Normal"/>
        <w:jc w:val="both"/>
        <w:rPr/>
      </w:pPr>
      <w:r>
        <w:rPr>
          <w:rFonts w:eastAsia="Calibri"/>
          <w:bCs/>
          <w:sz w:val="24"/>
          <w:szCs w:val="24"/>
          <w:lang w:val="x-none" w:eastAsia="x-none"/>
        </w:rPr>
        <w:tab/>
        <w:t>3.4. Цена остается фиксированной и не подлежит изменению и на все время действия договора</w:t>
      </w:r>
    </w:p>
    <w:p>
      <w:pPr>
        <w:pStyle w:val="24"/>
        <w:tabs>
          <w:tab w:val="clear" w:pos="1134"/>
        </w:tabs>
        <w:snapToGrid w:val="true"/>
        <w:ind w:left="1418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4"/>
        <w:pageBreakBefore w:val="false"/>
        <w:tabs>
          <w:tab w:val="clear" w:pos="1134"/>
        </w:tabs>
        <w:snapToGrid w:val="true"/>
        <w:spacing w:before="240" w:after="120"/>
        <w:ind w:left="1418" w:hanging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Ведущий специалист ГМТС ____________________________________</w:t>
        <w:tab/>
        <w:t>Е.В. Кононенко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before="120" w:after="60"/>
      <w:ind w:left="1247" w:right="0" w:hanging="1247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Основной шрифт абзаца"/>
    <w:qFormat/>
    <w:rPr/>
  </w:style>
  <w:style w:type="character" w:styleId="WWCharLFO2LVL1">
    <w:name w:val="WW_CharLFO2LVL1"/>
    <w:qFormat/>
    <w:rPr>
      <w:rFonts w:cs="Times New Roman"/>
      <w:b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20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E5E9-3109-4BE9-BA82-14F6E97D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8282</TotalTime>
  <Application>AlterOffice/3.4.0.9$Linux_X86_64 LibreOffice_project/b8daf9e823b1a5463a2f48435ddc2e8696e7d4fc</Application>
  <AppVersion>15.0000</AppVersion>
  <Pages>6</Pages>
  <Words>1068</Words>
  <Characters>6448</Characters>
  <CharactersWithSpaces>7361</CharactersWithSpaces>
  <Paragraphs>216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2023-01-19T23:35:00Z</dcterms:created>
  <dc:creator>Быстров Олег Геннадьевич</dc:creator>
  <dc:description/>
  <dc:language>ru-RU</dc:language>
  <cp:lastModifiedBy>kononenkoev@corp.gidroogk.com</cp:lastModifiedBy>
  <cp:lastPrinted>2026-06-04T13:36:02Z</cp:lastPrinted>
  <dcterms:modified xsi:type="dcterms:W3CDTF">2026-07-14T15:08:07Z</dcterms:modified>
  <cp:revision>89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